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are passed around, which basic Monte Carlo tree search (MCTS) does not model. To BasicMCTS of the Tabletop Games (TAG) framework we added a card-value model that drives evaluation and rollouts, round-end rollouts, max-n backups, decoupled selection for the simultaneous choices and information-set search. On held-out deals the agent wins 52.6% of 500 three-player games at 100 ms against TAG's information-set MCTS and our previous agent (chance 33.3%), [pending]% at 900 ms, and 44.4% of four-player games at 100 ms (chance 25%). Ablations show that the card-value model and decoupled selection matter most; settings tuned for four players cost 7.7 percentage points with three, so the best configuration depends on the table size.</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the current version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long-budget development runs).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its combination on BasicMCTS with round-end rollouts, max-n backups, decoupled UCT and information-set search, compared with TAG's own decoupled information-set MCTS;</w:t>
      </w:r>
    </w:p>
    <w:p>
      <w:pPr>
        <w:pStyle w:val="bulletlist"/>
        <w:numPr>
          <w:ilvl w:val="0"/>
          <w:numId w:val="2"/>
        </w:numPr>
        <w:ind w:left="576" w:hanging="288"/>
      </w:pPr>
      <w:r>
        <w:t>evidence that settings tuned for four players hurt with three, and a diagnosis of why extra time helps little with four (a wide, shallow joint-move tree);</w:t>
      </w:r>
    </w:p>
    <w:p>
      <w:pPr>
        <w:pStyle w:val="bulletlist"/>
        <w:numPr>
          <w:ilvl w:val="0"/>
          <w:numId w:val="2"/>
        </w:numPr>
        <w:ind w:left="576" w:hanging="288"/>
      </w:pPr>
      <w:r>
        <w:t>leave-one-out and factorial ablations, held-out validation and negative results that locate the agent's remaining limits.</w:t>
      </w:r>
    </w:p>
    <w:p>
      <w:pPr>
        <w:pStyle w:val="BodyText"/>
      </w:pPr>
      <w:r>
        <w:t>Together they suggest that in a drafting game the simultaneous moves matter more to the search than the hidden hands.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with selection by the EXP3 bandit algorithm and by regret matching in Goofspiel, and Tak et al. [11]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[12].</w:t>
      </w:r>
    </w:p>
    <w:p>
      <w:pPr>
        <w:pStyle w:val="BodyText"/>
      </w:pPr>
      <w:r>
        <w:t>MCTS has also been applied to the drafting game 7 Wonders, which passes hands in the same way [13]. TAG's advanced MCTS agent already offers information sets, one tree per player and a decoupled option; we build on BasicMCTS, which has none of them, so that the contribution of each idea can be measured. How these ideas combine with domain knowledge in a multi-player drafting game, and how their value depends on the time budget and the number of players, has not been measured; the earlier Sushi Go!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scales a Sashimi triple still needing two cards; the Maki standing has weight 1/(1 + </w:t>
      </w:r>
      <w:r>
        <w:rPr>
          <w:i/>
        </w:rPr>
        <w:t>r</w:t>
      </w:r>
      <w:r>
        <w:t>/</w:t>
      </w:r>
      <w:r>
        <w:rPr>
          <w:i/>
        </w:rPr>
        <w:t>T</w:t>
      </w:r>
      <w:r>
        <w:rPr>
          <w:vertAlign w:val="subscript"/>
        </w:rPr>
        <w:t>m</w:t>
      </w:r>
      <w:r>
        <w:t xml:space="preserve">) (1 if </w:t>
      </w:r>
      <w:r>
        <w:rPr>
          <w:i/>
        </w:rPr>
        <w:t>T</w:t>
      </w:r>
      <w:r>
        <w:rPr>
          <w:vertAlign w:val="subscript"/>
        </w:rPr>
        <w:t>m</w:t>
      </w:r>
      <w:r>
        <w:t xml:space="preserve"> = 0), κ per icon the rest; δ weights the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444752"/>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444752"/>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each unused Wasabi (2ν for the Nigiri it can still triple, ν = 2) and of Chopsticks (1),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when </w:t>
      </w:r>
      <w:r>
        <w:rPr>
          <w:i/>
        </w:rPr>
        <w:t>m</w:t>
      </w:r>
      <w:r>
        <w:t xml:space="preserve"> more cards are needed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is chosen in the same way);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(set for 400 ms) at our budget: one tree per player [9], UCB-Tuned,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competition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(v5, before the in-class tournament)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in development runs at 900 ms and with four players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last study and validation on a 4-core machine (4 in parallel). Agent files, per-game results and scripts: from the authors</w:t>
            </w:r>
          </w:p>
        </w:tc>
      </w:tr>
    </w:tbl>
    <w:p>
      <w:pPr>
        <w:pStyle w:val="tablecopy"/>
        <w:spacing w:after="80"/>
      </w:pPr>
    </w:p>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the score margin, 1.5–2 times as sensitive in </w:t>
      </w:r>
      <w:r>
        <w:rPr>
          <w:i/>
        </w:rPr>
        <w:t>z</w:t>
      </w:r>
      <w:r>
        <w:t>, served to screen ideas. We report unadjusted intervals, apply a Holm correction within the ablation and within the last study, and treat the four-player comparisons as exploratory.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Seed block 100 000, </w:t>
      </w:r>
      <w:r>
        <w:rPr>
          <w:vertAlign w:val="superscript"/>
        </w:rPr>
        <w:t>a</w:t>
      </w:r>
      <w:r>
        <w:t xml:space="preserve"> 7. Margin: our score minus the best opponent's, ± 95% CI. Chance: 33.3% (3 players), 25% (4 players).</w:t>
      </w:r>
    </w:p>
    <w:p>
      <w:pPr>
        <w:pStyle w:val="BodyText"/>
      </w:pPr>
      <w:r>
        <w:t>Table III reports the final agent. On the held-out deals it wins 52.6%, [pending] and [pending] of three-player games at 100, 500 and 900 ms against v2 and TAG's ISMCTS, and 44.4% and [pending] of four-player games at 100 and 500 ms. On seed block 7, whose deals overlap the development deals, it had won 55.0% at 100 ms (58.1% when re-run on the machine of the held-out runs), 2.4 ± 6.1 pp and 5.5 ± 6.1 pp more, neither significant. TAG's DUCT agent, with decoupled selection and information sets but neither our card-value model nor round-end rollouts, wins 21.0% of its seats when it replaces v2, the same share as v2. BasicMCTS, RHEA and OSLA win at most 12.8% of their seats; OSLA none, as its one-step look-ahead never reaches the simultaneous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201168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2011680"/>
                    </a:xfrm>
                    <a:prstGeom prst="rect"/>
                  </pic:spPr>
                </pic:pic>
              </a:graphicData>
            </a:graphic>
          </wp:inline>
        </w:drawing>
      </w:r>
    </w:p>
    <w:p>
      <w:pPr>
        <w:pStyle w:val="figurecaption"/>
        <w:keepLines/>
      </w:pPr>
      <w:r>
        <w:t>Paired effects with three players at 100 ms (seed block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and the Pudding standing; as </w:t>
      </w:r>
      <w:r>
        <w:rPr>
          <w:i/>
        </w:rPr>
        <w:t>K</w:t>
      </w:r>
      <w:r>
        <w:t xml:space="preserve"> was not retuned to its scale, the 28.3 ± 5.8 pp loss mixes the value of H with mis-scaled exploration. TAG's lead heuristic (own score minus the best opponent's) with </w:t>
      </w:r>
      <w:r>
        <w:rPr>
          <w:i/>
        </w:rPr>
        <w:t>K</w:t>
      </w:r>
      <w:r>
        <w:t xml:space="preserve"> rescaled to 7.5 costs 13.6 ± 5.9 pp (</w:t>
      </w:r>
      <w:r>
        <w:rPr>
          <w:i/>
        </w:rPr>
        <w:t>z</w:t>
      </w:r>
      <w:r>
        <w:t xml:space="preserve"> = 4.5): valuing the lead recovers roughly half of H's effect (two estimates against different base runs), and the rest (Pudding standing, mean-opponent term, bounded scale) was not separated. S and I together are worth 10.2 ± 5.7 pp (</w:t>
      </w:r>
      <w:r>
        <w:rPr>
          <w:i/>
        </w:rPr>
        <w:t>z</w:t>
      </w:r>
      <w:r>
        <w:t xml:space="preserve"> = 3.5). S alone, decoupled selection with v3's determinisation, beats v3 by +6.4 ± 5.7 pp (</w:t>
      </w:r>
      <w:r>
        <w:rPr>
          <w:i/>
        </w:rPr>
        <w:t>z</w:t>
      </w:r>
      <w:r>
        <w:t xml:space="preserve"> = 2.2), whereas I then adds only 3.8 ± 5.7 pp, as Long et al.'s analysis [7] suggests for a game that reveals its hidden information within </w:t>
      </w:r>
      <w:r>
        <w:rPr>
          <w:i/>
        </w:rPr>
        <w:t>n</w:t>
      </w:r>
      <w:r>
        <w:t xml:space="preserve"> − 1 turns. P and M cannot be removed (decoupled selection needs one value per player; I's card-type statistics merge identical cards), but a 2</w:t>
      </w:r>
      <w:r>
        <w:rPr>
          <w:vertAlign w:val="superscript"/>
        </w:rPr>
        <w:t>4</w:t>
      </w:r>
      <w:r>
        <w:t xml:space="preserve"> factorial on v3 (R; M; </w:t>
      </w:r>
      <w:r>
        <w:rPr>
          <w:i/>
        </w:rPr>
        <w:t>K</w:t>
      </w:r>
      <w:r>
        <w:t xml:space="preserve"> = 0.5 vs 1.41; completion horizon </w:t>
      </w:r>
      <w:r>
        <w:rPr>
          <w:i/>
        </w:rPr>
        <w:t>T</w:t>
      </w:r>
      <w:r>
        <w:t xml:space="preserve"> = 8 vs 4; 16 × 500 games, independent deals) gave main effects of +8.7 pp for R (</w:t>
      </w:r>
      <w:r>
        <w:rPr>
          <w:i/>
        </w:rPr>
        <w:t>z</w:t>
      </w:r>
      <w:r>
        <w:t xml:space="preserve"> = 8.1), +5.2 for </w:t>
      </w:r>
      <w:r>
        <w:rPr>
          <w:i/>
        </w:rPr>
        <w:t>K</w:t>
      </w:r>
      <w:r>
        <w:t xml:space="preserve">, +4.1 for M and +3.6 for </w:t>
      </w:r>
      <w:r>
        <w:rPr>
          <w:i/>
        </w:rPr>
        <w:t>T</w:t>
      </w:r>
      <w:r>
        <w:t xml:space="preserve"> = 8 (each ±2.1). Of the six interactions only R × </w:t>
      </w:r>
      <w:r>
        <w:rPr>
          <w:i/>
        </w:rPr>
        <w:t>T</w:t>
      </w:r>
      <w:r>
        <w:t xml:space="preserve"> (−4.2; </w:t>
      </w:r>
      <w:r>
        <w:rPr>
          <w:i/>
        </w:rPr>
        <w:t>T</w:t>
      </w:r>
      <w:r>
        <w:t xml:space="preserve"> = 4 was kept) and M × </w:t>
      </w:r>
      <w:r>
        <w:rPr>
          <w:i/>
        </w:rPr>
        <w:t>K</w:t>
      </w:r>
      <w:r>
        <w:t xml:space="preserve"> (+3.2: max-n backups need less exploration) exceed |</w:t>
      </w:r>
      <w:r>
        <w:rPr>
          <w:i/>
        </w:rPr>
        <w:t>z</w:t>
      </w:r>
      <w:r>
        <w:t>| = 2.</w:t>
      </w:r>
    </w:p>
    <w:p>
      <w:pPr>
        <w:pStyle w:val="BodyText"/>
      </w:pPr>
      <w:r>
        <w:t>The five changes of our last study (Fig. 2, bottom) showed no detectable gain: card constants tuned for three players (X3), a much stronger greedy policy (45.0% of greedy games against two X0 players), changed the win rate by −1.3 ± 5.8 pp, denial in the rollouts, a win-gap and a leader-only value by −1.8, −0.6 and +0.7 pp (each ±5.8), and rollouts to the game end with a win-gap value cost 23.7 ± 5.8 pp (</w:t>
      </w:r>
      <w:r>
        <w:rPr>
          <w:i/>
        </w:rPr>
        <w:t>z</w:t>
      </w:r>
      <w:r>
        <w:t xml:space="preserve"> = 8.0), the only change that survives a Holm correction. As X3 also changes the Pudding weight of the leaf evaluation, its null result only weakly echoes simulation balancing [6].</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55448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554480"/>
                    </a:xfrm>
                    <a:prstGeom prst="rect"/>
                  </pic:spPr>
                </pic:pic>
              </a:graphicData>
            </a:graphic>
          </wp:inline>
        </w:drawing>
      </w:r>
    </w:p>
    <w:p>
      <w:pPr>
        <w:pStyle w:val="figurecaption"/>
        <w:keepLines/>
      </w:pPr>
      <w:r>
        <w:t>Win rate with three players against v2 and TAG's ISMCTS by CPU time per decision. Lines: development runs (seed 1, independent samples). Open markers: the final agent and v3 on the held-out deals (seed block 100 000). Bars: Wilson 95% intervals.</w:t>
      </w:r>
    </w:p>
    <w:p>
      <w:pPr>
        <w:pStyle w:val="BodyText"/>
      </w:pPr>
      <w:r>
        <w:t>In development runs (Fig. 3; independent samples) v3 doubled v2's win rate at 100 ms (24.8% → 50.1%) but lost 17.3 ± 7.2 pp from 100 to 900 ms, the final agent 8.1 ± 7.5 pp; the gain from S and I rose from +5.6 ± 6.1 pp to +14.8 ± 8.4 pp (rise +9.2 ± 10.4 pp (</w:t>
      </w:r>
      <w:r>
        <w:rPr>
          <w:i/>
        </w:rPr>
        <w:t>z</w:t>
      </w:r>
      <w:r>
        <w:t xml:space="preserve"> = 1.7)). We attribute v3's decline to its sequential tree, in which later players react to cards chosen earlier in the same turn: a wrong model that more iterations exploit more. On seed block 7 the final agent won 55.0%, 49.4% and 56.0% at 100, 500 and 900 ms: its development decline did not replicate. Much of the fall of the curves comes from the opponent: TAG's ISMCTS won 23.1% of its seats against the final agent at 100 ms but 37.4% at 900 ms (against v3: 33.0% → 46.0%).</w:t>
      </w:r>
    </w:p>
    <w:p>
      <w:pPr>
        <w:pStyle w:val="Heading2"/>
      </w:pPr>
      <w:r>
        <w:t>Four Players and the Limits of Search (RQ3)</w:t>
      </w:r>
    </w:p>
    <w:p>
      <w:pPr>
        <w:pStyle w:val="BodyText"/>
      </w:pPr>
      <w:r>
        <w:t xml:space="preserve">With four players the 3-player configuration won 46.4% and 43.5% in two runs at 100 ms and 38.4% at 500 ms (development; chance 25%). No four-player change gave a significant gain at its own budget: X0 added +4.3 ± 4.3 pp at 100 ms (two runs of each pooled), X0 with W2 and </w:t>
      </w:r>
      <w:r>
        <w:rPr>
          <w:i/>
        </w:rPr>
        <w:t>K</w:t>
      </w:r>
      <w:r>
        <w:t xml:space="preserve"> = 1 added +5.8 ± 7.4 pp at 500 ms (two runs pooled) and F + L a further +1.0 ± 7.9 pp, whereas F + L cost 6.6 ± 6.0 pp at 100 ms; we kept each change where its estimate was positive. With three players, X0, W2 and </w:t>
      </w:r>
      <w:r>
        <w:rPr>
          <w:i/>
        </w:rPr>
        <w:t>K</w:t>
      </w:r>
      <w:r>
        <w:t xml:space="preserve"> = 1 cost 7.7 ± 5.4 pp (</w:t>
      </w:r>
      <w:r>
        <w:rPr>
          <w:i/>
        </w:rPr>
        <w:t>z</w:t>
      </w:r>
      <w:r>
        <w:t xml:space="preserve"> = 2.8), an effect 13.5 ± 9.1 pp (</w:t>
      </w:r>
      <w:r>
        <w:rPr>
          <w:i/>
        </w:rPr>
        <w:t>z</w:t>
      </w:r>
      <w:r>
        <w:t xml:space="preserve"> = 2.9) different from that with four: H3 holds only one-sidedly, and as the contrast was chosen after the four-player runs, it is exploratory. Depth matters – at 500 ms a tree cut to depth 1 lost 17.4 ± 8.2 pp – but extra time hardly does: 1 000 ms (with </w:t>
      </w:r>
      <w:r>
        <w:rPr>
          <w:i/>
        </w:rPr>
        <w:t>K</w:t>
      </w:r>
      <w:r>
        <w:t xml:space="preserve"> = 1.37) gave −4.8 ± 8.1 pp. On 73 positions from random games the 500 ms tree has 704 joint-move children at the root on average, 53% of them visited once (mean depth 1.5); twice the time or rollouts per leaf changed the chosen card in 2 and 4 of them, about as often as a re-run with the same seed (4) or another seed (7).</w:t>
      </w:r>
    </w:p>
    <w:p>
      <w:pPr>
        <w:pStyle w:val="Heading1"/>
      </w:pPr>
      <w:r>
        <w:t>Conclusions and Future Work</w:t>
      </w:r>
    </w:p>
    <w:p>
      <w:pPr>
        <w:pStyle w:val="BodyText"/>
      </w:pPr>
      <w:r>
        <w:t>Our agent adds a card-value model, round-end rollouts, max-n backups, decoupled UCT and information sets to TAG's BasicMCTS. For RQ1, the card-value heuristic (13.6 pp over TAG's lead heuristic, 28.3 pp over its default) and decoupled selection (6.4 pp over v3's sequential tree) contribute most. On held-out deals the final agent wins 52.6% of three-player games at 100 ms and [pending] at 900 ms against TAG's ISMCTS and our previous agent. For RQ2, v3's sequential tree lost more strength at longer budgets than the decoupled one, though the difference between the trends is not significant. For RQ3, settings tuned for four players cost 7.7 ± 5.4 pp with three players while their gain with four was not significant, and with four players extra time rarely changes the decision of the wide, shallow joint-move tree.</w:t>
      </w:r>
    </w:p>
    <w:p>
      <w:pPr>
        <w:pStyle w:val="BodyText"/>
      </w:pPr>
      <w:r>
        <w:t>The study has limits: our opponents are framework agents and our own previous version; the four-player development rests on 250-game runs; and CPU-time budgets hide wall-clock effects. As hand-tuned changes to the model no longer move the agent, future work should learn the evaluation from game outcomes, e.g. by regressing final ranks on features of round-end states; regret matching or EXP3 deserve a test, since decoupled UCT is best overall but not in every game [11]; and opponent models fitted to observed picks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three written reports (archived with our records) were the prompts for the revisions;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and this statement's citation and prompts.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