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against TAG's information-set MCTS (ISMCTS) and our previous agent, and 44.4% and 36.5% of four-player games (100, 500 ms; chance 33.3%, 25%). Every ablated component raises the score margin significantly; the evaluation and the decoupled tree also raise the win rate. Longer budgets favoured ISMCTS over our agent; four-player settings hurt three-player play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every player's final score for a bounded, lead-based evaluation, the component our agent depends on most;</w:t>
      </w:r>
    </w:p>
    <w:p>
      <w:pPr>
        <w:pStyle w:val="bulletlist"/>
        <w:numPr>
          <w:ilvl w:val="0"/>
          <w:numId w:val="2"/>
        </w:numPr>
        <w:ind w:left="576" w:hanging="288"/>
      </w:pPr>
      <w:r>
        <w:t>ablations and held-out tests showing that, with this model, decoupled selection over information sets beats a determinised sequential tree, while TAG's own decoupled information-set agent, without it,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but card values depend on the stage of the game and on the other players' choices [12], which our card-value model estimates explicitly. We build on the minimal BasicMCTS, which lacks these features, so that each one's contribution can be measured.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[9]</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where every player picks by UCB on its own card statistics (S, P) and the hidden cards are re-sampled in every iteration (I).</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4-core machine (4 in parallel); per-game results and logs of all 166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The score margin, usually the more sensitive measure, served to screen ideas. We report unadjusted intervals, apply a Holm correction [14] within each group of Fig. 2, and treat the four-player comparisons (60 of our 166 runs) as exploratory. We expected (E1) every component to improve both measures, (E2) the decoupled information-set tree to matter more at longer budgets and (E3) the best settings to depend on the number of players; E2 arose from the development runs.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728"/>
        <w:gridCol w:w="1454"/>
        <w:gridCol w:w="1094"/>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728"/>
            <w:tcMar>
              <w:left w:w="50" w:type="dxa"/>
              <w:right w:w="50" w:type="dxa"/>
            </w:tcMar>
            <w:tcBorders>
              <w:bottom w:val="single" w:sz="6" w:space="0" w:color="000000"/>
            </w:tcBorders>
          </w:tcPr>
          <w:p>
            <w:pPr>
              <w:pStyle w:val="tablecolhead"/>
              <w:keepNext/>
              <w:jc w:val="left"/>
            </w:pPr>
            <w:r>
              <w:t>Opponents</w:t>
            </w:r>
          </w:p>
        </w:tc>
        <w:tc>
          <w:tcPr>
            <w:tcW w:type="dxa" w:w="1454"/>
            <w:tcMar>
              <w:left w:w="50" w:type="dxa"/>
              <w:right w:w="50" w:type="dxa"/>
            </w:tcMar>
            <w:tcBorders>
              <w:bottom w:val="single" w:sz="6" w:space="0" w:color="000000"/>
            </w:tcBorders>
          </w:tcPr>
          <w:p>
            <w:pPr>
              <w:pStyle w:val="tablecolhead"/>
              <w:keepNext/>
              <w:jc w:val="center"/>
            </w:pPr>
            <w:r>
              <w:t>Win % [95% CI]</w:t>
            </w:r>
          </w:p>
        </w:tc>
        <w:tc>
          <w:tcPr>
            <w:tcW w:type="dxa" w:w="10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52.6 [48.2, 56.9]</w:t>
            </w:r>
          </w:p>
        </w:tc>
        <w:tc>
          <w:tcPr>
            <w:tcW w:type="dxa" w:w="10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47.2 [42.9, 51.6]</w:t>
            </w:r>
          </w:p>
        </w:tc>
        <w:tc>
          <w:tcPr>
            <w:tcW w:type="dxa" w:w="10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44.8 [40.5, 49.2]</w:t>
            </w:r>
          </w:p>
        </w:tc>
        <w:tc>
          <w:tcPr>
            <w:tcW w:type="dxa" w:w="1094"/>
            <w:tcMar>
              <w:left w:w="50" w:type="dxa"/>
              <w:right w:w="50" w:type="dxa"/>
            </w:tcMar>
          </w:tcPr>
          <w:p>
            <w:pPr>
              <w:pStyle w:val="tablecopy"/>
              <w:keepNext/>
              <w:jc w:val="center"/>
            </w:pPr>
            <w:r>
              <w:t>−0.35 ± 0.39</w:t>
            </w:r>
          </w:p>
        </w:tc>
      </w:tr>
      <w:tr>
        <w:trPr>
          <w:cantSplit/>
        </w:trPr>
        <w:tc>
          <w:tcPr>
            <w:tcW w:type="dxa" w:w="605"/>
            <w:tcMar>
              <w:left w:w="50" w:type="dxa"/>
              <w:right w:w="50" w:type="dxa"/>
            </w:tcMar>
          </w:tcPr>
          <w:p>
            <w:pPr>
              <w:pStyle w:val="tablecopy"/>
              <w:keepNext/>
              <w:jc w:val="left"/>
            </w:pPr>
            <w:r>
              <w:t>4p/100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44.4 [40.1, 48.8]</w:t>
            </w:r>
          </w:p>
        </w:tc>
        <w:tc>
          <w:tcPr>
            <w:tcW w:type="dxa" w:w="10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36.5 [32.4, 40.8]</w:t>
            </w:r>
          </w:p>
        </w:tc>
        <w:tc>
          <w:tcPr>
            <w:tcW w:type="dxa" w:w="1094"/>
            <w:tcMar>
              <w:left w:w="50" w:type="dxa"/>
              <w:right w:w="50" w:type="dxa"/>
            </w:tcMar>
          </w:tcPr>
          <w:p>
            <w:pPr>
              <w:pStyle w:val="tablecopy"/>
              <w:keepNext/>
              <w:jc w:val="center"/>
            </w:pPr>
            <w:r>
              <w:t>−1.83 ± 0.45</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DUCT, ISMCTS</w:t>
            </w:r>
          </w:p>
        </w:tc>
        <w:tc>
          <w:tcPr>
            <w:tcW w:type="dxa" w:w="1454"/>
            <w:tcMar>
              <w:left w:w="50" w:type="dxa"/>
              <w:right w:w="50" w:type="dxa"/>
            </w:tcMar>
          </w:tcPr>
          <w:p>
            <w:pPr>
              <w:pStyle w:val="tablecopy"/>
              <w:keepNext/>
              <w:jc w:val="center"/>
            </w:pPr>
            <w:r>
              <w:t>55.0 [50.6, 59.3]</w:t>
            </w:r>
          </w:p>
        </w:tc>
        <w:tc>
          <w:tcPr>
            <w:tcW w:type="dxa" w:w="10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ISMCTS × 2 </w:t>
            </w:r>
            <w:r>
              <w:rPr>
                <w:vertAlign w:val="superscript"/>
              </w:rPr>
              <w:t>a</w:t>
            </w:r>
          </w:p>
        </w:tc>
        <w:tc>
          <w:tcPr>
            <w:tcW w:type="dxa" w:w="1454"/>
            <w:tcMar>
              <w:left w:w="50" w:type="dxa"/>
              <w:right w:w="50" w:type="dxa"/>
            </w:tcMar>
          </w:tcPr>
          <w:p>
            <w:pPr>
              <w:pStyle w:val="tablecopy"/>
              <w:keepNext/>
              <w:jc w:val="center"/>
            </w:pPr>
            <w:r>
              <w:t>51.3 [46.9, 55.7]</w:t>
            </w:r>
          </w:p>
        </w:tc>
        <w:tc>
          <w:tcPr>
            <w:tcW w:type="dxa" w:w="10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BasicMCTS, RHEA </w:t>
            </w:r>
            <w:r>
              <w:rPr>
                <w:vertAlign w:val="superscript"/>
              </w:rPr>
              <w:t>a</w:t>
            </w:r>
          </w:p>
        </w:tc>
        <w:tc>
          <w:tcPr>
            <w:tcW w:type="dxa" w:w="1454"/>
            <w:tcMar>
              <w:left w:w="50" w:type="dxa"/>
              <w:right w:w="50" w:type="dxa"/>
            </w:tcMar>
          </w:tcPr>
          <w:p>
            <w:pPr>
              <w:pStyle w:val="tablecopy"/>
              <w:keepNext/>
              <w:jc w:val="center"/>
            </w:pPr>
            <w:r>
              <w:t>84.2 [80.7, 87.1]</w:t>
            </w:r>
          </w:p>
        </w:tc>
        <w:tc>
          <w:tcPr>
            <w:tcW w:type="dxa" w:w="10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OSLA, BasicMCTS </w:t>
            </w:r>
            <w:r>
              <w:rPr>
                <w:vertAlign w:val="superscript"/>
              </w:rPr>
              <w:t>a</w:t>
            </w:r>
          </w:p>
        </w:tc>
        <w:tc>
          <w:tcPr>
            <w:tcW w:type="dxa" w:w="1454"/>
            <w:tcMar>
              <w:left w:w="50" w:type="dxa"/>
              <w:right w:w="50" w:type="dxa"/>
            </w:tcMar>
          </w:tcPr>
          <w:p>
            <w:pPr>
              <w:pStyle w:val="tablecopy"/>
              <w:keepNext/>
              <w:jc w:val="center"/>
            </w:pPr>
            <w:r>
              <w:t>87.2 [84.0, 89.8]</w:t>
            </w:r>
          </w:p>
        </w:tc>
        <w:tc>
          <w:tcPr>
            <w:tcW w:type="dxa" w:w="10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(points, ± 95% CI); chance 33.3% (3p), 25% (4p).</w:t>
      </w:r>
    </w:p>
    <w:p>
      <w:pPr>
        <w:pStyle w:val="BodyText"/>
      </w:pPr>
      <w:r>
        <w:t>Table III reports the final agent; in every setting its win rate is significantly above chance. On seed block 7 it had won 55.0% at 100 ms (58.1% when re-run on the second machine), within chance of the held-out result (</w:t>
      </w:r>
      <w:r>
        <w:rPr>
          <w:i/>
        </w:rPr>
        <w:t>z</w:t>
      </w:r>
      <w:r>
        <w:t xml:space="preserve"> ≤ 1.8). At 100 ms it scores more than both opponents from Nigiri (17.6 points per game against 15.3 and 12.9) and Pudding, v2 more from Sashimi (9.1 against 3.0). TAG's own DUCT agent (Table II) wins 21.0% [17.7, 24.8] of its seats in place of v2, the same share as v2 (0.0 ± 5.0 pp): TAG's decoupled information-set search, with its own heuristic and rollouts,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recovers 17.8 ± 5.6 pp of this loss (same deals, second machine) but still wins 13.6 ± 5.9 pp (</w:t>
      </w:r>
      <w:r>
        <w:rPr>
          <w:i/>
        </w:rPr>
        <w:t>z</w:t>
      </w:r>
      <w:r>
        <w:t xml:space="preserve"> = 4.5) less than H.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in a 2</w:t>
      </w:r>
      <w:r>
        <w:rPr>
          <w:vertAlign w:val="superscript"/>
        </w:rPr>
        <w:t>4</w:t>
      </w:r>
      <w:r>
        <w:t xml:space="preserve"> factorial on v3 (R, M, </w:t>
      </w:r>
      <w:r>
        <w:rPr>
          <w:i/>
        </w:rPr>
        <w:t>K</w:t>
      </w:r>
      <w:r>
        <w:t xml:space="preserve"> = 0.5 or 1.41, </w:t>
      </w:r>
      <w:r>
        <w:rPr>
          <w:i/>
        </w:rPr>
        <w:t>T</w:t>
      </w:r>
      <w:r>
        <w:t xml:space="preserve"> = 8 or 4; 16 × 500 games, independent deals) R added 8.7 ± 2.1 pp and M 4.1 ± 2.1 pp, with R × </w:t>
      </w:r>
      <w:r>
        <w:rPr>
          <w:i/>
        </w:rPr>
        <w:t>T</w:t>
      </w:r>
      <w:r>
        <w:t xml:space="preserve"> and M × </w:t>
      </w:r>
      <w:r>
        <w:rPr>
          <w:i/>
        </w:rPr>
        <w:t>K</w:t>
      </w:r>
      <w:r>
        <w:t xml:space="preserve"> interactions (</w:t>
      </w:r>
      <w:r>
        <w:rPr>
          <w:i/>
        </w:rPr>
        <w:t>z</w:t>
      </w:r>
      <w:r>
        <w:t xml:space="preserve"> = 4.0, 3.0).</w:t>
      </w:r>
    </w:p>
    <w:p>
      <w:pPr>
        <w:pStyle w:val="BodyText"/>
      </w:pPr>
      <w:r>
        <w:t xml:space="preserve">Five later changes (Fig. 2, bottom) brought no detectable gain: card constants tuned for three players (X3), denial of the next player's favourite card in the rollouts, a win-gap value with σ decay and </w:t>
      </w:r>
      <w:r>
        <w:rPr>
          <w:i/>
        </w:rPr>
        <w:t>w</w:t>
      </w:r>
      <w:r>
        <w:t xml:space="preserve"> = 1 changed the win rate by −1.8 to +0.7 pp (each ±5.8), although X3 is the much stronger greedy policy (45.0% of games against two X0 players);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runs (seed 1, independent samples; 250 games at 900 ms); open markers: the final agent and v3 on the held-out deals; bars: Wilson 95% intervals.</w:t>
      </w:r>
    </w:p>
    <w:p>
      <w:pPr>
        <w:pStyle w:val="BodyText"/>
      </w:pPr>
      <w:r>
        <w:t xml:space="preserve">In development (Fig. 3; independent samples) the gain from S and I was +5.6, +9.0 and +14.8 pp at 100, 500 and 900 ms (100 to 900 ms: +9.2 ± 10.4 pp, </w:t>
      </w:r>
      <w:r>
        <w:rPr>
          <w:i/>
        </w:rPr>
        <w:t>z</w:t>
      </w:r>
      <w:r>
        <w:t xml:space="preserve"> = 1.7), as v3 lost 17.3 pp and the final agent 8.1 pp. We hypothesise that v3's decline comes from its sequential tree, in which later players react to cards chosen earlier in the same turn: a wrong model that more iterations exploit more. S alone, which keeps v3's determinisation, gained +1.3 ± 6.1 pp at 100 ms but +6.2 ± 6.1 pp at 500 ms, as this predicts. As v3's 50.1% at 100 ms was the best of 16 factorial cells (45.1–49.4% on new seeds), both rises are probably overstated. On the held-out deals S and I gained +6.1 ± 5.9 pp (</w:t>
      </w:r>
      <w:r>
        <w:rPr>
          <w:i/>
        </w:rPr>
        <w:t>z</w:t>
      </w:r>
      <w:r>
        <w:t xml:space="preserve"> = 2.04) at 100 ms (v3: 46.5%).</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(250 seed-7 deals) by −4.9 ± 4.8 pp (</w:t>
      </w:r>
      <w:r>
        <w:rPr>
          <w:i/>
        </w:rPr>
        <w:t>z</w:t>
      </w:r>
      <w:r>
        <w:t xml:space="preserve"> = 1.97). On the held-out deals ISMCTS won 26.4%, 35.9% and 36.3% of its seats at 100, 500 and 900 ms (500 against 100 ms: +9.5 ± 5.7 pp), v2 21.0%, 16.9% and 18.9%: the extra time favoured ISMCTS over our agent. Plausibly, more iterations cannot correct the bias of our hand-made rollouts and evaluation, while ISMCTS, without such a model, keeps gaining from more samples; our parameters were also tuned at 100 ms.</w:t>
      </w:r>
    </w:p>
    <w:p>
      <w:pPr>
        <w:pStyle w:val="Heading2"/>
      </w:pPr>
      <w:r>
        <w:t>Four Players and the Limits of Search (RQ3)</w:t>
      </w:r>
    </w:p>
    <w:p>
      <w:pPr>
        <w:pStyle w:val="BodyText"/>
      </w:pPr>
      <w:r>
        <w:t xml:space="preserve">With four players S and I added +7.8 ± 6.0 pp over v3 at 100 ms and +3.0 ± 8.4 pp at 500 ms (development, independent samples; three players: +5.6 and +9.0 pp). No four-player setting gained significantly in development (X0: +4.3 ± 4.3 pp, </w:t>
      </w:r>
      <w:r>
        <w:rPr>
          <w:i/>
        </w:rPr>
        <w:t>z</w:t>
      </w:r>
      <w:r>
        <w:t xml:space="preserve"> = 1.94, at 100 ms; X0, W2 and </w:t>
      </w:r>
      <w:r>
        <w:rPr>
          <w:i/>
        </w:rPr>
        <w:t>K</w:t>
      </w:r>
      <w:r>
        <w:t xml:space="preserve"> = 1: +5.8 ± 7.4 pp at 500 ms; F + L: +1.0 ± 7.9 pp at 500 ms, −6.6 ± 6.0 pp at 100 ms); we kept each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consistent with E3, but post hoc and with F + L in the three-player arms only.</w:t>
      </w:r>
    </w:p>
    <w:p>
      <w:pPr>
        <w:pStyle w:val="BodyText"/>
      </w:pPr>
      <w:r>
        <w:t xml:space="preserve">With four players we found no gain from more time. Depth matters – at 500 ms a tree cut to depth 1 lost 17.4 ± 8.2 pp – but 1000 ms for our agent alone (with </w:t>
      </w:r>
      <w:r>
        <w:rPr>
          <w:i/>
        </w:rPr>
        <w:t>K</w:t>
      </w:r>
      <w:r>
        <w:t xml:space="preserve"> = 1.37) brought no detectable gain (−4.8 ± 8.1 pp; 80% power only for 12 pp), and the 500 ms agent (W2, F + L, </w:t>
      </w:r>
      <w:r>
        <w:rPr>
          <w:i/>
        </w:rPr>
        <w:t>K</w:t>
      </w:r>
      <w:r>
        <w:t xml:space="preserve"> = 1; all agents at 500 ms) won 6.7 ± 4.1 pp less than the 100 ms agent (</w:t>
      </w:r>
      <w:r>
        <w:rPr>
          <w:i/>
        </w:rPr>
        <w:t>z</w:t>
      </w:r>
      <w:r>
        <w:t xml:space="preserve"> = 3.2; seed block 7 and held-out deals pooled), while TAG's ISMCTS rose from 24.1% to 32.1% of its seats, as with three players. Both agents did better on seed block 7 (46.8% and 41.4%), whose deals overlap those used to tune them. The tree statistics suggest why: on 73 positions from random-play games the 500 ms tree has 704 joint-move children at the root on average, 53% visited once, and doubling the time or the rollouts per leaf changed the card in 2 and 4 positions, no more often than repeated runs (4 and 7).</w:t>
      </w:r>
    </w:p>
    <w:p>
      <w:pPr>
        <w:pStyle w:val="Heading1"/>
      </w:pPr>
      <w:r>
        <w:t>Conclusions and Future Work</w:t>
      </w:r>
    </w:p>
    <w:p>
      <w:pPr>
        <w:pStyle w:val="BodyText"/>
      </w:pPr>
      <w:r>
        <w:t xml:space="preserve">For RQ1, every ablation lowers the score margin; after a Holm correction, removing the evaluation H or the decoupled information-set tree also lowers the win rate (H: 28.3 pp, or 13.6 pp against TAG's lead heuristic with </w:t>
      </w:r>
      <w:r>
        <w:rPr>
          <w:i/>
        </w:rPr>
        <w:t>K</w:t>
      </w:r>
      <w:r>
        <w:t xml:space="preserve"> rescaled; tree: 10.2 pp; pooled with the held-out replication, 8.2 ± 4.1 pp). For RQ2, giving every agent more time lowered our win rate, by 5.5 ± 4.2 pp from 100 to 500 ms and by 4.9 ± 4.8 pp to 900 ms (two deal sets pooled), while TAG's ISMCTS won 9.5 pp more of its seats at 500 ms; in development v3's sequential tree lost more strength at longer budgets than the decoupled one, though the difference between the trends is not significant. For RQ3, the gain from S and I did not grow with time with four players (7.8 and 3.0 pp at 100 and 500 ms, development); settings tuned for four players cost 7.7 ± 5.4 pp with three players (exploratory); and with four players time beyond 500 ms rarely changes the decision of the wide, shallow joint-move tree.</w:t>
      </w:r>
    </w:p>
    <w:p>
      <w:pPr>
        <w:pStyle w:val="BodyText"/>
      </w:pPr>
      <w:r>
        <w:t>Our opponents were framework agents and our own previous version, the four-player 500 ms settings were kept on non-significant 250-game gains, and CPU-time budgets hide wall-clock effects. As hand-tuned changes to the model no longer move the agent, future work should learn the evaluation from game outcomes; regret matching or EXP3 deserve a test, as decoupled UCT is best overall but not in every game [10] and was the most exploitable in Goofspiel [9]; and opponent models fitted to observed picks (an untested option in our code)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