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against TAG's information-set MCTS (ISMCTS) and our previous agent, and 44.4% and 36.5% of four-player games (100, 500 ms; chance 33.3%, 25%). Every ablated component raises the score margin significantly; the evaluation and the decoupled tree also raise the win rate. Longer budgets favoured ISMCTS over our agent;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candidate tests and validation: 4-core machine; per-game results and logs of all 167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728"/>
        <w:gridCol w:w="1454"/>
        <w:gridCol w:w="1094"/>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728"/>
            <w:tcMar>
              <w:left w:w="50" w:type="dxa"/>
              <w:right w:w="50" w:type="dxa"/>
            </w:tcMar>
            <w:tcBorders>
              <w:bottom w:val="single" w:sz="6" w:space="0" w:color="000000"/>
            </w:tcBorders>
          </w:tcPr>
          <w:p>
            <w:pPr>
              <w:pStyle w:val="tablecolhead"/>
              <w:keepNext/>
              <w:jc w:val="left"/>
            </w:pPr>
            <w:r>
              <w:t>Opponents</w:t>
            </w:r>
          </w:p>
        </w:tc>
        <w:tc>
          <w:tcPr>
            <w:tcW w:type="dxa" w:w="1454"/>
            <w:tcMar>
              <w:left w:w="50" w:type="dxa"/>
              <w:right w:w="50" w:type="dxa"/>
            </w:tcMar>
            <w:tcBorders>
              <w:bottom w:val="single" w:sz="6" w:space="0" w:color="000000"/>
            </w:tcBorders>
          </w:tcPr>
          <w:p>
            <w:pPr>
              <w:pStyle w:val="tablecolhead"/>
              <w:keepNext/>
              <w:jc w:val="center"/>
            </w:pPr>
            <w:r>
              <w:t>Win % [95% CI]</w:t>
            </w:r>
          </w:p>
        </w:tc>
        <w:tc>
          <w:tcPr>
            <w:tcW w:type="dxa" w:w="10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52.6 [48.2, 56.9]</w:t>
            </w:r>
          </w:p>
        </w:tc>
        <w:tc>
          <w:tcPr>
            <w:tcW w:type="dxa" w:w="10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47.2 [42.9, 51.6]</w:t>
            </w:r>
          </w:p>
        </w:tc>
        <w:tc>
          <w:tcPr>
            <w:tcW w:type="dxa" w:w="10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44.8 [40.5, 49.2]</w:t>
            </w:r>
          </w:p>
        </w:tc>
        <w:tc>
          <w:tcPr>
            <w:tcW w:type="dxa" w:w="1094"/>
            <w:tcMar>
              <w:left w:w="50" w:type="dxa"/>
              <w:right w:w="50" w:type="dxa"/>
            </w:tcMar>
          </w:tcPr>
          <w:p>
            <w:pPr>
              <w:pStyle w:val="tablecopy"/>
              <w:keepNext/>
              <w:jc w:val="center"/>
            </w:pPr>
            <w:r>
              <w:t>−0.35 ± 0.39</w:t>
            </w:r>
          </w:p>
        </w:tc>
      </w:tr>
      <w:tr>
        <w:trPr>
          <w:cantSplit/>
        </w:trPr>
        <w:tc>
          <w:tcPr>
            <w:tcW w:type="dxa" w:w="605"/>
            <w:tcMar>
              <w:left w:w="50" w:type="dxa"/>
              <w:right w:w="50" w:type="dxa"/>
            </w:tcMar>
          </w:tcPr>
          <w:p>
            <w:pPr>
              <w:pStyle w:val="tablecopy"/>
              <w:keepNext/>
              <w:jc w:val="left"/>
            </w:pPr>
            <w:r>
              <w:t>4p/100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44.4 [40.1, 48.8]</w:t>
            </w:r>
          </w:p>
        </w:tc>
        <w:tc>
          <w:tcPr>
            <w:tcW w:type="dxa" w:w="10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728"/>
            <w:tcMar>
              <w:left w:w="50" w:type="dxa"/>
              <w:right w:w="50" w:type="dxa"/>
            </w:tcMar>
          </w:tcPr>
          <w:p>
            <w:pPr>
              <w:pStyle w:val="tablecopy"/>
              <w:keepNext/>
              <w:jc w:val="left"/>
            </w:pPr>
            <w:r>
              <w:t>v2, ISMCTS</w:t>
            </w:r>
          </w:p>
        </w:tc>
        <w:tc>
          <w:tcPr>
            <w:tcW w:type="dxa" w:w="1454"/>
            <w:tcMar>
              <w:left w:w="50" w:type="dxa"/>
              <w:right w:w="50" w:type="dxa"/>
            </w:tcMar>
          </w:tcPr>
          <w:p>
            <w:pPr>
              <w:pStyle w:val="tablecopy"/>
              <w:keepNext/>
              <w:jc w:val="center"/>
            </w:pPr>
            <w:r>
              <w:t>36.5 [32.4, 40.8]</w:t>
            </w:r>
          </w:p>
        </w:tc>
        <w:tc>
          <w:tcPr>
            <w:tcW w:type="dxa" w:w="10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DUCT, ISMCTS</w:t>
            </w:r>
          </w:p>
        </w:tc>
        <w:tc>
          <w:tcPr>
            <w:tcW w:type="dxa" w:w="1454"/>
            <w:tcMar>
              <w:left w:w="50" w:type="dxa"/>
              <w:right w:w="50" w:type="dxa"/>
            </w:tcMar>
          </w:tcPr>
          <w:p>
            <w:pPr>
              <w:pStyle w:val="tablecopy"/>
              <w:keepNext/>
              <w:jc w:val="center"/>
            </w:pPr>
            <w:r>
              <w:t>55.0 [50.6, 59.3]</w:t>
            </w:r>
          </w:p>
        </w:tc>
        <w:tc>
          <w:tcPr>
            <w:tcW w:type="dxa" w:w="10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ISMCTS × 2 </w:t>
            </w:r>
            <w:r>
              <w:rPr>
                <w:vertAlign w:val="superscript"/>
              </w:rPr>
              <w:t>a</w:t>
            </w:r>
          </w:p>
        </w:tc>
        <w:tc>
          <w:tcPr>
            <w:tcW w:type="dxa" w:w="1454"/>
            <w:tcMar>
              <w:left w:w="50" w:type="dxa"/>
              <w:right w:w="50" w:type="dxa"/>
            </w:tcMar>
          </w:tcPr>
          <w:p>
            <w:pPr>
              <w:pStyle w:val="tablecopy"/>
              <w:keepNext/>
              <w:jc w:val="center"/>
            </w:pPr>
            <w:r>
              <w:t>51.3 [46.9, 55.7]</w:t>
            </w:r>
          </w:p>
        </w:tc>
        <w:tc>
          <w:tcPr>
            <w:tcW w:type="dxa" w:w="10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BasicMCTS, RHEA </w:t>
            </w:r>
            <w:r>
              <w:rPr>
                <w:vertAlign w:val="superscript"/>
              </w:rPr>
              <w:t>a</w:t>
            </w:r>
          </w:p>
        </w:tc>
        <w:tc>
          <w:tcPr>
            <w:tcW w:type="dxa" w:w="1454"/>
            <w:tcMar>
              <w:left w:w="50" w:type="dxa"/>
              <w:right w:w="50" w:type="dxa"/>
            </w:tcMar>
          </w:tcPr>
          <w:p>
            <w:pPr>
              <w:pStyle w:val="tablecopy"/>
              <w:keepNext/>
              <w:jc w:val="center"/>
            </w:pPr>
            <w:r>
              <w:t>84.2 [80.7, 87.1]</w:t>
            </w:r>
          </w:p>
        </w:tc>
        <w:tc>
          <w:tcPr>
            <w:tcW w:type="dxa" w:w="10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728"/>
            <w:tcMar>
              <w:left w:w="50" w:type="dxa"/>
              <w:right w:w="50" w:type="dxa"/>
            </w:tcMar>
          </w:tcPr>
          <w:p>
            <w:pPr>
              <w:pStyle w:val="tablecopy"/>
              <w:keepNext/>
              <w:jc w:val="left"/>
            </w:pPr>
            <w:r>
              <w:t xml:space="preserve">OSLA, BasicMCTS </w:t>
            </w:r>
            <w:r>
              <w:rPr>
                <w:vertAlign w:val="superscript"/>
              </w:rPr>
              <w:t>a</w:t>
            </w:r>
          </w:p>
        </w:tc>
        <w:tc>
          <w:tcPr>
            <w:tcW w:type="dxa" w:w="1454"/>
            <w:tcMar>
              <w:left w:w="50" w:type="dxa"/>
              <w:right w:w="50" w:type="dxa"/>
            </w:tcMar>
          </w:tcPr>
          <w:p>
            <w:pPr>
              <w:pStyle w:val="tablecopy"/>
              <w:keepNext/>
              <w:jc w:val="center"/>
            </w:pPr>
            <w:r>
              <w:t>87.2 [84.0, 89.8]</w:t>
            </w:r>
          </w:p>
        </w:tc>
        <w:tc>
          <w:tcPr>
            <w:tcW w:type="dxa" w:w="10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(points, ± 95% CI); chance 33.3% (3p), 25% (4p).</w:t>
      </w:r>
    </w:p>
    <w:p>
      <w:pPr>
        <w:pStyle w:val="BodyText"/>
      </w:pPr>
      <w:r>
        <w:t>Table III reports the final agent; in every setting its win rate is significantly above chance. On seed block 7 it had won 55.0% at 100 ms (58.1% when re-run on the second machine), within chance of the held-out result (</w:t>
      </w:r>
      <w:r>
        <w:rPr>
          <w:i/>
        </w:rPr>
        <w:t>z</w:t>
      </w:r>
      <w:r>
        <w:t xml:space="preserve"> ≤ 1.8). At 100 ms it scores more than both opponents from Nigiri (17.6 points per game against 15.3 and 12.9) and Pudding,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as S requires M and I already merges identical cards; in a 2</w:t>
      </w:r>
      <w:r>
        <w:rPr>
          <w:vertAlign w:val="superscript"/>
        </w:rPr>
        <w:t>4</w:t>
      </w:r>
      <w:r>
        <w:t xml:space="preserve"> factorial on v3 (R, M, </w:t>
      </w:r>
      <w:r>
        <w:rPr>
          <w:i/>
        </w:rPr>
        <w:t>K</w:t>
      </w:r>
      <w:r>
        <w:t xml:space="preserve"> = 0.5 or 1.41, </w:t>
      </w:r>
      <w:r>
        <w:rPr>
          <w:i/>
        </w:rPr>
        <w:t>T</w:t>
      </w:r>
      <w:r>
        <w:t xml:space="preserve"> = 8 or 4; 16 × 500 games, independent deals) R added 8.7 ± 2.1 pp and M 4.1 ± 2.1 pp, with R × </w:t>
      </w:r>
      <w:r>
        <w:rPr>
          <w:i/>
        </w:rPr>
        <w:t>T</w:t>
      </w:r>
      <w:r>
        <w:t xml:space="preserve"> and M × </w:t>
      </w:r>
      <w:r>
        <w:rPr>
          <w:i/>
        </w:rPr>
        <w:t>K</w:t>
      </w:r>
      <w:r>
        <w:t xml:space="preserve"> interactions (</w:t>
      </w:r>
      <w:r>
        <w:rPr>
          <w:i/>
        </w:rPr>
        <w:t>z</w:t>
      </w:r>
      <w:r>
        <w:t xml:space="preserve"> = 4.0, 3.0).</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was +5.6, +9.0 and +14.8 pp at 100, 500 and 900 ms (100 to 900 ms: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S alone, which keeps v3's determinisation, gained +1.3 ± 6.1 pp at 100 ms but +6.2 ± 6.1 pp at 500 ms, consistent with this explanation. As v3's 50.1% at 100 ms was the best of 16 factorial cells (45.1–49.4% on new seeds), both rises are probably overstated. On the held-out deals adding S and I to v3 changed its win rate by +6.1 ± 5.9 pp at 100 ms and +5.3 ± 5.5 pp at 500 ms, a difference of −0.8 ± 8.1 pp (</w:t>
      </w:r>
      <w:r>
        <w:rPr>
          <w:i/>
        </w:rPr>
        <w:t>z</w:t>
      </w:r>
      <w:r>
        <w:t xml:space="preserve"> = 0.2): no sign of the development rise (80% power only for 12 pp).</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On the held-out deals ISMCTS won 26.4%, 35.9% and 36.3% of its seats at 100, 500 and 900 ms (500 against 100 ms: +9.5 ± 5.7 pp): the extra time favoured ISMCTS over our agent. Plausibly, more iterations cannot correct the bias of our hand-made rollouts and evaluation, while ISMCTS, without such a model, keeps gaining from more samples;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three players: +5.6 and +9.0 pp). No four-player setting gained significantly in development (X0 +4.3 ± 4.3 pp, </w:t>
      </w:r>
      <w:r>
        <w:rPr>
          <w:i/>
        </w:rPr>
        <w:t>z</w:t>
      </w:r>
      <w:r>
        <w:t xml:space="preserve"> = 1.94, at 100 ms; X0, W2 and </w:t>
      </w:r>
      <w:r>
        <w:rPr>
          <w:i/>
        </w:rPr>
        <w:t>K</w:t>
      </w:r>
      <w:r>
        <w:t xml:space="preserve"> = 1 +5.8 ± 7.4 pp and F + L +1.0 ± 7.9 pp at 500 ms, but F + L −6.6 ± 6.0 pp at 100 ms); we kept each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post hoc and with F + L in the three-player arms only.</w:t>
      </w:r>
    </w:p>
    <w:p>
      <w:pPr>
        <w:pStyle w:val="BodyText"/>
      </w:pPr>
      <w:r>
        <w:t xml:space="preserve">With four players we found no gain from more time. Depth matters – at 500 ms a tree cut to depth 1 lost 17.4 ± 8.2 pp – but 1000 ms for our agent alone (with </w:t>
      </w:r>
      <w:r>
        <w:rPr>
          <w:i/>
        </w:rPr>
        <w:t>K</w:t>
      </w:r>
      <w:r>
        <w:t xml:space="preserve"> = 1.37) brought no detectable gain (−4.8 ± 8.1 pp; 80% power only for 12 pp), and the 500 ms agent (all agents at 500 ms) won 6.7 ± 4.1 pp less than the 100 ms agent (</w:t>
      </w:r>
      <w:r>
        <w:rPr>
          <w:i/>
        </w:rPr>
        <w:t>z</w:t>
      </w:r>
      <w:r>
        <w:t xml:space="preserve"> = 3.2; seed block 7 and held-out deals pooled), while TAG's ISMCTS rose from 24.1% to 32.1% of its seats, as with three players. Both agents did better on seed block 7 (46.8% and 41.4%), whose deals overlap those used to tune them. The tree statistics suggest why: on 73 positions from random-play games the 500 ms tree has 704 joint-move children at the root on average, 53% visited once, and doubling the time or the rollouts per leaf changed the card in 2 and 4 positions, no more often than repeated runs (4 and 7).</w:t>
      </w:r>
    </w:p>
    <w:p>
      <w:pPr>
        <w:pStyle w:val="Heading1"/>
      </w:pPr>
      <w:r>
        <w:t>Conclusions and Future Work</w:t>
      </w:r>
    </w:p>
    <w:p>
      <w:pPr>
        <w:pStyle w:val="BodyText"/>
      </w:pPr>
      <w:r>
        <w:t>For RQ1, every ablation lowers the score margin; after a Holm correction, removing the evaluation H or the decoupled information-set tree also lowers the win rate (H: 28.3 pp, or 13.6 pp against TAG's lead heuristic; tree: 10.2 pp, or 8.2 ± 4.1 pp pooled with the held-out deals). For RQ2, giving every agent more time lowered our win rate, by 5.5 ± 4.2 pp from 100 to 500 ms and, less clearly, by 4.9 ± 4.8 pp to 900 ms (two deal sets pooled), while TAG's ISMCTS won 9.5 pp more of its seats at 500 ms; the held-out test did not settle E2 (the gain from S and I changed by −0.8 ± 8.1 pp from 100 to 500 ms). For RQ3, the gain from S and I did not grow with time with four players (6.4 and 3.0 pp at 100 and 500 ms, development); settings tuned for four players cost 7.7 ± 5.4 pp with three players (exploratory); and with four players time beyond 500 ms rarely changes the decision of the wide, shallow joint-move tree.</w:t>
      </w:r>
    </w:p>
    <w:p>
      <w:pPr>
        <w:pStyle w:val="BodyText"/>
      </w:pPr>
      <w:r>
        <w:t>Our opponents were framework agents and our own previous version;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untested option in our code)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