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In </w:t>
      </w:r>
      <w:r>
        <w:rPr>
          <w:i/>
        </w:rPr>
        <w:t>Sushi Go!</w:t>
      </w:r>
      <w:r>
        <w:t>, players pick cards simultaneously from hidden hands that are passed on, which basic Monte Carlo tree search (MCTS) ignores. We extended BasicMCTS of the Tabletop Games framework (TAG) with card-value rollouts, a lead-based evaluation, round-end rollouts, max-n backups and a decoupled information-set tree. On held-out deals against TAG's information-set MCTS (ISMCTS) and our previous agent it wins 52.6%, 47.2% and [pending]% of three-player games at 100, 500 and 900 ms (chance 33.3%) and 44.4% and 36.5% of four-player games at 100 and 500 ms (chance 25%). All five ablated components raise the score margin significantly, the evaluation and decoupled tree also the win rate; 500 instead of 100 ms helped ISMCTS more than our agent, and four-player settings hurt with three (exploratory).</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introduced the game to TAG; the current version shows an agent only the cards it has seen.</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4 096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500 games per condition (250 in some long runs, Table II). Our contributions are:</w:t>
      </w:r>
    </w:p>
    <w:p>
      <w:pPr>
        <w:pStyle w:val="bulletlist"/>
        <w:numPr>
          <w:ilvl w:val="0"/>
          <w:numId w:val="2"/>
        </w:numPr>
        <w:ind w:left="576" w:hanging="288"/>
      </w:pPr>
      <w:r>
        <w:t xml:space="preserve">a model of </w:t>
      </w:r>
      <w:r>
        <w:rPr>
          <w:i/>
        </w:rPr>
        <w:t>Sushi Go!</w:t>
      </w:r>
      <w:r>
        <w:t>'s scoring that estimates every card's marginal value, used as the rollout policy of all players, and every player's final score, used in a bounded, lead-based evaluation;</w:t>
      </w:r>
    </w:p>
    <w:p>
      <w:pPr>
        <w:pStyle w:val="bulletlist"/>
        <w:numPr>
          <w:ilvl w:val="0"/>
          <w:numId w:val="2"/>
        </w:numPr>
        <w:ind w:left="576" w:hanging="288"/>
      </w:pPr>
      <w:r>
        <w:t>its combination with round-end rollouts, max-n backups, decoupled UCT and information sets, compared with TAG's own decoupled information-set MCTS;</w:t>
      </w:r>
    </w:p>
    <w:p>
      <w:pPr>
        <w:pStyle w:val="bulletlist"/>
        <w:numPr>
          <w:ilvl w:val="0"/>
          <w:numId w:val="2"/>
        </w:numPr>
        <w:ind w:left="576" w:hanging="288"/>
      </w:pPr>
      <w:r>
        <w:t>exploratory evidence that settings tuned for four players hurt with three, and a diagnosis of why time beyond 500 ms helps little with four (a wide, shallow joint-move tree);</w:t>
      </w:r>
    </w:p>
    <w:p>
      <w:pPr>
        <w:pStyle w:val="bulletlist"/>
        <w:numPr>
          <w:ilvl w:val="0"/>
          <w:numId w:val="2"/>
        </w:numPr>
        <w:ind w:left="576" w:hanging="288"/>
      </w:pPr>
      <w:r>
        <w:t>leave-one-out and factorial ablations, held-out validation and negative results that locate the agent's remaining limits.</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Each round deals 12 − </w:t>
      </w:r>
      <w:r>
        <w:rPr>
          <w:i/>
        </w:rPr>
        <w:t>n</w:t>
      </w:r>
      <w:r>
        <w:t xml:space="preserve"> cards to each of </w:t>
      </w:r>
      <w:r>
        <w:rPr>
          <w:i/>
        </w:rPr>
        <w:t>n</w:t>
      </w:r>
      <w:r>
        <w:t xml:space="preserve"> players. As the hands rotate, every hand of a round has been seen after </w:t>
      </w:r>
      <w:r>
        <w:rPr>
          <w:i/>
        </w:rPr>
        <w:t>n</w:t>
      </w:r>
      <w:r>
        <w:t xml:space="preserve"> − 1 passes,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w:t>
      </w:r>
      <w:r>
        <w:rPr>
          <w:i/>
        </w:rPr>
        <w:t>n</w:t>
      </w:r>
      <w:r>
        <w:t xml:space="preserve"> − 1 turns. Its known flaws are strategy fusion – the search assumes that it can act differently in states it cannot tell apart – and non-locality [8].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an idea TAG's advanced MCTS agent offers as MultiTree MCTS [9].</w:t>
      </w:r>
    </w:p>
    <w:p>
      <w:pPr>
        <w:pStyle w:val="BodyText"/>
      </w:pPr>
      <w:r>
        <w:t>Simultaneous moves are usually handled by decoupled UCT (DUCT): every player chooses its own action at a node from its own bandit statistics and the joint action leads to a child [10]. UCB-based DUCT need not converge to an equilibrium, so Lanctot et al. [10] compared it in Goofspiel with EXP3, regret matching and their online outcome sampling: regret matching and outcome sampling played best, and decoupled UCT's strategies were the most exploitable. Tak et al. [11] found across nine games that the best variant depends on the game and the opponent, although decoupled UCT was best overall. With several players, UCT with max-n backups (every player maximises its own value) computes a mixed-strategy equilibrium and played at least as well as earlier algorithms [12].</w:t>
      </w:r>
    </w:p>
    <w:p>
      <w:pPr>
        <w:pStyle w:val="BodyText"/>
      </w:pPr>
      <w:r>
        <w:t xml:space="preserve">MCTS has also been applied to the drafting game 7 Wonders, which passes hands in the same way, and many results known from classic games held there too [13]. We build on BasicMCTS, which, unlike TAG's advanced MCTS agent, has none of these features, so that the contribution of each can be measured.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w:t>
      </w:r>
      <w:r>
        <w:rPr>
          <w:rFonts w:ascii="Times New Roman" w:hAnsi="Times New Roman" w:cs="Times New Roman" w:eastAsia="Times New Roman"/>
          <w:i/>
        </w:rPr>
        <w:t>w</w:t>
      </w:r>
      <w:r>
        <w:rPr>
          <w:rFonts w:ascii="Times New Roman" w:hAnsi="Times New Roman" w:cs="Times New Roman" w:eastAsia="Times New Roman"/>
          <w:i/>
          <w:vertAlign w:val="subscript"/>
        </w:rPr>
        <w:t>t</w:t>
      </w:r>
      <w:r>
        <w:rPr>
          <w:rFonts w:ascii="Times New Roman" w:hAnsi="Times New Roman" w:cs="Times New Roman" w:eastAsia="Times New Roman"/>
          <w:i/>
        </w:rPr>
        <w:t xml:space="preserve"> 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w:t>
      </w:r>
      <w:r>
        <w:rPr>
          <w:i/>
        </w:rPr>
        <w:t>w</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[12]</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[10]</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four-player card constants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[2]</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[3]</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scales a Sashimi triple still needing two cards; the Maki standing has weight 1/(1 + </w:t>
      </w:r>
      <w:r>
        <w:rPr>
          <w:i/>
        </w:rPr>
        <w:t>r</w:t>
      </w:r>
      <w:r>
        <w:t>/</w:t>
      </w:r>
      <w:r>
        <w:rPr>
          <w:i/>
        </w:rPr>
        <w:t>T</w:t>
      </w:r>
      <w:r>
        <w:rPr>
          <w:vertAlign w:val="subscript"/>
        </w:rPr>
        <w:t>m</w:t>
      </w:r>
      <w:r>
        <w:t xml:space="preserve">) (1 if </w:t>
      </w:r>
      <w:r>
        <w:rPr>
          <w:i/>
        </w:rPr>
        <w:t>T</w:t>
      </w:r>
      <w:r>
        <w:rPr>
          <w:vertAlign w:val="subscript"/>
        </w:rPr>
        <w:t>m</w:t>
      </w:r>
      <w:r>
        <w:t xml:space="preserve"> = 0), κ per icon the rest; δ weights the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444752"/>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444752"/>
                    </a:xfrm>
                    <a:prstGeom prst="rect"/>
                  </pic:spPr>
                </pic:pic>
              </a:graphicData>
            </a:graphic>
          </wp:inline>
        </w:drawing>
      </w:r>
    </w:p>
    <w:p>
      <w:pPr>
        <w:pStyle w:val="figurecaption"/>
        <w:keepLines/>
      </w:pPr>
      <w:r>
        <w:t>The turn node of the final agent (right) and the sequential tree of v3 (left). The final agent re-samples the cards it cannot see in every iteration (I), lets every player pick by UCB on its own card statistics (S, P), plays the joint pick, rolls out with card-value policies until the round is scored (B, R) and backs every player's value (H) up to the card it chose (M); after the time budget it plays its most visited root card.</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[12],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[10];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From 500 ms it also uses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 xml:space="preserve">TAG as provided for the module, </w:t>
            </w:r>
            <w:r>
              <w:rPr>
                <w:i/>
              </w:rPr>
              <w:t>Sushi Go!</w:t>
            </w:r>
            <w:r>
              <w:t xml:space="preserve">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our previous agent (H, A, B, D, </w:t>
            </w:r>
            <w:r>
              <w:rPr>
                <w:i/>
              </w:rPr>
              <w:t>K</w:t>
            </w:r>
            <w:r>
              <w:t xml:space="preserve"> 1.41). TAG ISMCTS: SushiGo_3+P_HiBudget at our budget (one tree per player [9], UCB-Tuned [2], </w:t>
            </w:r>
            <w:r>
              <w:rPr>
                <w:i/>
              </w:rPr>
              <w:t>K</w:t>
            </w:r>
            <w:r>
              <w:t xml:space="preserve"> 1, random rollouts,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w:t>
            </w:r>
            <w:r>
              <w:rPr>
                <w:i/>
              </w:rPr>
              <w:t>n</w:t>
            </w:r>
            <w:r>
              <w:t xml:space="preserve"> in game </w:t>
            </w:r>
            <w:r>
              <w:rPr>
                <w:i/>
              </w:rPr>
              <w:t>g</w:t>
            </w:r>
            <w:r>
              <w:t>; the other seats alternate between the two opponents (4 players: 2 + 1,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from 19 October (all seed-7 and held-out runs) a fixed deck order is shuffled with it (equal </w:t>
            </w:r>
            <w:r>
              <w:rPr>
                <w:i/>
              </w:rPr>
              <w:t>s</w:t>
            </w:r>
            <w:r>
              <w:t>, equal deals: paired runs); earlier runs used TAG's own deal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at 900 ms (development and seed block 7) and in four-player development at 500 ms (nominally 45–70 s of CPU time per game)</w:t>
            </w:r>
          </w:p>
        </w:tc>
      </w:tr>
      <w:tr>
        <w:tc>
          <w:tcPr>
            <w:tcW w:type="dxa" w:w="1037"/>
            <w:tcMar>
              <w:left w:w="50" w:type="dxa"/>
              <w:right w:w="50" w:type="dxa"/>
            </w:tcMar>
          </w:tcPr>
          <w:p>
            <w:pPr>
              <w:pStyle w:val="tablecopy"/>
              <w:jc w:val="left"/>
            </w:pPr>
            <w:r>
              <w:t>Hardware, records</w:t>
            </w:r>
          </w:p>
        </w:tc>
        <w:tc>
          <w:tcPr>
            <w:tcW w:type="dxa" w:w="3830"/>
            <w:tcMar>
              <w:left w:w="50" w:type="dxa"/>
              <w:right w:w="50" w:type="dxa"/>
            </w:tcMar>
          </w:tcPr>
          <w:p>
            <w:pPr>
              <w:pStyle w:val="tablecopy"/>
              <w:jc w:val="left"/>
            </w:pPr>
            <w:r>
              <w:t>18-core laptop (6–16 games in parallel); candidate tests and validation on a 4-core machine (4 in parallel). Agent files, per-game results and scripts: from the authors</w:t>
            </w:r>
          </w:p>
        </w:tc>
      </w:tr>
    </w:tbl>
    <w:p>
      <w:pPr>
        <w:pStyle w:val="tablecopy"/>
        <w:spacing w:after="80"/>
      </w:pPr>
    </w:p>
    <w:p>
      <w:pPr>
        <w:pStyle w:val="BodyText"/>
      </w:pPr>
      <w:r>
        <w:t>Table II summarises the setup. Each game is an independent trial whose outcome for our agent is 1 for a win, 1/</w:t>
      </w:r>
      <w:r>
        <w:rPr>
          <w:i/>
        </w:rPr>
        <w:t>k</w:t>
      </w:r>
      <w:r>
        <w:t xml:space="preserve"> for a </w:t>
      </w:r>
      <w:r>
        <w:rPr>
          <w:i/>
        </w:rPr>
        <w:t>k</w:t>
      </w:r>
      <w:r>
        <w:t xml:space="preserve">-way shared first place and 0 otherwise. Win rates are reported with Wilson 95% confidence intervals (CI) [14];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agents on the same deal correlate only weakly (0.0–0.2); such a comparison detects a difference of about 8 pp with 80% power. The score margin, usually the more sensitive measure, served to screen ideas. We report unadjusted intervals, apply a Holm correction [15] within the ablation and within the later candidate tests, and treat the four-player comparisons (60 of our 164 runs) as exploratory. We expected (E1) every component to improve both measures, (E2) the decoupled information-set tree to matter more at longer budgets and (E3) the best settings to depend on the number of players; E2 arose from the development runs and is tested on the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526"/>
        <w:gridCol w:w="403"/>
        <w:gridCol w:w="1353"/>
        <w:gridCol w:w="993"/>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526"/>
            <w:tcMar>
              <w:left w:w="50" w:type="dxa"/>
              <w:right w:w="50" w:type="dxa"/>
            </w:tcMar>
            <w:tcBorders>
              <w:bottom w:val="single" w:sz="6" w:space="0" w:color="000000"/>
            </w:tcBorders>
          </w:tcPr>
          <w:p>
            <w:pPr>
              <w:pStyle w:val="tablecolhead"/>
              <w:keepNext/>
              <w:jc w:val="left"/>
            </w:pPr>
            <w:r>
              <w:t>Opponents</w:t>
            </w:r>
          </w:p>
        </w:tc>
        <w:tc>
          <w:tcPr>
            <w:tcW w:type="dxa" w:w="403"/>
            <w:tcMar>
              <w:left w:w="50" w:type="dxa"/>
              <w:right w:w="50" w:type="dxa"/>
            </w:tcMar>
            <w:tcBorders>
              <w:bottom w:val="single" w:sz="6" w:space="0" w:color="000000"/>
            </w:tcBorders>
          </w:tcPr>
          <w:p>
            <w:pPr>
              <w:pStyle w:val="tablecolhead"/>
              <w:keepNext/>
              <w:jc w:val="center"/>
            </w:pPr>
            <w:r>
              <w:rPr>
                <w:i/>
              </w:rPr>
              <w:t>n</w:t>
            </w:r>
          </w:p>
        </w:tc>
        <w:tc>
          <w:tcPr>
            <w:tcW w:type="dxa" w:w="1354"/>
            <w:tcMar>
              <w:left w:w="50" w:type="dxa"/>
              <w:right w:w="50" w:type="dxa"/>
            </w:tcMar>
            <w:tcBorders>
              <w:bottom w:val="single" w:sz="6" w:space="0" w:color="000000"/>
            </w:tcBorders>
          </w:tcPr>
          <w:p>
            <w:pPr>
              <w:pStyle w:val="tablecolhead"/>
              <w:keepNext/>
              <w:jc w:val="center"/>
            </w:pPr>
            <w:r>
              <w:t>Win % [95% CI]</w:t>
            </w:r>
          </w:p>
        </w:tc>
        <w:tc>
          <w:tcPr>
            <w:tcW w:type="dxa" w:w="9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52.6 [48.2, 56.9]</w:t>
            </w:r>
          </w:p>
        </w:tc>
        <w:tc>
          <w:tcPr>
            <w:tcW w:type="dxa" w:w="9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47.2 [42.9, 51.6]</w:t>
            </w:r>
          </w:p>
        </w:tc>
        <w:tc>
          <w:tcPr>
            <w:tcW w:type="dxa" w:w="994"/>
            <w:tcMar>
              <w:left w:w="50" w:type="dxa"/>
              <w:right w:w="50" w:type="dxa"/>
            </w:tcMar>
          </w:tcPr>
          <w:p>
            <w:pPr>
              <w:pStyle w:val="tablecopy"/>
              <w:keepNext/>
              <w:jc w:val="center"/>
            </w:pPr>
            <w:r>
              <w:t>−0.10 ± 0.40</w:t>
            </w:r>
          </w:p>
        </w:tc>
      </w:tr>
      <w:tr>
        <w:trPr>
          <w:cantSplit/>
        </w:trPr>
        <w:tc>
          <w:tcPr>
            <w:tcW w:type="dxa" w:w="605"/>
            <w:tcMar>
              <w:left w:w="50" w:type="dxa"/>
              <w:right w:w="50" w:type="dxa"/>
            </w:tcMar>
          </w:tcPr>
          <w:p>
            <w:pPr>
              <w:pStyle w:val="tablecopy"/>
              <w:keepNext/>
              <w:jc w:val="left"/>
            </w:pPr>
            <w:r>
              <w:t>3p/900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44.4 [40.1, 48.8]</w:t>
            </w:r>
          </w:p>
        </w:tc>
        <w:tc>
          <w:tcPr>
            <w:tcW w:type="dxa" w:w="9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36.5 [32.4, 40.8]</w:t>
            </w:r>
          </w:p>
        </w:tc>
        <w:tc>
          <w:tcPr>
            <w:tcW w:type="dxa" w:w="994"/>
            <w:tcMar>
              <w:left w:w="50" w:type="dxa"/>
              <w:right w:w="50" w:type="dxa"/>
            </w:tcMar>
          </w:tcPr>
          <w:p>
            <w:pPr>
              <w:pStyle w:val="tablecopy"/>
              <w:keepNext/>
              <w:jc w:val="center"/>
            </w:pPr>
            <w:r>
              <w:t>−1.83 ± 0.45</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DUCT,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55.0 [50.6, 59.3]</w:t>
            </w:r>
          </w:p>
        </w:tc>
        <w:tc>
          <w:tcPr>
            <w:tcW w:type="dxa" w:w="994"/>
            <w:tcMar>
              <w:left w:w="50" w:type="dxa"/>
              <w:right w:w="50" w:type="dxa"/>
            </w:tcMar>
          </w:tcPr>
          <w:p>
            <w:pPr>
              <w:pStyle w:val="tablecopy"/>
              <w:keepNext/>
              <w:jc w:val="center"/>
            </w:pPr>
            <w:r>
              <w:t>+0.72 ± 0.40</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ISMCTS × 2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51.3 [46.9, 55.7]</w:t>
            </w:r>
          </w:p>
        </w:tc>
        <w:tc>
          <w:tcPr>
            <w:tcW w:type="dxa" w:w="994"/>
            <w:tcMar>
              <w:left w:w="50" w:type="dxa"/>
              <w:right w:w="50" w:type="dxa"/>
            </w:tcMar>
          </w:tcPr>
          <w:p>
            <w:pPr>
              <w:pStyle w:val="tablecopy"/>
              <w:keepNext/>
              <w:jc w:val="center"/>
            </w:pPr>
            <w:r>
              <w:t>+1.41 ± 0.51</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BasicMCTS, RHEA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84.2 [80.7, 87.1]</w:t>
            </w:r>
          </w:p>
        </w:tc>
        <w:tc>
          <w:tcPr>
            <w:tcW w:type="dxa" w:w="9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OSLA, BasicMCTS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87.2 [84.0, 89.8]</w:t>
            </w:r>
          </w:p>
        </w:tc>
        <w:tc>
          <w:tcPr>
            <w:tcW w:type="dxa" w:w="994"/>
            <w:tcMar>
              <w:left w:w="50" w:type="dxa"/>
              <w:right w:w="50" w:type="dxa"/>
            </w:tcMar>
          </w:tcPr>
          <w:p>
            <w:pPr>
              <w:pStyle w:val="tablecopy"/>
              <w:keepNext/>
              <w:jc w:val="center"/>
            </w:pPr>
            <w:r>
              <w:t>+9.74 ± 0.75</w:t>
            </w:r>
          </w:p>
        </w:tc>
      </w:tr>
    </w:tbl>
    <w:p>
      <w:pPr>
        <w:pStyle w:val="tablecopy"/>
        <w:spacing w:before="40" w:after="160"/>
        <w:jc w:val="left"/>
      </w:pPr>
      <w:r>
        <w:t xml:space="preserve">Setting: players / ms per decision. Deals: held-out seed block 100 000; </w:t>
      </w:r>
      <w:r>
        <w:rPr>
          <w:vertAlign w:val="superscript"/>
        </w:rPr>
        <w:t>a</w:t>
      </w:r>
      <w:r>
        <w:t xml:space="preserve"> seed block 7. Margin: our score minus the best opponent's in points, ± 95% CI. Chance: 33.3% (3 players), 25% (4 players).</w:t>
      </w:r>
    </w:p>
    <w:p>
      <w:pPr>
        <w:pStyle w:val="BodyText"/>
      </w:pPr>
      <w:r>
        <w:t>Table III reports the final agent: on the held-out deals it wins 47.2–52.6% of three-player and 36.5–44.4% of four-player games against v2 and TAG's ISMCTS. On seed block 7, whose deals overlap the development deals, it had won 55.0% at 100 ms (58.1% re-run on the held-out runs' machine): 2.4 ± 6.1 pp and 5.5 ± 6.1 pp more, neither significant. At 100 ms it outscores v2 and ISMCTS with Nigiri (17.6, 15.2 and 12.9 points per game, Wasabi included) and Pudding bonuses (2.9, 0.5, 2.5), while v2 chases Sashimi (9.1 against our 3.0). TAG's DUCT agent (decoupled selection and information sets, but no card-value model or round-end rollouts) wins 21.0% of its seats in place of v2, the same share as v2. BasicMCTS, RHEA and OSLA win at most 12.8% of their seats (OSLA none: its one-step look-ahead never reaches the reveal).</w:t>
      </w:r>
    </w:p>
    <w:p>
      <w:pPr>
        <w:pStyle w:val="Heading2"/>
      </w:pPr>
      <w:r>
        <w:t>Ablation (RQ1)</w:t>
      </w:r>
    </w:p>
    <w:p>
      <w:pPr>
        <w:keepNext/>
        <w:spacing w:before="120"/>
        <w:jc w:val="center"/>
      </w:pPr>
      <w:r>
        <w:drawing>
          <wp:inline xmlns:a="http://schemas.openxmlformats.org/drawingml/2006/main" xmlns:pic="http://schemas.openxmlformats.org/drawingml/2006/picture">
            <wp:extent cx="3099816" cy="182880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828800"/>
                    </a:xfrm>
                    <a:prstGeom prst="rect"/>
                  </pic:spPr>
                </pic:pic>
              </a:graphicData>
            </a:graphic>
          </wp:inline>
        </w:drawing>
      </w:r>
    </w:p>
    <w:p>
      <w:pPr>
        <w:pStyle w:val="figurecaption"/>
        <w:keepLines/>
      </w:pPr>
      <w:r>
        <w:t>Paired effects with three players at 100 ms (seed block 7, 500 games each), ± 95% CI; filled markers survive a Holm correction within their group. Top: one component removed from the final agent (base: final agent, 55.0%). Bottom: TAG's lead heuristic and five later candidate changes, against a re-run of the final agent (58.1%).</w:t>
      </w:r>
    </w:p>
    <w:p>
      <w:pPr>
        <w:pStyle w:val="BodyText"/>
      </w:pPr>
      <w:r>
        <w:t xml:space="preserve">Fig. 2 (top) removes one component at a time from the final agent. Every removal lowers both measures; on the score margin all five differences survive a Holm correction, on the win rate only those of H and of S + I (−R: </w:t>
      </w:r>
      <w:r>
        <w:rPr>
          <w:i/>
        </w:rPr>
        <w:t>z</w:t>
      </w:r>
      <w:r>
        <w:t xml:space="preserve"> = 2.0, −B: 1.4, −I: 1.3), so for these five components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costs 13.6 ± 5.9 pp (</w:t>
      </w:r>
      <w:r>
        <w:rPr>
          <w:i/>
        </w:rPr>
        <w:t>z</w:t>
      </w:r>
      <w:r>
        <w:t xml:space="preserve"> = 4.5) but recovers 17.8 ± 5.6 pp of H's 28.3 pp (paired); as round-end leaves hold no unfinished sets, H differs from it only by the Pudding standing, the mean-opponent term and its bounded scale (not separated), while the card values act through B. S and I together are worth 10.2 ± 5.7 pp (</w:t>
      </w:r>
      <w:r>
        <w:rPr>
          <w:i/>
        </w:rPr>
        <w:t>z</w:t>
      </w:r>
      <w:r>
        <w:t xml:space="preserve"> = 3.5). S alone, decoupled selection with v3's determinisation, beats v3 by +6.4 ± 5.7 pp (</w:t>
      </w:r>
      <w:r>
        <w:rPr>
          <w:i/>
        </w:rPr>
        <w:t>z</w:t>
      </w:r>
      <w:r>
        <w:t xml:space="preserve"> = 2.2; development: +1.3 ± 6.1 pp), and I adds a further, non-significant 3.8 ± 5.7 pp, in line with Long et al.'s analysis [7] for a game that reveals its hidden information within </w:t>
      </w:r>
      <w:r>
        <w:rPr>
          <w:i/>
        </w:rPr>
        <w:t>n</w:t>
      </w:r>
      <w:r>
        <w:t xml:space="preserve"> − 1 turns. P and M stay (S and I build on them); in a 2</w:t>
      </w:r>
      <w:r>
        <w:rPr>
          <w:vertAlign w:val="superscript"/>
        </w:rPr>
        <w:t>4</w:t>
      </w:r>
      <w:r>
        <w:t xml:space="preserve"> factorial on v3 (R, M, </w:t>
      </w:r>
      <w:r>
        <w:rPr>
          <w:i/>
        </w:rPr>
        <w:t>K</w:t>
      </w:r>
      <w:r>
        <w:t xml:space="preserve"> = 0.5 vs 1.41, </w:t>
      </w:r>
      <w:r>
        <w:rPr>
          <w:i/>
        </w:rPr>
        <w:t>T</w:t>
      </w:r>
      <w:r>
        <w:t xml:space="preserve"> = 8 vs 4; 16 × 500 games) R added 8.7 pp and M 4.1 pp (main effects, each ±2.1), and only the interactions R × </w:t>
      </w:r>
      <w:r>
        <w:rPr>
          <w:i/>
        </w:rPr>
        <w:t>T</w:t>
      </w:r>
      <w:r>
        <w:t xml:space="preserve"> (−4.2) and M × </w:t>
      </w:r>
      <w:r>
        <w:rPr>
          <w:i/>
        </w:rPr>
        <w:t>K</w:t>
      </w:r>
      <w:r>
        <w:t xml:space="preserve"> (+3.2) exceeded |</w:t>
      </w:r>
      <w:r>
        <w:rPr>
          <w:i/>
        </w:rPr>
        <w:t>z</w:t>
      </w:r>
      <w:r>
        <w:t>| = 2.</w:t>
      </w:r>
    </w:p>
    <w:p>
      <w:pPr>
        <w:pStyle w:val="BodyText"/>
      </w:pPr>
      <w:r>
        <w:t>Of five later candidate changes (Fig. 2, bottom), four had estimates between −1.8 and +0.7 pp (each ±5.8, none significant), among them card constants tuned for three players (X3), a stronger greedy policy (45.0% of greedy games against two X0 players), and denial (rollout players also value taking the next player's favourite card); rollouts to the game end with a win-gap value cost 23.7 ± 5.8 pp (</w:t>
      </w:r>
      <w:r>
        <w:rPr>
          <w:i/>
        </w:rPr>
        <w:t>z</w:t>
      </w:r>
      <w:r>
        <w:t xml:space="preserve"> = 8.0), the only change that survives a Holm correction. As X3 also changes the Pudding weight of the leaf evaluation, its null result only weakly echoes simulation balancing [6].</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37160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371600"/>
                    </a:xfrm>
                    <a:prstGeom prst="rect"/>
                  </pic:spPr>
                </pic:pic>
              </a:graphicData>
            </a:graphic>
          </wp:inline>
        </w:drawing>
      </w:r>
    </w:p>
    <w:p>
      <w:pPr>
        <w:pStyle w:val="figurecaption"/>
        <w:keepLines/>
      </w:pPr>
      <w:r>
        <w:t>Win rate with three players against v2 and TAG's ISMCTS by CPU time per decision. Lines: development runs (seed 1, independent samples; 250 games at 900 ms). Open markers: the final agent on the held-out deals (seed block 100 000). Bars: Wilson 95% intervals.</w:t>
      </w:r>
    </w:p>
    <w:p>
      <w:pPr>
        <w:pStyle w:val="BodyText"/>
      </w:pPr>
      <w:r>
        <w:t>In development runs (Fig. 3; independent samples) v3 lost 17.3 ± 7.2 pp from 100 to 900 ms, the final agent 8.1 ± 7.5 pp; the gain from S and I rose from +5.6 ± 6.1 pp to +14.8 ± 8.4 pp, by +9.2 ± 10.4 pp (</w:t>
      </w:r>
      <w:r>
        <w:rPr>
          <w:i/>
        </w:rPr>
        <w:t>z</w:t>
      </w:r>
      <w:r>
        <w:t xml:space="preserve"> = 1.7). We hypothesise that v3's decline comes from its sequential tree, in which later players react to cards chosen earlier in the same turn: a wrong model that more iterations exploit more (at 500 ms both ran about 11 000–12 000 iterations per decision). As v3's 50.1% at 100 ms was the best of 16 factorial cells (45.1–49.4% on new seeds), this rise is probably overstated. On the held-out deals the final agent's own win rate changed by −5.4 ± 5.9 pp (</w:t>
      </w:r>
      <w:r>
        <w:rPr>
          <w:i/>
        </w:rPr>
        <w:t>z</w:t>
      </w:r>
      <w:r>
        <w:t xml:space="preserve"> = 1.8) at 500 ms against 100 ms; pooled with seed block 7 (−5.6 ± 5.9 pp at 500 ms, as in development, and +1.6 ± 8.7 pp at 900 ms on its 250 deals), 500 ms changed it by −5.5 ± 4.2 pp (</w:t>
      </w:r>
      <w:r>
        <w:rPr>
          <w:i/>
        </w:rPr>
        <w:t>z</w:t>
      </w:r>
      <w:r>
        <w:t xml:space="preserve"> = 2.6). The extra time helped TAG's ISMCTS more than our agent: on the held-out deals ISMCTS won 26.4% and 35.9% of its seats at 100 and 500 ms, v2 21.0% and 16.9%. Alternatively, our parameters, tuned at 100 ms, may suit longer budgets less.</w:t>
      </w:r>
    </w:p>
    <w:p>
      <w:pPr>
        <w:pStyle w:val="Heading2"/>
      </w:pPr>
      <w:r>
        <w:t>Four Players and the Limits of Search (RQ3)</w:t>
      </w:r>
    </w:p>
    <w:p>
      <w:pPr>
        <w:pStyle w:val="BodyText"/>
      </w:pPr>
      <w:r>
        <w:t xml:space="preserve">In four-player development no change gave a significant gain at its own budget (X0: +4.3 ± 4.3 pp at 100 ms; X0, W2 and </w:t>
      </w:r>
      <w:r>
        <w:rPr>
          <w:i/>
        </w:rPr>
        <w:t>K</w:t>
      </w:r>
      <w:r>
        <w:t xml:space="preserve"> = 1: +5.8 ± 7.4 pp at 500 ms, F + L a further +1.0 ± 7.9 pp, but −6.6 ± 6.0 pp at 100 ms); we kept each change where its estimate was positive. With three players at 500 ms (both arms with F + L), X0, W2 and </w:t>
      </w:r>
      <w:r>
        <w:rPr>
          <w:i/>
        </w:rPr>
        <w:t>K</w:t>
      </w:r>
      <w:r>
        <w:t xml:space="preserve"> = 1 cost 7.7 ± 5.4 pp (</w:t>
      </w:r>
      <w:r>
        <w:rPr>
          <w:i/>
        </w:rPr>
        <w:t>z</w:t>
      </w:r>
      <w:r>
        <w:t xml:space="preserve"> = 2.8), an effect 13.5 ± 9.1 pp (</w:t>
      </w:r>
      <w:r>
        <w:rPr>
          <w:i/>
        </w:rPr>
        <w:t>z</w:t>
      </w:r>
      <w:r>
        <w:t xml:space="preserve"> = 2.9) different from that with four: consistent with E3, but exploratory (chosen after the four-player runs; four-player gains not significant; only the three-player arms had F + L). Depth matters – at 500 ms a tree cut to depth 1 lost 17.4 ± 8.2 pp – but more time for our agent alone did not help (1 000 ms, </w:t>
      </w:r>
      <w:r>
        <w:rPr>
          <w:i/>
        </w:rPr>
        <w:t>K</w:t>
      </w:r>
      <w:r>
        <w:t xml:space="preserve"> = 1.37: −4.8 ± 8.1 pp), and the 500 ms agent (W2, F + L, </w:t>
      </w:r>
      <w:r>
        <w:rPr>
          <w:i/>
        </w:rPr>
        <w:t>K</w:t>
      </w:r>
      <w:r>
        <w:t xml:space="preserve"> = 1; all agents at 500 ms) changed our win rate against the 100 ms agent by −5.4 ± 5.9 pp on seed block 7 and −7.9 ± 5.7 pp on the held-out deals (pooled −6.7 ± 4.1 pp, </w:t>
      </w:r>
      <w:r>
        <w:rPr>
          <w:i/>
        </w:rPr>
        <w:t>z</w:t>
      </w:r>
      <w:r>
        <w:t xml:space="preserve"> = 3.2). On 73 random positions the 500 ms tree has 704 joint-move children at the root, 53% visited once; doubling the time or the rollouts per leaf changed the card in 2 and 4 of them, no more often than a re-run (4 with the same seed, 7 with another).</w:t>
      </w:r>
    </w:p>
    <w:p>
      <w:pPr>
        <w:pStyle w:val="Heading1"/>
      </w:pPr>
      <w:r>
        <w:t>Conclusions and Future Work</w:t>
      </w:r>
    </w:p>
    <w:p>
      <w:pPr>
        <w:pStyle w:val="BodyText"/>
      </w:pPr>
      <w:r>
        <w:t>For RQ1, removing any of five components lowers the final agent's score margin significantly, but after a Holm correction only removing the evaluation H (worth 13.6 pp over TAG's lead heuristic) or the decoupled information-set tree (10.2 pp over v3's sequential, determinised tree) also lowers its win rate. On held-out deals it wins 47.2–52.6% of three-player and 36.5–44.4% of four-player games. For RQ2, the final agent itself won 5.5 ± 4.2 pp less at 500 than at 100 ms (</w:t>
      </w:r>
      <w:r>
        <w:rPr>
          <w:i/>
        </w:rPr>
        <w:t>z</w:t>
      </w:r>
      <w:r>
        <w:t xml:space="preserve"> = 2.6; two deal sets pooled), while TAG's ISMCTS gained seats; in development v3's sequential tree lost more strength at longer budgets than the decoupled one, though the difference between the trends is not significant. For RQ3, settings tuned for four players cost 7.7 ± 5.4 pp with three players while their gain with four was not significant (an exploratory result); the four-player 500 ms agent won 6.7 ± 4.1 pp less than the 100 ms one (pooled), which mixes the budget with W2, F + L and </w:t>
      </w:r>
      <w:r>
        <w:rPr>
          <w:i/>
        </w:rPr>
        <w:t>K</w:t>
      </w:r>
      <w:r>
        <w:t xml:space="preserve"> = 1; and with four players time beyond 500 ms rarely changes the decision of the wide, shallow joint-move tree.</w:t>
      </w:r>
    </w:p>
    <w:p>
      <w:pPr>
        <w:pStyle w:val="BodyText"/>
      </w:pPr>
      <w:r>
        <w:t>Our opponents were framework agents and our own previous version, the four-player settings rest on 250-game runs and non-significant gains, and CPU-time budgets hide wall-clock effects. As hand-tuned changes to the model no longer move the agent, future work should learn the evaluation from game outcomes; regret matching or EXP3 deserve a test, as decoupled UCT is best overall but not in every game [11] and was the most exploitable in Goofspiel [10]; and opponent models fitted to observed picks could replace the single greedy policy that now models all players.</w:t>
      </w:r>
    </w:p>
    <w:p>
      <w:pPr>
        <w:pStyle w:val="Heading5"/>
        <w:keepNext/>
      </w:pPr>
      <w:r>
        <w:t>Use of Generative AI</w:t>
      </w:r>
    </w:p>
    <w:p>
      <w:pPr>
        <w:pStyle w:val="BodyText"/>
      </w:pPr>
      <w:r>
        <w:t xml:space="preserve">We used Claude [16]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is computed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prompted as “an independent, strict marker for the QMUL module ECS7032P” to mark it against the brief and the rubric, to recompute its numbers from our result files and to list the changes that would raise the mark. Its written reports, one per draft (available on request), were the prompts for the revisions;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I. Frank and D. Basin, “Search in games with incomplete information: A case study using Bridge card play,” </w:t>
      </w:r>
      <w:r>
        <w:rPr>
          <w:i/>
        </w:rPr>
        <w:t>Artif. Intell.</w:t>
      </w:r>
      <w:r>
        <w:t>, vol. 100, no. 1–2, pp. 87–123, 1998.</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[16];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