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In Sushi Go! players pick cards simultaneously from hidden hands that rotate around the table, which basic Monte Carlo tree search (MCTS) does not model. Starting from TAG's BasicMCTS, we added a model of the game's scoring that drives evaluation and rollouts, rollouts that end with the round, max-n backups, decoupled UCT for the simultaneous choices and information-set search. On held-out deals the agent wins 52.6% of 500 three-player games at 100 ms against TAG's ISMCTS and our previous agent (chance 33.3%), [pending]% with four players (chance 25%) and [pending]% at 900 ms. Ablations show that the heuristic and the simultaneous-move tree matter most, that the tree's advantage tends to grow with the time budget, and that four players need different settings.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well-defined rule sets, which makes them a long-standing test bed for game AI;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and assessed simultaneous action selection and complete information in it; the current version, which we use,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(mostly) 500 games.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a re-implementation on BasicMCTS of round-end rollouts, max-n backups, decoupled UCT and information-set search, combined with this model and compared with TAG's own decoupled information-set MCTS;</w:t>
      </w:r>
    </w:p>
    <w:p>
      <w:pPr>
        <w:pStyle w:val="bulletlist"/>
        <w:numPr>
          <w:ilvl w:val="0"/>
          <w:numId w:val="2"/>
        </w:numPr>
        <w:ind w:left="576" w:hanging="288"/>
      </w:pPr>
      <w:r>
        <w:t>evidence that the best settings differ between three and four players;</w:t>
      </w:r>
    </w:p>
    <w:p>
      <w:pPr>
        <w:pStyle w:val="bulletlist"/>
        <w:numPr>
          <w:ilvl w:val="0"/>
          <w:numId w:val="2"/>
        </w:numPr>
        <w:ind w:left="576" w:hanging="288"/>
      </w:pPr>
      <w:r>
        <w:t>a study of 159 runs (67 850 games) with leave-one-out ablations, a 2</w:t>
      </w:r>
      <w:r>
        <w:rPr>
          <w:vertAlign w:val="superscript"/>
        </w:rPr>
        <w:t>4</w:t>
      </w:r>
      <w:r>
        <w:t xml:space="preserve"> factorial design, validation on held-out deals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[2] or priors such as progressive bias [6]. A stronger rollout policy does not guarantee better estimates, however: Silver and Tesauro [7] showed that rollouts should be balanced, i.e., give unbiased value estimates, rather than be played by a strong policy.</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[8] related its success in card games to properties such as how quickly hidden information is revealed during play, which in Sushi Go! happens within </w:t>
      </w:r>
      <w:r>
        <w:rPr>
          <w:i/>
        </w:rPr>
        <w:t>n</w:t>
      </w:r>
      <w:r>
        <w:t xml:space="preserve"> − 1 turns. Its known flaws are strategy fusion – the search assumes that it can act differently in states it cannot tell apart – and non-locality [9]. Information-set MCTS (ISMCTS) [3] avoids strategy fusion by searching one tree over the searcher's information sets and sampling the hidden information anew in every iteration; it was developed for card games such as the three-player Dou Di Zhu. In its single-observer form the opponents' choices in the tree are not conditioned on their own private information; the multiple-observer form models it with one tree per player at a higher cost [3], an idea TAG's advanced MCTS agent offers as MultiTree MCTS [10].</w:t>
      </w:r>
    </w:p>
    <w:p>
      <w:pPr>
        <w:pStyle w:val="BodyText"/>
      </w:pPr>
      <w:r>
        <w:t>Simultaneous moves are usually handled by decoupled UCT (DUCT): every player chooses its own action at a node from its own bandit statistics and the joint action leads to a child [11]. UCB-based DUCT need not converge to an equilibrium, so Lanctot et al. [11] compared it with EXP3 and regret-matching selection, and Tak et al. [12] found that the best variant depends on the game; both studies used two-player games such as Goofspiel. In multi-player games, UCT with max-n backups, in which every player maximises its own value, computes a mixed-strategy equilibrium and played as well as or better than earlier multi-player search algorithms in Sturtevant's experiments [13].</w:t>
      </w:r>
    </w:p>
    <w:p>
      <w:pPr>
        <w:pStyle w:val="BodyText"/>
      </w:pPr>
      <w:r>
        <w:t>TAG's advanced MCTS agent already offers information sets, one tree per player and a decoupled option, but the assignment does not allow it as a basis; BasicMCTS has none of these ideas. How they combine with domain knowledge in a multi-player drafting game, what each contributes, and how this depends on the time budget and the number of players has not been studied: the earlier Sushi Go! study [4] predates the version with hidden hands. These are the questions this paper answers.</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so all variants run the same code; Fig. 1 shows one iteration of the final agent. The search techniques come from the literature; our own elements are the card-value model shared by the evaluation and every player's simulation, and its integration with these techniques on BasicMCTS.</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the card-value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card-model constants tuned for 4 players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[6]</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[8]</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sz w:val="14"/>
          <w:vertAlign w:val="superscript"/>
        </w:rPr>
        <w:t>a</w:t>
      </w:r>
      <w:r>
        <w:rPr>
          <w:sz w:val="14"/>
        </w:rPr>
        <w:t xml:space="preserve"> σ 15, </w:t>
      </w:r>
      <w:r>
        <w:rPr>
          <w:i/>
          <w:sz w:val="14"/>
        </w:rPr>
        <w:t>w</w:t>
      </w:r>
      <w:r>
        <w:rPr>
          <w:sz w:val="14"/>
        </w:rPr>
        <w:t xml:space="preserve"> 0.7, α 0.5, </w:t>
      </w:r>
      <w:r>
        <w:rPr>
          <w:i/>
          <w:sz w:val="14"/>
        </w:rPr>
        <w:t>T</w:t>
      </w:r>
      <w:r>
        <w:rPr>
          <w:sz w:val="14"/>
        </w:rPr>
        <w:t xml:space="preserve"> 6; Sashimi discount 0.5; Maki horizon 3 with 0.25 per icon; next-Dumpling weight 1.5; Pudding factor 1.25; average Nigiri 3; 3 cards per missing card left in the hands. </w:t>
      </w:r>
      <w:r>
        <w:rPr>
          <w:sz w:val="14"/>
          <w:vertAlign w:val="superscript"/>
        </w:rPr>
        <w:t>b</w:t>
      </w:r>
      <w:r>
        <w:rPr>
          <w:sz w:val="14"/>
        </w:rPr>
        <w:t xml:space="preserve"> at 500 ms or more per decision.</w:t>
      </w:r>
    </w:p>
    <w:p>
      <w:pPr>
        <w:keepNext/>
        <w:spacing w:before="120"/>
        <w:jc w:val="center"/>
      </w:pPr>
      <w:r>
        <w:drawing>
          <wp:inline xmlns:a="http://schemas.openxmlformats.org/drawingml/2006/main" xmlns:pic="http://schemas.openxmlformats.org/drawingml/2006/picture">
            <wp:extent cx="3099816" cy="1517904"/>
            <wp:docPr id="1" name="Picture 1"/>
            <wp:cNvGraphicFramePr>
              <a:graphicFrameLocks noChangeAspect="1"/>
            </wp:cNvGraphicFramePr>
            <a:graphic>
              <a:graphicData uri="http://schemas.openxmlformats.org/drawingml/2006/picture">
                <pic:pic>
                  <pic:nvPicPr>
                    <pic:cNvPr id="0" name="fig1_iteration.png"/>
                    <pic:cNvPicPr/>
                  </pic:nvPicPr>
                  <pic:blipFill>
                    <a:blip r:embed="rId10"/>
                    <a:stretch>
                      <a:fillRect/>
                    </a:stretch>
                  </pic:blipFill>
                  <pic:spPr>
                    <a:xfrm>
                      <a:off x="0" y="0"/>
                      <a:ext cx="3099816" cy="1517904"/>
                    </a:xfrm>
                    <a:prstGeom prst="rect"/>
                  </pic:spPr>
                </pic:pic>
              </a:graphicData>
            </a:graphic>
          </wp:inline>
        </w:drawing>
      </w:r>
    </w:p>
    <w:p>
      <w:pPr>
        <w:pStyle w:val="figurecaption"/>
      </w:pPr>
      <w:r>
        <w:t>One iteration of the final agent. The letters refer to Table I; after the time budget the agent plays its most visited card at the root.</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for a set that needs </w:t>
      </w:r>
      <w:r>
        <w:rPr>
          <w:i/>
        </w:rPr>
        <w:t>m</w:t>
      </w:r>
      <w:r>
        <w:t xml:space="preserve"> more cards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(with Chopsticks, the second card is the best remaining one); the same policy models the opponents. </w:t>
      </w:r>
      <w:r>
        <w:rPr>
          <w:b/>
        </w:rPr>
        <w:t>R:</w:t>
      </w:r>
      <w:r>
        <w:t xml:space="preserve"> a rollout stops when the current round has been scored; only Pudding carries over, which (1) captures, so the leaves are valued by banked points and the Pudding standing.</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[13].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[11]. In v3 the players of a turn appeared one after another in the tree, so a later player “saw” the card an earlier player had just chosen, which is impossible in the real game.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(Section IV-D). It uses the card constants X0 (Table I), found by a search-free coordinate tuner that plays greedy card-value policies against each other. From 500 ms it also uses </w:t>
      </w:r>
      <w:r>
        <w:rPr>
          <w:b/>
        </w:rPr>
        <w:t>W2</w:t>
      </w:r>
      <w:r>
        <w:t xml:space="preserve"> – </w:t>
      </w:r>
      <w:r>
        <w:rPr>
          <w:i/>
        </w:rPr>
        <w:t>w</w:t>
      </w:r>
      <w:r>
        <w:t xml:space="preserve"> = 1; finished games valued by tanh((</w:t>
      </w:r>
      <w:r>
        <w:rPr>
          <w:i/>
        </w:rPr>
        <w:t>S</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S</w:t>
      </w:r>
      <w:r>
        <w:rPr>
          <w:i/>
          <w:vertAlign w:val="subscript"/>
        </w:rPr>
        <w:t>j</w:t>
      </w:r>
      <w:r>
        <w:t>)/2) with Pudding as tie-break; σ multiplied by (</w:t>
      </w:r>
      <w:r>
        <w:rPr>
          <w:i/>
        </w:rPr>
        <w:t>R</w:t>
      </w:r>
      <w:r>
        <w:t>/2)</w:t>
      </w:r>
      <w:r>
        <w:rPr>
          <w:vertAlign w:val="superscript"/>
        </w:rPr>
        <w:t>0.5</w:t>
      </w:r>
      <w:r>
        <w:t xml:space="preserve"> for </w:t>
      </w:r>
      <w:r>
        <w:rPr>
          <w:i/>
        </w:rPr>
        <w:t>R</w:t>
      </w:r>
      <w:r>
        <w:t xml:space="preserve">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 At 500 ms this gives 36 806 iterations of 8 rollouts per decision against 10 170 single-rollout iterations without F and L.</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TAG as distributed with the module, Sushi Go!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(frozen copy of our previous agent): H, progressive bias, B, D, </w:t>
            </w:r>
            <w:r>
              <w:rPr>
                <w:i/>
              </w:rPr>
              <w:t>K</w:t>
            </w:r>
            <w:r>
              <w:t xml:space="preserve"> 1.41. TAG ISMCTS: TAG's SushiGo_3+P_HiBudget configuration, set for 400 ms and run at our budget (information sets, one tree per player [10], UCB-Tuned, </w:t>
            </w:r>
            <w:r>
              <w:rPr>
                <w:i/>
              </w:rPr>
              <w:t>K</w:t>
            </w:r>
            <w:r>
              <w:t xml:space="preserve"> 1, random rollouts to the game end, score heuristic). TAG DUCT: TAG's SushiGoDUCT configuration (decoupled UCT, </w:t>
            </w:r>
            <w:r>
              <w:rPr>
                <w:i/>
              </w:rPr>
              <w:t>K</w:t>
            </w:r>
            <w:r>
              <w:t xml:space="preserve"> 1, information sets, lead heuristic, 30-move rollouts). BasicMCTS (</w:t>
            </w:r>
            <w:r>
              <w:rPr>
                <w:i/>
              </w:rPr>
              <w:t>K</w:t>
            </w:r>
            <w:r>
              <w:t xml:space="preserve"> 1.41, 10-move random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since v4 a fixed deck order is shuffled with it, so equal </w:t>
            </w:r>
            <w:r>
              <w:rPr>
                <w:i/>
              </w:rPr>
              <w:t>s</w:t>
            </w:r>
            <w:r>
              <w:t xml:space="preserve"> gives equal deals (paired runs); earlier runs used TAG's own deal, which differs between runs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1001–3001); ablation and last study </w:t>
            </w:r>
            <w:r>
              <w:rPr>
                <w:i/>
              </w:rPr>
              <w:t>s</w:t>
            </w:r>
            <w:r>
              <w:t xml:space="preserve"> = 7; held-out validation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in 4-player 500 ms development and in the 500/900 ms validation (48–73 s of CPU time per game); 300 in one run</w:t>
            </w:r>
          </w:p>
        </w:tc>
      </w:tr>
      <w:tr>
        <w:trPr>
          <w:cantSplit/>
        </w:trPr>
        <w:tc>
          <w:tcPr>
            <w:tcW w:type="dxa" w:w="1037"/>
            <w:tcMar>
              <w:left w:w="50" w:type="dxa"/>
              <w:right w:w="50" w:type="dxa"/>
            </w:tcMar>
          </w:tcPr>
          <w:p>
            <w:pPr>
              <w:pStyle w:val="tablecopy"/>
              <w:keepNext/>
              <w:jc w:val="left"/>
            </w:pPr>
            <w:r>
              <w:t>Hardware</w:t>
            </w:r>
          </w:p>
        </w:tc>
        <w:tc>
          <w:tcPr>
            <w:tcW w:type="dxa" w:w="3830"/>
            <w:tcMar>
              <w:left w:w="50" w:type="dxa"/>
              <w:right w:w="50" w:type="dxa"/>
            </w:tcMar>
          </w:tcPr>
          <w:p>
            <w:pPr>
              <w:pStyle w:val="tablecopy"/>
              <w:keepNext/>
              <w:jc w:val="left"/>
            </w:pPr>
            <w:r>
              <w:t>18-core laptop (6–16 games in parallel); last study and validation on a 4-core machine (4 in parallel)</w:t>
            </w:r>
          </w:p>
        </w:tc>
      </w:tr>
      <w:tr>
        <w:tc>
          <w:tcPr>
            <w:tcW w:type="dxa" w:w="1037"/>
            <w:tcMar>
              <w:left w:w="50" w:type="dxa"/>
              <w:right w:w="50" w:type="dxa"/>
            </w:tcMar>
          </w:tcPr>
          <w:p>
            <w:pPr>
              <w:pStyle w:val="tablecopy"/>
              <w:jc w:val="left"/>
            </w:pPr>
            <w:r>
              <w:t>Records</w:t>
            </w:r>
          </w:p>
        </w:tc>
        <w:tc>
          <w:tcPr>
            <w:tcW w:type="dxa" w:w="3830"/>
            <w:tcMar>
              <w:left w:w="50" w:type="dxa"/>
              <w:right w:w="50" w:type="dxa"/>
            </w:tcMar>
          </w:tcPr>
          <w:p>
            <w:pPr>
              <w:pStyle w:val="tablecopy"/>
              <w:jc w:val="left"/>
            </w:pPr>
            <w:r>
              <w:t>agent files, per-game results and scripts of every run are kept with our code (experiments_v3 to experiments_v5)</w:t>
            </w:r>
          </w:p>
        </w:tc>
      </w:tr>
    </w:tbl>
    <w:p>
      <w:pPr>
        <w:pStyle w:val="BodyText"/>
      </w:pPr>
      <w:r>
        <w:t>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(0.0–0.15); the score margin is about twice as sensitive and served to screen ideas. We report unadjusted intervals and state where a conclusion survives a Holm correction. We expected (H1) every component to improve both measures, (H2) the decoupled information-set tree to matter more at longer budgets and (H3) the best settings to depend on the number of players.</w:t>
      </w:r>
    </w:p>
    <w:p>
      <w:pPr>
        <w:pStyle w:val="Heading1"/>
      </w:pPr>
      <w:r>
        <w:t>Results</w:t>
      </w:r>
    </w:p>
    <w:p>
      <w:pPr>
        <w:pStyle w:val="Heading2"/>
      </w:pPr>
      <w:r>
        <w:t>Development from v2 to v4 (RQ1, RQ2)</w:t>
      </w:r>
    </w:p>
    <w:p>
      <w:pPr>
        <w:pStyle w:val="BodyText"/>
      </w:pPr>
      <w:r>
        <w:t xml:space="preserve">Fig. 2 traces the development with three players (independent samples). Removing progressive bias from v2 and adding P, R, M and </w:t>
      </w:r>
      <w:r>
        <w:rPr>
          <w:i/>
        </w:rPr>
        <w:t>K</w:t>
      </w:r>
      <w:r>
        <w:t xml:space="preserve"> = 0.5 doubled the win rate at 100 ms (24.8% → 50.1%, +25.3 ± 5.8 pp). In a 2</w:t>
      </w:r>
      <w:r>
        <w:rPr>
          <w:vertAlign w:val="superscript"/>
        </w:rPr>
        <w:t>4</w:t>
      </w:r>
      <w:r>
        <w:t xml:space="preserve"> factorial design on top of H + B + D + P (16 cells × 500 games) the main effects were +8.7 ± 2.1 pp for R (</w:t>
      </w:r>
      <w:r>
        <w:rPr>
          <w:i/>
        </w:rPr>
        <w:t>z</w:t>
      </w:r>
      <w:r>
        <w:t xml:space="preserve"> = 8.1), +5.2 ± 2.2 for </w:t>
      </w:r>
      <w:r>
        <w:rPr>
          <w:i/>
        </w:rPr>
        <w:t>K</w:t>
      </w:r>
      <w:r>
        <w:t xml:space="preserve"> = 0.5 instead of 1.41, +4.1 ± 2.0 for M and +3.6 ± 2.0 for a completion horizon </w:t>
      </w:r>
      <w:r>
        <w:rPr>
          <w:i/>
        </w:rPr>
        <w:t>T</w:t>
      </w:r>
      <w:r>
        <w:t xml:space="preserve"> = 8; max-n backups needed less exploration (M × </w:t>
      </w:r>
      <w:r>
        <w:rPr>
          <w:i/>
        </w:rPr>
        <w:t>K</w:t>
      </w:r>
      <w:r>
        <w:t xml:space="preserve"> +3.2 ± 2.2), and </w:t>
      </w:r>
      <w:r>
        <w:rPr>
          <w:i/>
        </w:rPr>
        <w:t>T</w:t>
      </w:r>
      <w:r>
        <w:t xml:space="preserve"> = 8 was dropped because it overlaps with R (R × </w:t>
      </w:r>
      <w:r>
        <w:rPr>
          <w:i/>
        </w:rPr>
        <w:t>T</w:t>
      </w:r>
      <w:r>
        <w:t xml:space="preserve"> −4.2 ± 2.1). Progressive bias no longer helped once informed rollouts were present (−1.2 ± 4.3 pp), and making the opponents in the tree follow the greedy card-value policy cost 16.9 ± 5.8 pp.</w:t>
      </w:r>
    </w:p>
    <w:p>
      <w:pPr>
        <w:keepNext/>
        <w:spacing w:before="120"/>
        <w:jc w:val="center"/>
      </w:pPr>
      <w:r>
        <w:drawing>
          <wp:inline xmlns:a="http://schemas.openxmlformats.org/drawingml/2006/main" xmlns:pic="http://schemas.openxmlformats.org/drawingml/2006/picture">
            <wp:extent cx="3099816" cy="1691640"/>
            <wp:docPr id="2" name="Picture 2"/>
            <wp:cNvGraphicFramePr>
              <a:graphicFrameLocks noChangeAspect="1"/>
            </wp:cNvGraphicFramePr>
            <a:graphic>
              <a:graphicData uri="http://schemas.openxmlformats.org/drawingml/2006/picture">
                <pic:pic>
                  <pic:nvPicPr>
                    <pic:cNvPr id="0" name="fig2_budget.png"/>
                    <pic:cNvPicPr/>
                  </pic:nvPicPr>
                  <pic:blipFill>
                    <a:blip r:embed="rId11"/>
                    <a:stretch>
                      <a:fillRect/>
                    </a:stretch>
                  </pic:blipFill>
                  <pic:spPr>
                    <a:xfrm>
                      <a:off x="0" y="0"/>
                      <a:ext cx="3099816" cy="1691640"/>
                    </a:xfrm>
                    <a:prstGeom prst="rect"/>
                  </pic:spPr>
                </pic:pic>
              </a:graphicData>
            </a:graphic>
          </wp:inline>
        </w:drawing>
      </w:r>
    </w:p>
    <w:p>
      <w:pPr>
        <w:pStyle w:val="figurecaption"/>
      </w:pPr>
      <w:r>
        <w:t>Win rate with three players against v2 and TAG's ISMCTS by CPU time per decision. Lines: development runs (seed 1, independent samples; v2 = H + A + B + D, v3 = H + B + D + P + R + M, v4 = v3 + S + I − D). Open circles: the final agent on held-out deals. Bars: Wilson 95% intervals.</w:t>
      </w:r>
    </w:p>
    <w:p>
      <w:pPr>
        <w:pStyle w:val="BodyText"/>
      </w:pPr>
      <w:r>
        <w:t xml:space="preserve">With longer budgets v3 lost 17.3 ± 7.3 pp from 100 to 900 ms but v4 only 8.1 ± 7.6 pp, so the gain from S and I rose from +5.6 ± 6.2 to +14.8 ± 8.5 pp; the rise (+9.2 ± 10.5 pp, </w:t>
      </w:r>
      <w:r>
        <w:rPr>
          <w:i/>
        </w:rPr>
        <w:t>z</w:t>
      </w:r>
      <w:r>
        <w:t xml:space="preserve"> = 1.7) agrees with H2 but is not significant. S alone added +1.3 pp to v3 at 100 ms and +6.2 pp at 500 ms, so the decoupled tree carries most of the budget dependence. We attribute this to v3's sequential tree, in which later players react to cards chosen earlier in the same turn: a wrong model that more iterations exploit more. It is not a lack of search: at 900 ms v3 ran 19 696 iterations per decision, v4 21 246. Part of every agent's decline comes from the opponents: the TAG ISMCTS seats won 27.7% of v4's validation games at 100 ms but 35.1% at 500 ms.</w:t>
      </w:r>
    </w:p>
    <w:p>
      <w:pPr>
        <w:pStyle w:val="Heading2"/>
      </w:pPr>
      <w:r>
        <w:t>Final Agent on Held-Out Deals (RQ1)</w:t>
      </w:r>
    </w:p>
    <w:p>
      <w:pPr>
        <w:pStyle w:val="tablehead"/>
        <w:keepNext/>
      </w:pPr>
      <w:r>
        <w:t>Final agent on held-out deals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354"/>
            <w:tcMar>
              <w:left w:w="50" w:type="dxa"/>
              <w:right w:w="50" w:type="dxa"/>
            </w:tcMar>
          </w:tcPr>
          <w:p>
            <w:pPr>
              <w:pStyle w:val="tablecopy"/>
              <w:keepNext/>
              <w:jc w:val="center"/>
            </w:pPr>
            <w:r>
              <w:t>54.2 [48.5, 59.7]</w:t>
            </w:r>
          </w:p>
        </w:tc>
        <w:tc>
          <w:tcPr>
            <w:tcW w:type="dxa" w:w="994"/>
            <w:tcMar>
              <w:left w:w="50" w:type="dxa"/>
              <w:right w:w="50" w:type="dxa"/>
            </w:tcMar>
          </w:tcPr>
          <w:p>
            <w:pPr>
              <w:pStyle w:val="tablecopy"/>
              <w:keepNext/>
              <w:jc w:val="center"/>
            </w:pPr>
            <w:r>
              <w:t>+1.66 ± 0.69</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rPr>
          <w:sz w:val="14"/>
        </w:rPr>
        <w:t xml:space="preserve">Setting: players / ms per decision. Seed block 100 000 except </w:t>
      </w:r>
      <w:r>
        <w:rPr>
          <w:sz w:val="14"/>
          <w:vertAlign w:val="superscript"/>
        </w:rPr>
        <w:t>a</w:t>
      </w:r>
      <w:r>
        <w:rPr>
          <w:sz w:val="14"/>
        </w:rPr>
        <w:t xml:space="preserve"> seed block 7 (used for no decision about these opponents). Margin: our score minus the best opponent's, ± 95% CI. Chance: 33.3% (3 players), 25% (4 players).</w:t>
      </w:r>
    </w:p>
    <w:p>
      <w:pPr>
        <w:pStyle w:val="BodyText"/>
      </w:pPr>
      <w:r>
        <w:t>Table III reports the final agent on held-out deals. Against v2 and TAG's ISMCTS it wins 52.6% at 100 ms with three players. On seed block 7, which overlaps the development deals, it had won 55.0% at 100 ms (−2.4 ± 6.2 pp), so we see no sign that the development overfitted its deals. BasicMCTS, RHEA and OSLA win at most 12.8% of their seats; OSLA wins none, as cards are revealed only when all players have chosen, so its look-ahead rarely sees a change of score.</w:t>
      </w:r>
    </w:p>
    <w:p>
      <w:pPr>
        <w:pStyle w:val="Heading2"/>
      </w:pPr>
      <w:r>
        <w:t>Ablation (RQ1)</w:t>
      </w:r>
    </w:p>
    <w:p>
      <w:pPr>
        <w:keepNext/>
        <w:spacing w:before="120"/>
        <w:jc w:val="center"/>
      </w:pPr>
      <w:r>
        <w:drawing>
          <wp:inline xmlns:a="http://schemas.openxmlformats.org/drawingml/2006/main" xmlns:pic="http://schemas.openxmlformats.org/drawingml/2006/picture">
            <wp:extent cx="3099816" cy="2331720"/>
            <wp:docPr id="3" name="Picture 3"/>
            <wp:cNvGraphicFramePr>
              <a:graphicFrameLocks noChangeAspect="1"/>
            </wp:cNvGraphicFramePr>
            <a:graphic>
              <a:graphicData uri="http://schemas.openxmlformats.org/drawingml/2006/picture">
                <pic:pic>
                  <pic:nvPicPr>
                    <pic:cNvPr id="0" name="fig3_effects.png"/>
                    <pic:cNvPicPr/>
                  </pic:nvPicPr>
                  <pic:blipFill>
                    <a:blip r:embed="rId12"/>
                    <a:stretch>
                      <a:fillRect/>
                    </a:stretch>
                  </pic:blipFill>
                  <pic:spPr>
                    <a:xfrm>
                      <a:off x="0" y="0"/>
                      <a:ext cx="3099816" cy="2331720"/>
                    </a:xfrm>
                    <a:prstGeom prst="rect"/>
                  </pic:spPr>
                </pic:pic>
              </a:graphicData>
            </a:graphic>
          </wp:inline>
        </w:drawing>
      </w:r>
    </w:p>
    <w:p>
      <w:pPr>
        <w:pStyle w:val="figurecaption"/>
      </w:pPr>
      <w:r>
        <w:t>Paired effects with three players at 100 ms (seed 7, 500 games each), ± 95% CI. Top: one component removed from the final agent (base: final agent, 55.0%). Bottom: the lead-heuristic ablation and the changes of our last study, against a re-run of the final agent on the 4-core machine (58.1%).</w:t>
      </w:r>
    </w:p>
    <w:p>
      <w:pPr>
        <w:pStyle w:val="BodyText"/>
      </w:pPr>
      <w:r>
        <w:t xml:space="preserve">Fig. 3 (top) removes one component at a time.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the own score divided by 50, which ignores the opponents' scores – although only first place wins – and the Pudding standing, and does not match the scale of </w:t>
      </w:r>
      <w:r>
        <w:rPr>
          <w:i/>
        </w:rPr>
        <w:t>K</w:t>
      </w:r>
      <w:r>
        <w:t>: this costs 28.3 ± 5.8 pp. S and I together are worth 10.2 ± 5.7 pp (</w:t>
      </w:r>
      <w:r>
        <w:rPr>
          <w:i/>
        </w:rPr>
        <w:t>z</w:t>
      </w:r>
      <w:r>
        <w:t xml:space="preserve"> = 3.5) but I alone only 3.8 ± 5.7 pp, as Long et al.'s analysis [8] suggests for a game that reveals its hidden information within </w:t>
      </w:r>
      <w:r>
        <w:rPr>
          <w:i/>
        </w:rPr>
        <w:t>n</w:t>
      </w:r>
      <w:r>
        <w:t xml:space="preserve"> − 1 turns. P and M cannot be removed from the final agent, since decoupled selection needs one value per player and the card-type statistics of I merge identical cards. The components also change the style of play: at 500 ms v3 scored fewer points than v2 from Sashimi (−2.7 per game) and Maki (−1.9) but more from Dumplings (+1.9) and Pudding (+1.3), sets that cannot fail or are decided over the whole game.</w:t>
      </w:r>
    </w:p>
    <w:p>
      <w:pPr>
        <w:pStyle w:val="Heading2"/>
      </w:pPr>
      <w:r>
        <w:t>Four Players and the Limits of Search (RQ3)</w:t>
      </w:r>
    </w:p>
    <w:p>
      <w:pPr>
        <w:pStyle w:val="BodyText"/>
      </w:pPr>
      <w:r>
        <w:t xml:space="preserve">With four players the 3-player configuration won 46.4% at 100 ms and 38.4% at 500 ms (development; chance 25%). None of the 4-player changes is individually significant: X0 added +3.2 ± 6.2 pp at 100 ms; at 500 ms X0 with W2 and </w:t>
      </w:r>
      <w:r>
        <w:rPr>
          <w:i/>
        </w:rPr>
        <w:t>K</w:t>
      </w:r>
      <w:r>
        <w:t xml:space="preserve"> = 1 added +7.2 ± 8.6 pp and F + L a further +1.0 ± 7.9 pp, whereas F + L cost 6.6 ± 6.0 pp at 100 ms (</w:t>
      </w:r>
      <w:r>
        <w:rPr>
          <w:i/>
        </w:rPr>
        <w:t>z</w:t>
      </w:r>
      <w:r>
        <w:t xml:space="preserve"> = 2.2). Together they support H3: adding X0, W2 and </w:t>
      </w:r>
      <w:r>
        <w:rPr>
          <w:i/>
        </w:rPr>
        <w:t>K</w:t>
      </w:r>
      <w:r>
        <w:t xml:space="preserve"> = 1 to the 3-player agent at 500 ms cost 7.7 ± 5.4 pp (</w:t>
      </w:r>
      <w:r>
        <w:rPr>
          <w:i/>
        </w:rPr>
        <w:t>z</w:t>
      </w:r>
      <w:r>
        <w:t xml:space="preserve"> = 2.8), so their effect differs by 14.9 ± 10.2 pp (</w:t>
      </w:r>
      <w:r>
        <w:rPr>
          <w:i/>
        </w:rPr>
        <w:t>z</w:t>
      </w:r>
      <w:r>
        <w:t xml:space="preserve"> = 2.9) between the table sizes. At 500 ms a 4-player tree cut to depth 1 lost 17.4 ± 8.2 pp (</w:t>
      </w:r>
      <w:r>
        <w:rPr>
          <w:i/>
        </w:rPr>
        <w:t>z</w:t>
      </w:r>
      <w:r>
        <w:t xml:space="preserve"> = 4.2) and our agent limited to 100 ms 9.0 ± 7.7 pp (</w:t>
      </w:r>
      <w:r>
        <w:rPr>
          <w:i/>
        </w:rPr>
        <w:t>z</w:t>
      </w:r>
      <w:r>
        <w:t xml:space="preserve"> = 2.3), yet 1 000 ms (with </w:t>
      </w:r>
      <w:r>
        <w:rPr>
          <w:i/>
        </w:rPr>
        <w:t>K</w:t>
      </w:r>
      <w:r>
        <w:t xml:space="preserve"> = 1.37) did not help (−4.8 ± 8.1 pp). On 73 positions from random four-player games the 500 ms tree has on average 704 joint-move children at the root, 53% of them visited once, and a mean depth of 1.5; doubling the time or the rollouts per leaf changed the chosen card in 2.7% and 5.5% of the positions, no more often than re-running the search (5.5%).</w:t>
      </w:r>
    </w:p>
    <w:p>
      <w:pPr>
        <w:pStyle w:val="Heading2"/>
      </w:pPr>
      <w:r>
        <w:t>What Did Not Help</w:t>
      </w:r>
    </w:p>
    <w:p>
      <w:pPr>
        <w:pStyle w:val="BodyText"/>
      </w:pPr>
      <w:r>
        <w:t>The last study (three players, Fig. 3 bottom) changed the model and the value. Card constants tuned for three players (X3) make a far stronger greedy policy – it wins 45.0% of greedy games against two X0 players – yet did not strengthen the search (−1.3 ± 5.8 pp), consistent with simulation balancing [7]. Denial (“hate drafting”: simulated players also value taking the next player's best card) gained about 1 pp in greedy play and nothing in the search (−1.8 ± 5.8 pp); a win-gap or leader-only value did not change the win rate (−0.6, +0.7 pp), and rollouts to the game end with a win-gap value cost 23.7 ± 5.8 pp (</w:t>
      </w:r>
      <w:r>
        <w:rPr>
          <w:i/>
        </w:rPr>
        <w:t>z</w:t>
      </w:r>
      <w:r>
        <w:t xml:space="preserve"> = 8.0).</w:t>
      </w:r>
    </w:p>
    <w:p>
      <w:pPr>
        <w:pStyle w:val="Heading1"/>
      </w:pPr>
      <w:r>
        <w:t>Conclusions and Future Work</w:t>
      </w:r>
    </w:p>
    <w:p>
      <w:pPr>
        <w:pStyle w:val="BodyText"/>
      </w:pPr>
      <w:r>
        <w:t>We adapted TAG's BasicMCTS to Sushi Go! with a card-value model for evaluation and simulation, round-end rollouts, max-n backups, decoupled UCT and information-set search. For RQ1, the heuristic (28.3 pp when removed) and the decoupled information-set tree (10.2 pp) contribute most, and round-end rollouts led v3's factorial (+8.7 pp). On held-out deals the final agent wins 52.6% of three-player games at 100 ms against TAG's ISMCTS and our previous agent. For RQ2, the decoupled tree loses less strength than the sequential one at longer budgets (−8.1 against −17.3 pp from 100 to 900 ms), though not significantly. For RQ3, the best settings differ between three and four players (</w:t>
      </w:r>
      <w:r>
        <w:rPr>
          <w:i/>
        </w:rPr>
        <w:t>z</w:t>
      </w:r>
      <w:r>
        <w:t xml:space="preserve"> = 2.9), and with four players extra time rarely changes the decision of the wide, shallow joint-move tree.</w:t>
      </w:r>
    </w:p>
    <w:p>
      <w:pPr>
        <w:pStyle w:val="BodyText"/>
      </w:pPr>
      <w:r>
        <w:t>The study has limits: our opponents are framework agents and our own previous version; the long-budget validation and the 4-player 500 ms development rest on 250 games (about ±6 pp); the factorial and budget studies used independent rather than paired deals; and CPU-time budgets hide wall-clock effects such as garbage collection. As hand-tuned changes to the model no longer move the agent, future work should learn the evaluation from game outcomes, e.g. by regressing final ranks on features of round-end states. Regret matching or EXP3 could replace UCB in the decoupled selection [11], as the best variant depends on the game [12], and opponent models fitted to the observed picks of real opponents could replace the shared greedy policy, which models all players alike.</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in our repository (folders experiments_v3 to experiments_v5).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against the module's rubric, and its findings were used to revise the text and to run the held-out validation, the comparison with TAG's DUCT agent, the lead-heuristic ablation and the four-player diagnostics. The experiments of the last study were run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G. M. J.-B. Chaslot, M. H. M. Winands, H. J. van den Herik, J. W. H. M. Uiterwijk, and B. Bouzy, “Progressive strategies for Monte-Carlo tree search,” </w:t>
      </w:r>
      <w:r>
        <w:rPr>
          <w:i/>
        </w:rPr>
        <w:t>New Math. Natural Comput.</w:t>
      </w:r>
      <w:r>
        <w:t>, vol. 4, no. 3, pp. 343–357, 2008.</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1–8.</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2026. [Online]. Available: https://claude.ai</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5"/>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