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Hakan Coskun</w:t>
        <w:br/>
      </w:r>
      <w:r>
        <w:rPr>
          <w:i w:val="0"/>
          <w:sz w:val="18"/>
        </w:rPr>
        <w:t>Student no. 241076864</w:t>
        <w:br/>
      </w:r>
      <w:r>
        <w:rPr>
          <w:i/>
          <w:sz w:val="18"/>
        </w:rPr>
        <w:t>Queen Mary University of London</w:t>
        <w:br/>
      </w:r>
      <w:r>
        <w:rPr>
          <w:i/>
          <w:sz w:val="18"/>
        </w:rPr>
        <w:t>London, UK</w:t>
      </w:r>
      <w:r>
        <w:br w:type="column"/>
      </w:r>
      <w:r>
        <w:rPr>
          <w:i w:val="0"/>
          <w:sz w:val="18"/>
        </w:rPr>
        <w:t>Halit Ozger</w:t>
        <w:br/>
      </w:r>
      <w:r>
        <w:rPr>
          <w:i w:val="0"/>
          <w:sz w:val="18"/>
        </w:rPr>
        <w:t>Student no. 230625112</w:t>
        <w:br/>
      </w:r>
      <w:r>
        <w:rPr>
          <w:i/>
          <w:sz w:val="18"/>
        </w:rPr>
        <w:t>Queen Mary University of London</w:t>
        <w:br/>
      </w:r>
      <w:r>
        <w:rPr>
          <w:i/>
          <w:sz w:val="18"/>
        </w:rPr>
        <w:t>London, UK</w:t>
      </w:r>
      <w:r>
        <w:br w:type="column"/>
      </w:r>
      <w:r>
        <w:rPr>
          <w:i w:val="0"/>
          <w:sz w:val="18"/>
        </w:rPr>
        <w:t>Weronika Diana Podgorska</w:t>
        <w:br/>
      </w:r>
      <w:r>
        <w:rPr>
          <w:i w:val="0"/>
          <w:sz w:val="18"/>
        </w:rPr>
        <w:t>Student no. 230394735</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for all agents, ISMCTS closes in: our lead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as in TAG's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30" w:type="dxa"/>
              <w:right w:w="30" w:type="dxa"/>
            </w:tcMar>
            <w:tcBorders>
              <w:bottom w:val="single" w:sz="6" w:space="0" w:color="000000"/>
            </w:tcBorders>
          </w:tcPr>
          <w:p>
            <w:pPr>
              <w:pStyle w:val="tablecolhead"/>
              <w:keepNext/>
              <w:jc w:val="left"/>
            </w:pPr>
            <w:r>
              <w:t>Id</w:t>
            </w:r>
          </w:p>
        </w:tc>
        <w:tc>
          <w:tcPr>
            <w:tcW w:type="dxa" w:w="3053"/>
            <w:tcMar>
              <w:left w:w="30" w:type="dxa"/>
              <w:right w:w="30" w:type="dxa"/>
            </w:tcMar>
            <w:tcBorders>
              <w:bottom w:val="single" w:sz="6" w:space="0" w:color="000000"/>
            </w:tcBorders>
          </w:tcPr>
          <w:p>
            <w:pPr>
              <w:pStyle w:val="tablecolhead"/>
              <w:keepNext/>
              <w:jc w:val="left"/>
            </w:pPr>
            <w:r>
              <w:t>Modification</w:t>
            </w:r>
          </w:p>
        </w:tc>
        <w:tc>
          <w:tcPr>
            <w:tcW w:type="dxa" w:w="1094"/>
            <w:tcMar>
              <w:left w:w="30" w:type="dxa"/>
              <w:right w:w="30" w:type="dxa"/>
            </w:tcMar>
            <w:tcBorders>
              <w:bottom w:val="single" w:sz="6" w:space="0" w:color="000000"/>
            </w:tcBorders>
          </w:tcPr>
          <w:p>
            <w:pPr>
              <w:pStyle w:val="tablecolhead"/>
              <w:keepNext/>
              <w:jc w:val="center"/>
            </w:pPr>
            <w:r>
              <w:t>3 p / 4 p</w:t>
            </w:r>
          </w:p>
        </w:tc>
      </w:tr>
      <w:tr>
        <w:trPr>
          <w:cantSplit/>
        </w:trPr>
        <w:tc>
          <w:tcPr>
            <w:tcW w:type="dxa" w:w="720"/>
            <w:tcMar>
              <w:left w:w="30" w:type="dxa"/>
              <w:right w:w="30" w:type="dxa"/>
            </w:tcMar>
          </w:tcPr>
          <w:p>
            <w:pPr>
              <w:pStyle w:val="tablecopy"/>
              <w:keepNext/>
              <w:jc w:val="left"/>
            </w:pPr>
            <w:r>
              <w:t>H</w:t>
            </w:r>
          </w:p>
        </w:tc>
        <w:tc>
          <w:tcPr>
            <w:tcW w:type="dxa" w:w="3053"/>
            <w:tcMar>
              <w:left w:w="30" w:type="dxa"/>
              <w:right w:w="30" w:type="dxa"/>
            </w:tcMar>
          </w:tcPr>
          <w:p>
            <w:pPr>
              <w:pStyle w:val="tablecopy"/>
              <w:keepNext/>
              <w:jc w:val="left"/>
            </w:pPr>
            <w:r>
              <w:t>heuristic (2)–(3) from model (1)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B</w:t>
            </w:r>
          </w:p>
        </w:tc>
        <w:tc>
          <w:tcPr>
            <w:tcW w:type="dxa" w:w="3053"/>
            <w:tcMar>
              <w:left w:w="30" w:type="dxa"/>
              <w:right w:w="30" w:type="dxa"/>
            </w:tcMar>
          </w:tcPr>
          <w:p>
            <w:pPr>
              <w:pStyle w:val="tablecopy"/>
              <w:keepNext/>
              <w:jc w:val="left"/>
            </w:pPr>
            <w:r>
              <w:t>ε-greedy card-value rollouts for every player</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R</w:t>
            </w:r>
          </w:p>
        </w:tc>
        <w:tc>
          <w:tcPr>
            <w:tcW w:type="dxa" w:w="3053"/>
            <w:tcMar>
              <w:left w:w="30" w:type="dxa"/>
              <w:right w:w="30" w:type="dxa"/>
            </w:tcMar>
          </w:tcPr>
          <w:p>
            <w:pPr>
              <w:pStyle w:val="tablecopy"/>
              <w:keepNext/>
              <w:jc w:val="left"/>
            </w:pPr>
            <w:r>
              <w:t>rollouts end when the round is scored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P</w:t>
            </w:r>
          </w:p>
        </w:tc>
        <w:tc>
          <w:tcPr>
            <w:tcW w:type="dxa" w:w="3053"/>
            <w:tcMar>
              <w:left w:w="30" w:type="dxa"/>
              <w:right w:w="30" w:type="dxa"/>
            </w:tcMar>
          </w:tcPr>
          <w:p>
            <w:pPr>
              <w:pStyle w:val="tablecopy"/>
              <w:keepNext/>
              <w:jc w:val="left"/>
            </w:pPr>
            <w:r>
              <w:t>one branch per distinct card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M</w:t>
            </w:r>
          </w:p>
        </w:tc>
        <w:tc>
          <w:tcPr>
            <w:tcW w:type="dxa" w:w="3053"/>
            <w:tcMar>
              <w:left w:w="30" w:type="dxa"/>
              <w:right w:w="30" w:type="dxa"/>
            </w:tcMar>
          </w:tcPr>
          <w:p>
            <w:pPr>
              <w:pStyle w:val="tablecopy"/>
              <w:keepNext/>
              <w:jc w:val="left"/>
            </w:pPr>
            <w:r>
              <w:t>max-n backups [11]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S</w:t>
            </w:r>
          </w:p>
        </w:tc>
        <w:tc>
          <w:tcPr>
            <w:tcW w:type="dxa" w:w="3053"/>
            <w:tcMar>
              <w:left w:w="30" w:type="dxa"/>
              <w:right w:w="30" w:type="dxa"/>
            </w:tcMar>
          </w:tcPr>
          <w:p>
            <w:pPr>
              <w:pStyle w:val="tablecopy"/>
              <w:keepNext/>
              <w:jc w:val="left"/>
            </w:pPr>
            <w:r>
              <w:t>decoupled UCT, one node per turn [9]</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I</w:t>
            </w:r>
          </w:p>
        </w:tc>
        <w:tc>
          <w:tcPr>
            <w:tcW w:type="dxa" w:w="3053"/>
            <w:tcMar>
              <w:left w:w="30" w:type="dxa"/>
              <w:right w:w="30" w:type="dxa"/>
            </w:tcMar>
          </w:tcPr>
          <w:p>
            <w:pPr>
              <w:pStyle w:val="tablecopy"/>
              <w:keepNext/>
              <w:jc w:val="left"/>
            </w:pPr>
            <w:r>
              <w:t>single-observer information-set search [3]</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X0</w:t>
            </w:r>
          </w:p>
        </w:tc>
        <w:tc>
          <w:tcPr>
            <w:tcW w:type="dxa" w:w="3053"/>
            <w:tcMar>
              <w:left w:w="30" w:type="dxa"/>
              <w:right w:w="30" w:type="dxa"/>
            </w:tcMar>
          </w:tcPr>
          <w:p>
            <w:pPr>
              <w:pStyle w:val="tablecopy"/>
              <w:keepNext/>
              <w:jc w:val="left"/>
            </w:pPr>
            <w:r>
              <w:t xml:space="preserve">four-player card constants </w:t>
            </w:r>
            <w:r>
              <w:rPr>
                <w:vertAlign w:val="superscript"/>
              </w:rPr>
              <w:t>a</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W2</w:t>
            </w:r>
          </w:p>
        </w:tc>
        <w:tc>
          <w:tcPr>
            <w:tcW w:type="dxa" w:w="3053"/>
            <w:tcMar>
              <w:left w:w="30" w:type="dxa"/>
              <w:right w:w="30" w:type="dxa"/>
            </w:tcMar>
          </w:tcPr>
          <w:p>
            <w:pPr>
              <w:pStyle w:val="tablecopy"/>
              <w:keepNext/>
              <w:jc w:val="left"/>
            </w:pPr>
            <w:r>
              <w:t>win-gap value for 4 players (Section III-D)</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F, L</w:t>
            </w:r>
          </w:p>
        </w:tc>
        <w:tc>
          <w:tcPr>
            <w:tcW w:type="dxa" w:w="3053"/>
            <w:tcMar>
              <w:left w:w="30" w:type="dxa"/>
              <w:right w:w="30" w:type="dxa"/>
            </w:tcMar>
          </w:tcPr>
          <w:p>
            <w:pPr>
              <w:pStyle w:val="tablecopy"/>
              <w:keepNext/>
              <w:jc w:val="left"/>
            </w:pPr>
            <w:r>
              <w:t>fast simulator, 8 rollouts per leaf</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A</w:t>
            </w:r>
          </w:p>
        </w:tc>
        <w:tc>
          <w:tcPr>
            <w:tcW w:type="dxa" w:w="3053"/>
            <w:tcMar>
              <w:left w:w="30" w:type="dxa"/>
              <w:right w:w="30" w:type="dxa"/>
            </w:tcMar>
          </w:tcPr>
          <w:p>
            <w:pPr>
              <w:pStyle w:val="tablecopy"/>
              <w:keepNext/>
              <w:jc w:val="left"/>
            </w:pPr>
            <w:r>
              <w:t>progressive bias [2]</w:t>
            </w:r>
          </w:p>
        </w:tc>
        <w:tc>
          <w:tcPr>
            <w:tcW w:type="dxa" w:w="1094"/>
            <w:tcMar>
              <w:left w:w="30" w:type="dxa"/>
              <w:right w:w="30" w:type="dxa"/>
            </w:tcMar>
          </w:tcPr>
          <w:p>
            <w:pPr>
              <w:pStyle w:val="tablecopy"/>
              <w:keepNext/>
              <w:jc w:val="center"/>
            </w:pPr>
            <w:r>
              <w:t>dropped in v3</w:t>
            </w:r>
          </w:p>
        </w:tc>
      </w:tr>
      <w:tr>
        <w:tc>
          <w:tcPr>
            <w:tcW w:type="dxa" w:w="720"/>
            <w:tcMar>
              <w:left w:w="30" w:type="dxa"/>
              <w:right w:w="30" w:type="dxa"/>
            </w:tcMar>
          </w:tcPr>
          <w:p>
            <w:pPr>
              <w:pStyle w:val="tablecopy"/>
              <w:keepNext/>
              <w:jc w:val="left"/>
            </w:pPr>
            <w:r>
              <w:t>D</w:t>
            </w:r>
          </w:p>
        </w:tc>
        <w:tc>
          <w:tcPr>
            <w:tcW w:type="dxa" w:w="3053"/>
            <w:tcMar>
              <w:left w:w="30" w:type="dxa"/>
              <w:right w:w="30" w:type="dxa"/>
            </w:tcMar>
          </w:tcPr>
          <w:p>
            <w:pPr>
              <w:pStyle w:val="tablecopy"/>
              <w:keepNext/>
              <w:jc w:val="left"/>
            </w:pPr>
            <w:r>
              <w:t>ensemble of up to 4 determinised trees [3]</w:t>
            </w:r>
          </w:p>
        </w:tc>
        <w:tc>
          <w:tcPr>
            <w:tcW w:type="dxa" w:w="1094"/>
            <w:tcMar>
              <w:left w:w="30" w:type="dxa"/>
              <w:right w:w="3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30" w:type="dxa"/>
              <w:right w:w="30" w:type="dxa"/>
            </w:tcMar>
            <w:tcBorders>
              <w:bottom w:val="single" w:sz="6" w:space="0" w:color="000000"/>
            </w:tcBorders>
          </w:tcPr>
          <w:p>
            <w:pPr>
              <w:pStyle w:val="tablecolhead"/>
              <w:keepNext/>
              <w:jc w:val="left"/>
            </w:pPr>
            <w:r>
              <w:t>Item</w:t>
            </w:r>
          </w:p>
        </w:tc>
        <w:tc>
          <w:tcPr>
            <w:tcW w:type="dxa" w:w="3830"/>
            <w:tcMar>
              <w:left w:w="30" w:type="dxa"/>
              <w:right w:w="30" w:type="dxa"/>
            </w:tcMar>
            <w:tcBorders>
              <w:bottom w:val="single" w:sz="6" w:space="0" w:color="000000"/>
            </w:tcBorders>
          </w:tcPr>
          <w:p>
            <w:pPr>
              <w:pStyle w:val="tablecolhead"/>
              <w:keepNext/>
              <w:jc w:val="left"/>
            </w:pPr>
            <w:r>
              <w:t>Setting</w:t>
            </w:r>
          </w:p>
        </w:tc>
      </w:tr>
      <w:tr>
        <w:trPr>
          <w:cantSplit/>
        </w:trPr>
        <w:tc>
          <w:tcPr>
            <w:tcW w:type="dxa" w:w="1037"/>
            <w:tcMar>
              <w:left w:w="30" w:type="dxa"/>
              <w:right w:w="30" w:type="dxa"/>
            </w:tcMar>
          </w:tcPr>
          <w:p>
            <w:pPr>
              <w:pStyle w:val="tablecopy"/>
              <w:keepNext/>
              <w:jc w:val="left"/>
            </w:pPr>
            <w:r>
              <w:t>Framework</w:t>
            </w:r>
          </w:p>
        </w:tc>
        <w:tc>
          <w:tcPr>
            <w:tcW w:type="dxa" w:w="3830"/>
            <w:tcMar>
              <w:left w:w="30" w:type="dxa"/>
              <w:right w:w="3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30" w:type="dxa"/>
              <w:right w:w="30" w:type="dxa"/>
            </w:tcMar>
          </w:tcPr>
          <w:p>
            <w:pPr>
              <w:pStyle w:val="tablecopy"/>
              <w:keepNext/>
              <w:jc w:val="left"/>
            </w:pPr>
            <w:r>
              <w:t>Opponents</w:t>
            </w:r>
          </w:p>
        </w:tc>
        <w:tc>
          <w:tcPr>
            <w:tcW w:type="dxa" w:w="3830"/>
            <w:tcMar>
              <w:left w:w="30" w:type="dxa"/>
              <w:right w:w="3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30" w:type="dxa"/>
              <w:right w:w="30" w:type="dxa"/>
            </w:tcMar>
          </w:tcPr>
          <w:p>
            <w:pPr>
              <w:pStyle w:val="tablecopy"/>
              <w:keepNext/>
              <w:jc w:val="left"/>
            </w:pPr>
            <w:r>
              <w:t>Budget</w:t>
            </w:r>
          </w:p>
        </w:tc>
        <w:tc>
          <w:tcPr>
            <w:tcW w:type="dxa" w:w="3830"/>
            <w:tcMar>
              <w:left w:w="30" w:type="dxa"/>
              <w:right w:w="3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30" w:type="dxa"/>
              <w:right w:w="30" w:type="dxa"/>
            </w:tcMar>
          </w:tcPr>
          <w:p>
            <w:pPr>
              <w:pStyle w:val="tablecopy"/>
              <w:keepNext/>
              <w:jc w:val="left"/>
            </w:pPr>
            <w:r>
              <w:t>Seating</w:t>
            </w:r>
          </w:p>
        </w:tc>
        <w:tc>
          <w:tcPr>
            <w:tcW w:type="dxa" w:w="3830"/>
            <w:tcMar>
              <w:left w:w="30" w:type="dxa"/>
              <w:right w:w="3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30" w:type="dxa"/>
              <w:right w:w="30" w:type="dxa"/>
            </w:tcMar>
          </w:tcPr>
          <w:p>
            <w:pPr>
              <w:pStyle w:val="tablecopy"/>
              <w:keepNext/>
              <w:jc w:val="left"/>
            </w:pPr>
            <w:r>
              <w:t>Deals</w:t>
            </w:r>
          </w:p>
        </w:tc>
        <w:tc>
          <w:tcPr>
            <w:tcW w:type="dxa" w:w="3830"/>
            <w:tcMar>
              <w:left w:w="30" w:type="dxa"/>
              <w:right w:w="3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30" w:type="dxa"/>
              <w:right w:w="30" w:type="dxa"/>
            </w:tcMar>
          </w:tcPr>
          <w:p>
            <w:pPr>
              <w:pStyle w:val="tablecopy"/>
              <w:keepNext/>
              <w:jc w:val="left"/>
            </w:pPr>
            <w:r>
              <w:t>Seeds</w:t>
            </w:r>
          </w:p>
        </w:tc>
        <w:tc>
          <w:tcPr>
            <w:tcW w:type="dxa" w:w="3830"/>
            <w:tcMar>
              <w:left w:w="30" w:type="dxa"/>
              <w:right w:w="3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30" w:type="dxa"/>
              <w:right w:w="30" w:type="dxa"/>
            </w:tcMar>
          </w:tcPr>
          <w:p>
            <w:pPr>
              <w:pStyle w:val="tablecopy"/>
              <w:keepNext/>
              <w:jc w:val="left"/>
            </w:pPr>
            <w:r>
              <w:t>Games</w:t>
            </w:r>
          </w:p>
        </w:tc>
        <w:tc>
          <w:tcPr>
            <w:tcW w:type="dxa" w:w="3830"/>
            <w:tcMar>
              <w:left w:w="30" w:type="dxa"/>
              <w:right w:w="3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30" w:type="dxa"/>
              <w:right w:w="30" w:type="dxa"/>
            </w:tcMar>
          </w:tcPr>
          <w:p>
            <w:pPr>
              <w:pStyle w:val="tablecopy"/>
              <w:jc w:val="left"/>
            </w:pPr>
            <w:r>
              <w:t>Hardware, records</w:t>
            </w:r>
          </w:p>
        </w:tc>
        <w:tc>
          <w:tcPr>
            <w:tcW w:type="dxa" w:w="3830"/>
            <w:tcMar>
              <w:left w:w="30" w:type="dxa"/>
              <w:right w:w="30" w:type="dxa"/>
            </w:tcMar>
          </w:tcPr>
          <w:p>
            <w:pPr>
              <w:pStyle w:val="tablecopy"/>
              <w:jc w:val="left"/>
            </w:pPr>
            <w:r>
              <w:t>development, ablation and first seed-7 runs: 18-core laptop; later runs: 4-core machine; per-game results and logs of all 167 runs: available from the authors</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came from development runs and is tested on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30" w:type="dxa"/>
              <w:right w:w="30" w:type="dxa"/>
            </w:tcMar>
            <w:tcBorders>
              <w:bottom w:val="single" w:sz="6" w:space="0" w:color="000000"/>
            </w:tcBorders>
          </w:tcPr>
          <w:p>
            <w:pPr>
              <w:pStyle w:val="tablecolhead"/>
              <w:keepNext/>
              <w:jc w:val="left"/>
            </w:pPr>
            <w:r>
              <w:t>Setting</w:t>
            </w:r>
          </w:p>
        </w:tc>
        <w:tc>
          <w:tcPr>
            <w:tcW w:type="dxa" w:w="1541"/>
            <w:tcMar>
              <w:left w:w="30" w:type="dxa"/>
              <w:right w:w="30" w:type="dxa"/>
            </w:tcMar>
            <w:tcBorders>
              <w:bottom w:val="single" w:sz="6" w:space="0" w:color="000000"/>
            </w:tcBorders>
          </w:tcPr>
          <w:p>
            <w:pPr>
              <w:pStyle w:val="tablecolhead"/>
              <w:keepNext/>
              <w:jc w:val="left"/>
            </w:pPr>
            <w:r>
              <w:t>Opponents</w:t>
            </w:r>
          </w:p>
        </w:tc>
        <w:tc>
          <w:tcPr>
            <w:tcW w:type="dxa" w:w="1138"/>
            <w:tcMar>
              <w:left w:w="30" w:type="dxa"/>
              <w:right w:w="30" w:type="dxa"/>
            </w:tcMar>
            <w:tcBorders>
              <w:bottom w:val="single" w:sz="6" w:space="0" w:color="000000"/>
            </w:tcBorders>
          </w:tcPr>
          <w:p>
            <w:pPr>
              <w:pStyle w:val="tablecolhead"/>
              <w:keepNext/>
              <w:jc w:val="center"/>
            </w:pPr>
            <w:r>
              <w:t>Win % [CI]</w:t>
            </w:r>
          </w:p>
        </w:tc>
        <w:tc>
          <w:tcPr>
            <w:tcW w:type="dxa" w:w="936"/>
            <w:tcMar>
              <w:left w:w="30" w:type="dxa"/>
              <w:right w:w="30" w:type="dxa"/>
            </w:tcMar>
            <w:tcBorders>
              <w:bottom w:val="single" w:sz="6" w:space="0" w:color="000000"/>
            </w:tcBorders>
          </w:tcPr>
          <w:p>
            <w:pPr>
              <w:pStyle w:val="tablecolhead"/>
              <w:keepNext/>
              <w:jc w:val="center"/>
            </w:pPr>
            <w:r>
              <w:t>Margin</w:t>
            </w:r>
          </w:p>
        </w:tc>
        <w:tc>
          <w:tcPr>
            <w:tcW w:type="dxa" w:w="691"/>
            <w:tcMar>
              <w:left w:w="30" w:type="dxa"/>
              <w:right w:w="30" w:type="dxa"/>
            </w:tcMar>
            <w:tcBorders>
              <w:bottom w:val="single" w:sz="6" w:space="0" w:color="000000"/>
            </w:tcBorders>
          </w:tcPr>
          <w:p>
            <w:pPr>
              <w:pStyle w:val="tablecolhead"/>
              <w:keepNext/>
              <w:jc w:val="center"/>
            </w:pPr>
            <w:r>
              <w:t>ISMCTS</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52.6 [48.2, 56.9]</w:t>
            </w:r>
          </w:p>
        </w:tc>
        <w:tc>
          <w:tcPr>
            <w:tcW w:type="dxa" w:w="936"/>
            <w:tcMar>
              <w:left w:w="30" w:type="dxa"/>
              <w:right w:w="30" w:type="dxa"/>
            </w:tcMar>
          </w:tcPr>
          <w:p>
            <w:pPr>
              <w:pStyle w:val="tablecopy"/>
              <w:keepNext/>
              <w:jc w:val="center"/>
            </w:pPr>
            <w:r>
              <w:t>+0.73 ± 0.46</w:t>
            </w:r>
          </w:p>
        </w:tc>
        <w:tc>
          <w:tcPr>
            <w:tcW w:type="dxa" w:w="691"/>
            <w:tcMar>
              <w:left w:w="30" w:type="dxa"/>
              <w:right w:w="30" w:type="dxa"/>
            </w:tcMar>
          </w:tcPr>
          <w:p>
            <w:pPr>
              <w:pStyle w:val="tablecopy"/>
              <w:keepNext/>
              <w:jc w:val="center"/>
            </w:pPr>
            <w:r>
              <w:t>26.4</w:t>
            </w:r>
          </w:p>
        </w:tc>
      </w:tr>
      <w:tr>
        <w:trPr>
          <w:cantSplit/>
        </w:trPr>
        <w:tc>
          <w:tcPr>
            <w:tcW w:type="dxa" w:w="576"/>
            <w:tcMar>
              <w:left w:w="30" w:type="dxa"/>
              <w:right w:w="30" w:type="dxa"/>
            </w:tcMar>
          </w:tcPr>
          <w:p>
            <w:pPr>
              <w:pStyle w:val="tablecopy"/>
              <w:keepNext/>
              <w:jc w:val="left"/>
            </w:pPr>
            <w:r>
              <w:t>3p/500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47.2 [42.9, 51.6]</w:t>
            </w:r>
          </w:p>
        </w:tc>
        <w:tc>
          <w:tcPr>
            <w:tcW w:type="dxa" w:w="936"/>
            <w:tcMar>
              <w:left w:w="30" w:type="dxa"/>
              <w:right w:w="30" w:type="dxa"/>
            </w:tcMar>
          </w:tcPr>
          <w:p>
            <w:pPr>
              <w:pStyle w:val="tablecopy"/>
              <w:keepNext/>
              <w:jc w:val="center"/>
            </w:pPr>
            <w:r>
              <w:t>−0.10 ± 0.40</w:t>
            </w:r>
          </w:p>
        </w:tc>
        <w:tc>
          <w:tcPr>
            <w:tcW w:type="dxa" w:w="691"/>
            <w:tcMar>
              <w:left w:w="30" w:type="dxa"/>
              <w:right w:w="30" w:type="dxa"/>
            </w:tcMar>
          </w:tcPr>
          <w:p>
            <w:pPr>
              <w:pStyle w:val="tablecopy"/>
              <w:keepNext/>
              <w:jc w:val="center"/>
            </w:pPr>
            <w:r>
              <w:t>35.9</w:t>
            </w:r>
          </w:p>
        </w:tc>
      </w:tr>
      <w:tr>
        <w:trPr>
          <w:cantSplit/>
        </w:trPr>
        <w:tc>
          <w:tcPr>
            <w:tcW w:type="dxa" w:w="576"/>
            <w:tcMar>
              <w:left w:w="30" w:type="dxa"/>
              <w:right w:w="30" w:type="dxa"/>
            </w:tcMar>
          </w:tcPr>
          <w:p>
            <w:pPr>
              <w:pStyle w:val="tablecopy"/>
              <w:keepNext/>
              <w:jc w:val="left"/>
            </w:pPr>
            <w:r>
              <w:t>3p/900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44.8 [40.5, 49.2]</w:t>
            </w:r>
          </w:p>
        </w:tc>
        <w:tc>
          <w:tcPr>
            <w:tcW w:type="dxa" w:w="936"/>
            <w:tcMar>
              <w:left w:w="30" w:type="dxa"/>
              <w:right w:w="30" w:type="dxa"/>
            </w:tcMar>
          </w:tcPr>
          <w:p>
            <w:pPr>
              <w:pStyle w:val="tablecopy"/>
              <w:keepNext/>
              <w:jc w:val="center"/>
            </w:pPr>
            <w:r>
              <w:t>−0.35 ± 0.39</w:t>
            </w:r>
          </w:p>
        </w:tc>
        <w:tc>
          <w:tcPr>
            <w:tcW w:type="dxa" w:w="691"/>
            <w:tcMar>
              <w:left w:w="30" w:type="dxa"/>
              <w:right w:w="30" w:type="dxa"/>
            </w:tcMar>
          </w:tcPr>
          <w:p>
            <w:pPr>
              <w:pStyle w:val="tablecopy"/>
              <w:keepNext/>
              <w:jc w:val="center"/>
            </w:pPr>
            <w:r>
              <w:t>36.3</w:t>
            </w:r>
          </w:p>
        </w:tc>
      </w:tr>
      <w:tr>
        <w:trPr>
          <w:cantSplit/>
        </w:trPr>
        <w:tc>
          <w:tcPr>
            <w:tcW w:type="dxa" w:w="576"/>
            <w:tcMar>
              <w:left w:w="30" w:type="dxa"/>
              <w:right w:w="30" w:type="dxa"/>
            </w:tcMar>
          </w:tcPr>
          <w:p>
            <w:pPr>
              <w:pStyle w:val="tablecopy"/>
              <w:keepNext/>
              <w:jc w:val="left"/>
            </w:pPr>
            <w:r>
              <w:t>4p/100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44.4 [40.1, 48.8]</w:t>
            </w:r>
          </w:p>
        </w:tc>
        <w:tc>
          <w:tcPr>
            <w:tcW w:type="dxa" w:w="936"/>
            <w:tcMar>
              <w:left w:w="30" w:type="dxa"/>
              <w:right w:w="30" w:type="dxa"/>
            </w:tcMar>
          </w:tcPr>
          <w:p>
            <w:pPr>
              <w:pStyle w:val="tablecopy"/>
              <w:keepNext/>
              <w:jc w:val="center"/>
            </w:pPr>
            <w:r>
              <w:t>−0.61 ± 0.43</w:t>
            </w:r>
          </w:p>
        </w:tc>
        <w:tc>
          <w:tcPr>
            <w:tcW w:type="dxa" w:w="691"/>
            <w:tcMar>
              <w:left w:w="30" w:type="dxa"/>
              <w:right w:w="30" w:type="dxa"/>
            </w:tcMar>
          </w:tcPr>
          <w:p>
            <w:pPr>
              <w:pStyle w:val="tablecopy"/>
              <w:keepNext/>
              <w:jc w:val="center"/>
            </w:pPr>
            <w:r>
              <w:t>24.1</w:t>
            </w:r>
          </w:p>
        </w:tc>
      </w:tr>
      <w:tr>
        <w:trPr>
          <w:cantSplit/>
        </w:trPr>
        <w:tc>
          <w:tcPr>
            <w:tcW w:type="dxa" w:w="576"/>
            <w:tcMar>
              <w:left w:w="30" w:type="dxa"/>
              <w:right w:w="30" w:type="dxa"/>
            </w:tcMar>
          </w:tcPr>
          <w:p>
            <w:pPr>
              <w:pStyle w:val="tablecopy"/>
              <w:keepNext/>
              <w:jc w:val="left"/>
            </w:pPr>
            <w:r>
              <w:t>4p/500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36.5 [32.4, 40.8]</w:t>
            </w:r>
          </w:p>
        </w:tc>
        <w:tc>
          <w:tcPr>
            <w:tcW w:type="dxa" w:w="936"/>
            <w:tcMar>
              <w:left w:w="30" w:type="dxa"/>
              <w:right w:w="30" w:type="dxa"/>
            </w:tcMar>
          </w:tcPr>
          <w:p>
            <w:pPr>
              <w:pStyle w:val="tablecopy"/>
              <w:keepNext/>
              <w:jc w:val="center"/>
            </w:pPr>
            <w:r>
              <w:t>−1.83 ± 0.45</w:t>
            </w:r>
          </w:p>
        </w:tc>
        <w:tc>
          <w:tcPr>
            <w:tcW w:type="dxa" w:w="691"/>
            <w:tcMar>
              <w:left w:w="30" w:type="dxa"/>
              <w:right w:w="30" w:type="dxa"/>
            </w:tcMar>
          </w:tcPr>
          <w:p>
            <w:pPr>
              <w:pStyle w:val="tablecopy"/>
              <w:keepNext/>
              <w:jc w:val="center"/>
            </w:pPr>
            <w:r>
              <w:t>32.1</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DUCT, ISMCTS</w:t>
            </w:r>
          </w:p>
        </w:tc>
        <w:tc>
          <w:tcPr>
            <w:tcW w:type="dxa" w:w="1138"/>
            <w:tcMar>
              <w:left w:w="30" w:type="dxa"/>
              <w:right w:w="30" w:type="dxa"/>
            </w:tcMar>
          </w:tcPr>
          <w:p>
            <w:pPr>
              <w:pStyle w:val="tablecopy"/>
              <w:keepNext/>
              <w:jc w:val="center"/>
            </w:pPr>
            <w:r>
              <w:t>55.0 [50.6, 59.3]</w:t>
            </w:r>
          </w:p>
        </w:tc>
        <w:tc>
          <w:tcPr>
            <w:tcW w:type="dxa" w:w="936"/>
            <w:tcMar>
              <w:left w:w="30" w:type="dxa"/>
              <w:right w:w="30" w:type="dxa"/>
            </w:tcMar>
          </w:tcPr>
          <w:p>
            <w:pPr>
              <w:pStyle w:val="tablecopy"/>
              <w:keepNext/>
              <w:jc w:val="center"/>
            </w:pPr>
            <w:r>
              <w:t>+0.72 ± 0.40</w:t>
            </w:r>
          </w:p>
        </w:tc>
        <w:tc>
          <w:tcPr>
            <w:tcW w:type="dxa" w:w="691"/>
            <w:tcMar>
              <w:left w:w="30" w:type="dxa"/>
              <w:right w:w="30" w:type="dxa"/>
            </w:tcMar>
          </w:tcPr>
          <w:p>
            <w:pPr>
              <w:pStyle w:val="tablecopy"/>
              <w:keepNext/>
              <w:jc w:val="center"/>
            </w:pPr>
            <w:r>
              <w:t>24.0</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ISMCTS × 2 </w:t>
            </w:r>
            <w:r>
              <w:rPr>
                <w:vertAlign w:val="superscript"/>
              </w:rPr>
              <w:t>a</w:t>
            </w:r>
          </w:p>
        </w:tc>
        <w:tc>
          <w:tcPr>
            <w:tcW w:type="dxa" w:w="1138"/>
            <w:tcMar>
              <w:left w:w="30" w:type="dxa"/>
              <w:right w:w="30" w:type="dxa"/>
            </w:tcMar>
          </w:tcPr>
          <w:p>
            <w:pPr>
              <w:pStyle w:val="tablecopy"/>
              <w:keepNext/>
              <w:jc w:val="center"/>
            </w:pPr>
            <w:r>
              <w:t>51.3 [46.9, 55.7]</w:t>
            </w:r>
          </w:p>
        </w:tc>
        <w:tc>
          <w:tcPr>
            <w:tcW w:type="dxa" w:w="936"/>
            <w:tcMar>
              <w:left w:w="30" w:type="dxa"/>
              <w:right w:w="30" w:type="dxa"/>
            </w:tcMar>
          </w:tcPr>
          <w:p>
            <w:pPr>
              <w:pStyle w:val="tablecopy"/>
              <w:keepNext/>
              <w:jc w:val="center"/>
            </w:pPr>
            <w:r>
              <w:t>+1.41 ± 0.51</w:t>
            </w:r>
          </w:p>
        </w:tc>
        <w:tc>
          <w:tcPr>
            <w:tcW w:type="dxa" w:w="691"/>
            <w:tcMar>
              <w:left w:w="30" w:type="dxa"/>
              <w:right w:w="30" w:type="dxa"/>
            </w:tcMar>
          </w:tcPr>
          <w:p>
            <w:pPr>
              <w:pStyle w:val="tablecopy"/>
              <w:keepNext/>
              <w:jc w:val="center"/>
            </w:pPr>
            <w:r>
              <w:t>24.3</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BasicMCTS, RHEA </w:t>
            </w:r>
            <w:r>
              <w:rPr>
                <w:vertAlign w:val="superscript"/>
              </w:rPr>
              <w:t>a</w:t>
            </w:r>
          </w:p>
        </w:tc>
        <w:tc>
          <w:tcPr>
            <w:tcW w:type="dxa" w:w="1138"/>
            <w:tcMar>
              <w:left w:w="30" w:type="dxa"/>
              <w:right w:w="30" w:type="dxa"/>
            </w:tcMar>
          </w:tcPr>
          <w:p>
            <w:pPr>
              <w:pStyle w:val="tablecopy"/>
              <w:keepNext/>
              <w:jc w:val="center"/>
            </w:pPr>
            <w:r>
              <w:t>84.2 [80.7, 87.1]</w:t>
            </w:r>
          </w:p>
        </w:tc>
        <w:tc>
          <w:tcPr>
            <w:tcW w:type="dxa" w:w="936"/>
            <w:tcMar>
              <w:left w:w="30" w:type="dxa"/>
              <w:right w:w="30" w:type="dxa"/>
            </w:tcMar>
          </w:tcPr>
          <w:p>
            <w:pPr>
              <w:pStyle w:val="tablecopy"/>
              <w:keepNext/>
              <w:jc w:val="center"/>
            </w:pPr>
            <w:r>
              <w:t>+6.68 ± 0.60</w:t>
            </w:r>
          </w:p>
        </w:tc>
        <w:tc>
          <w:tcPr>
            <w:tcW w:type="dxa" w:w="691"/>
            <w:tcMar>
              <w:left w:w="30" w:type="dxa"/>
              <w:right w:w="30" w:type="dxa"/>
            </w:tcMar>
          </w:tcPr>
          <w:p>
            <w:pPr>
              <w:pStyle w:val="tablecopy"/>
              <w:keepNext/>
              <w:jc w:val="center"/>
            </w:pPr>
            <w:r>
              <w:t>–</w:t>
            </w:r>
          </w:p>
        </w:tc>
      </w:tr>
      <w:t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OSLA, BasicMCTS </w:t>
            </w:r>
            <w:r>
              <w:rPr>
                <w:vertAlign w:val="superscript"/>
              </w:rPr>
              <w:t>a</w:t>
            </w:r>
          </w:p>
        </w:tc>
        <w:tc>
          <w:tcPr>
            <w:tcW w:type="dxa" w:w="1138"/>
            <w:tcMar>
              <w:left w:w="30" w:type="dxa"/>
              <w:right w:w="30" w:type="dxa"/>
            </w:tcMar>
          </w:tcPr>
          <w:p>
            <w:pPr>
              <w:pStyle w:val="tablecopy"/>
              <w:keepNext/>
              <w:jc w:val="center"/>
            </w:pPr>
            <w:r>
              <w:t>87.2 [84.0, 89.8]</w:t>
            </w:r>
          </w:p>
        </w:tc>
        <w:tc>
          <w:tcPr>
            <w:tcW w:type="dxa" w:w="936"/>
            <w:tcMar>
              <w:left w:w="30" w:type="dxa"/>
              <w:right w:w="30" w:type="dxa"/>
            </w:tcMar>
          </w:tcPr>
          <w:p>
            <w:pPr>
              <w:pStyle w:val="tablecopy"/>
              <w:keepNext/>
              <w:jc w:val="center"/>
            </w:pPr>
            <w:r>
              <w:t>+9.74 ± 0.75</w:t>
            </w:r>
          </w:p>
        </w:tc>
        <w:tc>
          <w:tcPr>
            <w:tcW w:type="dxa" w:w="691"/>
            <w:tcMar>
              <w:left w:w="30" w:type="dxa"/>
              <w:right w:w="30"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 95% CI). ISMCTS: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supported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Game-end rollouts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(seed 1, independent samples; 250 games at 900 ms); open markers: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(E2):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topped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2400 to 21 200, yet its win rate fell; plausibly, more iterations cannot correct the bias of our hand-made rollouts and evaluation, while ISMCTS, without such a model, gained up to 500 ms;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setting tuned for four players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extra time for our agent alone brought no detectable gain: against 500 ms opponents, 500 instead of 100 ms changed its win rate by +3.6 ± 8.4 pp (same settings) and 1000 instead of 500 ms (with </w:t>
      </w:r>
      <w:r>
        <w:rPr>
          <w:i/>
        </w:rPr>
        <w:t>K</w:t>
      </w:r>
      <w:r>
        <w:t xml:space="preserve"> = 1.37) by −4.8 ± 8.1 pp (250 development games each; 80% power only for about 12 pp), although depth matters: at 500 ms a tree cut to depth 1 lost 17.4 ± 8.2 pp.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(100 ms: 46.8%, 500 ms: 41.4%), whose deals overlap those used to tune them. The tree statistics suggest why 1000 ms did not help: on 73 random-play positions the 500 ms tree has 704 joint-move children at the root on average, 53% visited once, and doubling time or rollouts per leaf changed the card in 2 and 4 positions, no more often than reruns (4 and 7).</w:t>
      </w:r>
    </w:p>
    <w:p>
      <w:pPr>
        <w:pStyle w:val="Heading1"/>
      </w:pPr>
      <w:r>
        <w:t>Conclusions and Future Work</w:t>
      </w:r>
    </w:p>
    <w:p>
      <w:pPr>
        <w:pStyle w:val="BodyText"/>
      </w:pPr>
      <w:r>
        <w:t>For RQ1, the lead-based evaluation H matters most (28.3 pp without it, 13.6 pp with TAG's lead heuristic), then the decoupled information-set tree (+8.2 ± 4.1 pp over v3's sequential, determinised tree, two deal sets pooled); round-end rollouts, card-value rollouts and information sets alone raise the final agent's score margin but not detectably its win rate. For RQ2, our agent's lead shrinks with time: with every agent at 500 ms it won 5.5 ± 4.2 pp less than at 100 ms (and, less clearly, 4.9 ± 4.8 pp less at 900 ms), while TAG's ISMCTS won 9.5 pp more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the leave-one-out ablation used only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and EXP3 deserve a test, as decoupled UCT is best overall but not in every game [10] and was the most exploitable in Goofspiel [9]; and opponent models fitted to observed picks (an untested option in our code) could replace the greedy policy that now models all players.</w:t>
      </w:r>
    </w:p>
    <w:p>
      <w:pPr>
        <w:pStyle w:val="Heading5"/>
        <w:keepNext/>
      </w:pPr>
      <w:r>
        <w:t>Use of Generative AI</w:t>
      </w:r>
    </w:p>
    <w:p>
      <w:pPr>
        <w:pStyle w:val="BodyText"/>
      </w:pPr>
      <w:r>
        <w:t>As the module's rules permit, we used Claude [15] (Anthropic), through the Claude Code tool, to write and modify the Java code of our agent on top of BasicMCTS, to write and run the experiment and statistics scripts, and to draft the text, tables and figures of this paper from the results of our runs. A second Claude instance checked drafts against the brief and the rubric, and its findings were used in the revisions. Every number in the paper was computed from the result files of our runs. The prompts are listed in GENAI_PROMPTS.md in our code package (those of the early development sessions only in summary). The authors take full responsibility for the code and the paper, including any errors.</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Hakan Coskun, Halit Ozger, Weronika Diana Podgorska (ECS7032P Group W)</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