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230625112</w:t>
        <w:br/>
      </w:r>
      <w:r>
        <w:rPr>
          <w:i/>
          <w:sz w:val="18"/>
        </w:rPr>
        <w:t>Queen Mary University of London</w:t>
        <w:br/>
      </w:r>
      <w:r>
        <w:rPr>
          <w:i/>
          <w:sz w:val="18"/>
        </w:rPr>
        <w:t>London, UK</w:t>
      </w:r>
      <w:r>
        <w:br w:type="column"/>
      </w:r>
      <w:r>
        <w:rPr>
          <w:i w:val="0"/>
          <w:sz w:val="18"/>
        </w:rPr>
        <w:t>Weronika Podgorska</w:t>
        <w:br/>
      </w:r>
      <w:r>
        <w:rPr>
          <w:i w:val="0"/>
          <w:sz w:val="18"/>
        </w:rPr>
        <w:t>Student no. 230394735</w:t>
        <w:br/>
      </w:r>
      <w:r>
        <w:rPr>
          <w:i/>
          <w:sz w:val="18"/>
        </w:rPr>
        <w:t>Queen Mary University of London</w:t>
        <w:br/>
      </w:r>
      <w:r>
        <w:rPr>
          <w:i/>
          <w:sz w:val="18"/>
        </w:rPr>
        <w:t>London, UK</w:t>
      </w:r>
      <w:r>
        <w:br w:type="column"/>
      </w:r>
      <w:r>
        <w:rPr>
          <w:i w:val="0"/>
          <w:sz w:val="18"/>
        </w:rPr>
        <w:t>Hakan Coskun</w:t>
        <w:br/>
      </w:r>
      <w:r>
        <w:rPr>
          <w:i w:val="0"/>
          <w:sz w:val="18"/>
        </w:rPr>
        <w:t>Student no. 241076864</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handles poorly. We extended BasicMCTS of the Tabletop Games framework (TAG) with card-value rollouts, a lead-based evaluation, round-end rollouts, max-n backups and a decoupled information-set tree. On held-out deals it wins 52.6%, 47.2% and 44.8% of three-player games (100, 500, 900 ms; chance 33.3%) against TAG's information-set MCTS (ISMCTS) and our previous agent, and 44.4% and 36.5% of four-player games (100, 500 ms; chance 25%). At 100 ms, the evaluation and the decoupled tree each raise its win rate significantly. With more time for all agents, ISMCTS closes in: our lead per seat falls from 26.2 to 8.5 percentage points (three players, 100–900 ms).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500-game experiments (250 games in some long runs). Our contributions are:</w:t>
      </w:r>
    </w:p>
    <w:p>
      <w:pPr>
        <w:pStyle w:val="bulletlist"/>
        <w:numPr>
          <w:ilvl w:val="0"/>
          <w:numId w:val="2"/>
        </w:numPr>
        <w:ind w:left="576" w:hanging="288"/>
      </w:pPr>
      <w:r>
        <w:t xml:space="preserve">a model of </w:t>
      </w:r>
      <w:r>
        <w:rPr>
          <w:i/>
        </w:rPr>
        <w:t>Sushi Go!</w:t>
      </w:r>
      <w:r>
        <w:t>'s scoring that values every card for all players' rollouts and estimates every player's final score for a bounded, lead-based evaluation, which is the component our agent depends on most;</w:t>
      </w:r>
    </w:p>
    <w:p>
      <w:pPr>
        <w:pStyle w:val="bulletlist"/>
        <w:numPr>
          <w:ilvl w:val="0"/>
          <w:numId w:val="2"/>
        </w:numPr>
        <w:ind w:left="576" w:hanging="288"/>
      </w:pPr>
      <w:r>
        <w:t>ablations and held-out tests showing that decoupled selection over information sets beats a determinised sequential tree (significantly at 100 ms), while TAG's own decoupled information-set agent, with its own heuristic and rollouts, is not detectably better than our previous agent;</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as in TAG's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compared decoupled and sequential UCT, EXP3 and regret matching in nine games: the best variant depended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and Robilliard et al. [12] argued that a hand-made evaluation is hard to build because card values depend on the stage of the game and on the other players' choices; our card-value model is such an attempt.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30" w:type="dxa"/>
              <w:right w:w="30" w:type="dxa"/>
            </w:tcMar>
            <w:tcBorders>
              <w:bottom w:val="single" w:sz="6" w:space="0" w:color="000000"/>
            </w:tcBorders>
          </w:tcPr>
          <w:p>
            <w:pPr>
              <w:pStyle w:val="tablecolhead"/>
              <w:keepNext/>
              <w:jc w:val="left"/>
            </w:pPr>
            <w:r>
              <w:t>Id</w:t>
            </w:r>
          </w:p>
        </w:tc>
        <w:tc>
          <w:tcPr>
            <w:tcW w:type="dxa" w:w="3053"/>
            <w:tcMar>
              <w:left w:w="30" w:type="dxa"/>
              <w:right w:w="30" w:type="dxa"/>
            </w:tcMar>
            <w:tcBorders>
              <w:bottom w:val="single" w:sz="6" w:space="0" w:color="000000"/>
            </w:tcBorders>
          </w:tcPr>
          <w:p>
            <w:pPr>
              <w:pStyle w:val="tablecolhead"/>
              <w:keepNext/>
              <w:jc w:val="left"/>
            </w:pPr>
            <w:r>
              <w:t>Modification</w:t>
            </w:r>
          </w:p>
        </w:tc>
        <w:tc>
          <w:tcPr>
            <w:tcW w:type="dxa" w:w="1094"/>
            <w:tcMar>
              <w:left w:w="30" w:type="dxa"/>
              <w:right w:w="30" w:type="dxa"/>
            </w:tcMar>
            <w:tcBorders>
              <w:bottom w:val="single" w:sz="6" w:space="0" w:color="000000"/>
            </w:tcBorders>
          </w:tcPr>
          <w:p>
            <w:pPr>
              <w:pStyle w:val="tablecolhead"/>
              <w:keepNext/>
              <w:jc w:val="center"/>
            </w:pPr>
            <w:r>
              <w:t>3 p / 4 p</w:t>
            </w:r>
          </w:p>
        </w:tc>
      </w:tr>
      <w:tr>
        <w:trPr>
          <w:cantSplit/>
        </w:trPr>
        <w:tc>
          <w:tcPr>
            <w:tcW w:type="dxa" w:w="720"/>
            <w:tcMar>
              <w:left w:w="30" w:type="dxa"/>
              <w:right w:w="30" w:type="dxa"/>
            </w:tcMar>
          </w:tcPr>
          <w:p>
            <w:pPr>
              <w:pStyle w:val="tablecopy"/>
              <w:keepNext/>
              <w:jc w:val="left"/>
            </w:pPr>
            <w:r>
              <w:t>H</w:t>
            </w:r>
          </w:p>
        </w:tc>
        <w:tc>
          <w:tcPr>
            <w:tcW w:type="dxa" w:w="3053"/>
            <w:tcMar>
              <w:left w:w="30" w:type="dxa"/>
              <w:right w:w="30" w:type="dxa"/>
            </w:tcMar>
          </w:tcPr>
          <w:p>
            <w:pPr>
              <w:pStyle w:val="tablecopy"/>
              <w:keepNext/>
              <w:jc w:val="left"/>
            </w:pPr>
            <w:r>
              <w:t>heuristic (2)–(3) from model (1)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B</w:t>
            </w:r>
          </w:p>
        </w:tc>
        <w:tc>
          <w:tcPr>
            <w:tcW w:type="dxa" w:w="3053"/>
            <w:tcMar>
              <w:left w:w="30" w:type="dxa"/>
              <w:right w:w="30" w:type="dxa"/>
            </w:tcMar>
          </w:tcPr>
          <w:p>
            <w:pPr>
              <w:pStyle w:val="tablecopy"/>
              <w:keepNext/>
              <w:jc w:val="left"/>
            </w:pPr>
            <w:r>
              <w:t>ε-greedy card-value rollouts for every player</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R</w:t>
            </w:r>
          </w:p>
        </w:tc>
        <w:tc>
          <w:tcPr>
            <w:tcW w:type="dxa" w:w="3053"/>
            <w:tcMar>
              <w:left w:w="30" w:type="dxa"/>
              <w:right w:w="30" w:type="dxa"/>
            </w:tcMar>
          </w:tcPr>
          <w:p>
            <w:pPr>
              <w:pStyle w:val="tablecopy"/>
              <w:keepNext/>
              <w:jc w:val="left"/>
            </w:pPr>
            <w:r>
              <w:t>rollouts end when the round is scored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P</w:t>
            </w:r>
          </w:p>
        </w:tc>
        <w:tc>
          <w:tcPr>
            <w:tcW w:type="dxa" w:w="3053"/>
            <w:tcMar>
              <w:left w:w="30" w:type="dxa"/>
              <w:right w:w="30" w:type="dxa"/>
            </w:tcMar>
          </w:tcPr>
          <w:p>
            <w:pPr>
              <w:pStyle w:val="tablecopy"/>
              <w:keepNext/>
              <w:jc w:val="left"/>
            </w:pPr>
            <w:r>
              <w:t>one branch per distinct card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M</w:t>
            </w:r>
          </w:p>
        </w:tc>
        <w:tc>
          <w:tcPr>
            <w:tcW w:type="dxa" w:w="3053"/>
            <w:tcMar>
              <w:left w:w="30" w:type="dxa"/>
              <w:right w:w="30" w:type="dxa"/>
            </w:tcMar>
          </w:tcPr>
          <w:p>
            <w:pPr>
              <w:pStyle w:val="tablecopy"/>
              <w:keepNext/>
              <w:jc w:val="left"/>
            </w:pPr>
            <w:r>
              <w:t>max-n backups [11]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S</w:t>
            </w:r>
          </w:p>
        </w:tc>
        <w:tc>
          <w:tcPr>
            <w:tcW w:type="dxa" w:w="3053"/>
            <w:tcMar>
              <w:left w:w="30" w:type="dxa"/>
              <w:right w:w="30" w:type="dxa"/>
            </w:tcMar>
          </w:tcPr>
          <w:p>
            <w:pPr>
              <w:pStyle w:val="tablecopy"/>
              <w:keepNext/>
              <w:jc w:val="left"/>
            </w:pPr>
            <w:r>
              <w:t>decoupled UCT, one node per turn [9]</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I</w:t>
            </w:r>
          </w:p>
        </w:tc>
        <w:tc>
          <w:tcPr>
            <w:tcW w:type="dxa" w:w="3053"/>
            <w:tcMar>
              <w:left w:w="30" w:type="dxa"/>
              <w:right w:w="30" w:type="dxa"/>
            </w:tcMar>
          </w:tcPr>
          <w:p>
            <w:pPr>
              <w:pStyle w:val="tablecopy"/>
              <w:keepNext/>
              <w:jc w:val="left"/>
            </w:pPr>
            <w:r>
              <w:t>single-observer information-set search [3]</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X0</w:t>
            </w:r>
          </w:p>
        </w:tc>
        <w:tc>
          <w:tcPr>
            <w:tcW w:type="dxa" w:w="3053"/>
            <w:tcMar>
              <w:left w:w="30" w:type="dxa"/>
              <w:right w:w="30" w:type="dxa"/>
            </w:tcMar>
          </w:tcPr>
          <w:p>
            <w:pPr>
              <w:pStyle w:val="tablecopy"/>
              <w:keepNext/>
              <w:jc w:val="left"/>
            </w:pPr>
            <w:r>
              <w:t xml:space="preserve">four-player card constants </w:t>
            </w:r>
            <w:r>
              <w:rPr>
                <w:vertAlign w:val="superscript"/>
              </w:rPr>
              <w:t>a</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W2</w:t>
            </w:r>
          </w:p>
        </w:tc>
        <w:tc>
          <w:tcPr>
            <w:tcW w:type="dxa" w:w="3053"/>
            <w:tcMar>
              <w:left w:w="30" w:type="dxa"/>
              <w:right w:w="30" w:type="dxa"/>
            </w:tcMar>
          </w:tcPr>
          <w:p>
            <w:pPr>
              <w:pStyle w:val="tablecopy"/>
              <w:keepNext/>
              <w:jc w:val="left"/>
            </w:pPr>
            <w:r>
              <w:t>win-gap value for 4 players (Section III-D)</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F, L</w:t>
            </w:r>
          </w:p>
        </w:tc>
        <w:tc>
          <w:tcPr>
            <w:tcW w:type="dxa" w:w="3053"/>
            <w:tcMar>
              <w:left w:w="30" w:type="dxa"/>
              <w:right w:w="30" w:type="dxa"/>
            </w:tcMar>
          </w:tcPr>
          <w:p>
            <w:pPr>
              <w:pStyle w:val="tablecopy"/>
              <w:keepNext/>
              <w:jc w:val="left"/>
            </w:pPr>
            <w:r>
              <w:t>fast simulator, 8 rollouts per leaf</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A</w:t>
            </w:r>
          </w:p>
        </w:tc>
        <w:tc>
          <w:tcPr>
            <w:tcW w:type="dxa" w:w="3053"/>
            <w:tcMar>
              <w:left w:w="30" w:type="dxa"/>
              <w:right w:w="30" w:type="dxa"/>
            </w:tcMar>
          </w:tcPr>
          <w:p>
            <w:pPr>
              <w:pStyle w:val="tablecopy"/>
              <w:keepNext/>
              <w:jc w:val="left"/>
            </w:pPr>
            <w:r>
              <w:t>progressive bias [2]</w:t>
            </w:r>
          </w:p>
        </w:tc>
        <w:tc>
          <w:tcPr>
            <w:tcW w:type="dxa" w:w="1094"/>
            <w:tcMar>
              <w:left w:w="30" w:type="dxa"/>
              <w:right w:w="30" w:type="dxa"/>
            </w:tcMar>
          </w:tcPr>
          <w:p>
            <w:pPr>
              <w:pStyle w:val="tablecopy"/>
              <w:keepNext/>
              <w:jc w:val="center"/>
            </w:pPr>
            <w:r>
              <w:t>dropped in v3</w:t>
            </w:r>
          </w:p>
        </w:tc>
      </w:tr>
      <w:tr>
        <w:tc>
          <w:tcPr>
            <w:tcW w:type="dxa" w:w="720"/>
            <w:tcMar>
              <w:left w:w="30" w:type="dxa"/>
              <w:right w:w="30" w:type="dxa"/>
            </w:tcMar>
          </w:tcPr>
          <w:p>
            <w:pPr>
              <w:pStyle w:val="tablecopy"/>
              <w:keepNext/>
              <w:jc w:val="left"/>
            </w:pPr>
            <w:r>
              <w:t>D</w:t>
            </w:r>
          </w:p>
        </w:tc>
        <w:tc>
          <w:tcPr>
            <w:tcW w:type="dxa" w:w="3053"/>
            <w:tcMar>
              <w:left w:w="30" w:type="dxa"/>
              <w:right w:w="30" w:type="dxa"/>
            </w:tcMar>
          </w:tcPr>
          <w:p>
            <w:pPr>
              <w:pStyle w:val="tablecopy"/>
              <w:keepNext/>
              <w:jc w:val="left"/>
            </w:pPr>
            <w:r>
              <w:t>ensemble of up to 4 determinised trees [3]</w:t>
            </w:r>
          </w:p>
        </w:tc>
        <w:tc>
          <w:tcPr>
            <w:tcW w:type="dxa" w:w="1094"/>
            <w:tcMar>
              <w:left w:w="30" w:type="dxa"/>
              <w:right w:w="3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every player picks by UCB on its own card statistics, and the hidden cards are re-sampled in every iteration.</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Its files for 500 ms or more also use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30" w:type="dxa"/>
              <w:right w:w="30" w:type="dxa"/>
            </w:tcMar>
            <w:tcBorders>
              <w:bottom w:val="single" w:sz="6" w:space="0" w:color="000000"/>
            </w:tcBorders>
          </w:tcPr>
          <w:p>
            <w:pPr>
              <w:pStyle w:val="tablecolhead"/>
              <w:keepNext/>
              <w:jc w:val="left"/>
            </w:pPr>
            <w:r>
              <w:t>Item</w:t>
            </w:r>
          </w:p>
        </w:tc>
        <w:tc>
          <w:tcPr>
            <w:tcW w:type="dxa" w:w="3830"/>
            <w:tcMar>
              <w:left w:w="30" w:type="dxa"/>
              <w:right w:w="30" w:type="dxa"/>
            </w:tcMar>
            <w:tcBorders>
              <w:bottom w:val="single" w:sz="6" w:space="0" w:color="000000"/>
            </w:tcBorders>
          </w:tcPr>
          <w:p>
            <w:pPr>
              <w:pStyle w:val="tablecolhead"/>
              <w:keepNext/>
              <w:jc w:val="left"/>
            </w:pPr>
            <w:r>
              <w:t>Setting</w:t>
            </w:r>
          </w:p>
        </w:tc>
      </w:tr>
      <w:tr>
        <w:trPr>
          <w:cantSplit/>
        </w:trPr>
        <w:tc>
          <w:tcPr>
            <w:tcW w:type="dxa" w:w="1037"/>
            <w:tcMar>
              <w:left w:w="30" w:type="dxa"/>
              <w:right w:w="30" w:type="dxa"/>
            </w:tcMar>
          </w:tcPr>
          <w:p>
            <w:pPr>
              <w:pStyle w:val="tablecopy"/>
              <w:keepNext/>
              <w:jc w:val="left"/>
            </w:pPr>
            <w:r>
              <w:t>Framework</w:t>
            </w:r>
          </w:p>
        </w:tc>
        <w:tc>
          <w:tcPr>
            <w:tcW w:type="dxa" w:w="3830"/>
            <w:tcMar>
              <w:left w:w="30" w:type="dxa"/>
              <w:right w:w="30"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30" w:type="dxa"/>
              <w:right w:w="30" w:type="dxa"/>
            </w:tcMar>
          </w:tcPr>
          <w:p>
            <w:pPr>
              <w:pStyle w:val="tablecopy"/>
              <w:keepNext/>
              <w:jc w:val="left"/>
            </w:pPr>
            <w:r>
              <w:t>Opponents</w:t>
            </w:r>
          </w:p>
        </w:tc>
        <w:tc>
          <w:tcPr>
            <w:tcW w:type="dxa" w:w="3830"/>
            <w:tcMar>
              <w:left w:w="30" w:type="dxa"/>
              <w:right w:w="3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30" w:type="dxa"/>
              <w:right w:w="30" w:type="dxa"/>
            </w:tcMar>
          </w:tcPr>
          <w:p>
            <w:pPr>
              <w:pStyle w:val="tablecopy"/>
              <w:keepNext/>
              <w:jc w:val="left"/>
            </w:pPr>
            <w:r>
              <w:t>Budget</w:t>
            </w:r>
          </w:p>
        </w:tc>
        <w:tc>
          <w:tcPr>
            <w:tcW w:type="dxa" w:w="3830"/>
            <w:tcMar>
              <w:left w:w="30" w:type="dxa"/>
              <w:right w:w="3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30" w:type="dxa"/>
              <w:right w:w="30" w:type="dxa"/>
            </w:tcMar>
          </w:tcPr>
          <w:p>
            <w:pPr>
              <w:pStyle w:val="tablecopy"/>
              <w:keepNext/>
              <w:jc w:val="left"/>
            </w:pPr>
            <w:r>
              <w:t>Seating</w:t>
            </w:r>
          </w:p>
        </w:tc>
        <w:tc>
          <w:tcPr>
            <w:tcW w:type="dxa" w:w="3830"/>
            <w:tcMar>
              <w:left w:w="30" w:type="dxa"/>
              <w:right w:w="3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30" w:type="dxa"/>
              <w:right w:w="30" w:type="dxa"/>
            </w:tcMar>
          </w:tcPr>
          <w:p>
            <w:pPr>
              <w:pStyle w:val="tablecopy"/>
              <w:keepNext/>
              <w:jc w:val="left"/>
            </w:pPr>
            <w:r>
              <w:t>Deals</w:t>
            </w:r>
          </w:p>
        </w:tc>
        <w:tc>
          <w:tcPr>
            <w:tcW w:type="dxa" w:w="3830"/>
            <w:tcMar>
              <w:left w:w="30" w:type="dxa"/>
              <w:right w:w="3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and the later development runs a fixed deck order is shuffled with it (equal </w:t>
            </w:r>
            <w:r>
              <w:rPr>
                <w:i/>
              </w:rPr>
              <w:t>s</w:t>
            </w:r>
            <w:r>
              <w:t>, equal deals: paired runs); earlier runs used TAG's own deal (independent samples)</w:t>
            </w:r>
          </w:p>
        </w:tc>
      </w:tr>
      <w:tr>
        <w:trPr>
          <w:cantSplit/>
        </w:trPr>
        <w:tc>
          <w:tcPr>
            <w:tcW w:type="dxa" w:w="1037"/>
            <w:tcMar>
              <w:left w:w="30" w:type="dxa"/>
              <w:right w:w="30" w:type="dxa"/>
            </w:tcMar>
          </w:tcPr>
          <w:p>
            <w:pPr>
              <w:pStyle w:val="tablecopy"/>
              <w:keepNext/>
              <w:jc w:val="left"/>
            </w:pPr>
            <w:r>
              <w:t>Seeds</w:t>
            </w:r>
          </w:p>
        </w:tc>
        <w:tc>
          <w:tcPr>
            <w:tcW w:type="dxa" w:w="3830"/>
            <w:tcMar>
              <w:left w:w="30" w:type="dxa"/>
              <w:right w:w="3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30" w:type="dxa"/>
              <w:right w:w="30" w:type="dxa"/>
            </w:tcMar>
          </w:tcPr>
          <w:p>
            <w:pPr>
              <w:pStyle w:val="tablecopy"/>
              <w:keepNext/>
              <w:jc w:val="left"/>
            </w:pPr>
            <w:r>
              <w:t>Games</w:t>
            </w:r>
          </w:p>
        </w:tc>
        <w:tc>
          <w:tcPr>
            <w:tcW w:type="dxa" w:w="3830"/>
            <w:tcMar>
              <w:left w:w="30" w:type="dxa"/>
              <w:right w:w="3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30" w:type="dxa"/>
              <w:right w:w="30" w:type="dxa"/>
            </w:tcMar>
          </w:tcPr>
          <w:p>
            <w:pPr>
              <w:pStyle w:val="tablecopy"/>
              <w:jc w:val="left"/>
            </w:pPr>
            <w:r>
              <w:t>Hardware, records</w:t>
            </w:r>
          </w:p>
        </w:tc>
        <w:tc>
          <w:tcPr>
            <w:tcW w:type="dxa" w:w="3830"/>
            <w:tcMar>
              <w:left w:w="30" w:type="dxa"/>
              <w:right w:w="30" w:type="dxa"/>
            </w:tcMar>
          </w:tcPr>
          <w:p>
            <w:pPr>
              <w:pStyle w:val="tablecopy"/>
              <w:jc w:val="left"/>
            </w:pPr>
            <w:r>
              <w:t>development, ablation and first seed-7 runs: 18-core laptop; later runs: 4-core machine; per-game results and logs of all 167 runs: available from the authors</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two deal sets are pooled by inverse-variance weighting)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We report unadjusted intervals, apply a Holm correction [14] within each group of Fig. 2, and treat the four-player comparisons (60 of our 167 runs) as exploratory. We expected (E1) every component to improve both measures, (E2) the decoupled information-set tree to matter more at longer budgets and (E3) the best settings to depend on the number of players; E2 came from development runs and is tested on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576"/>
        <w:gridCol w:w="1540"/>
        <w:gridCol w:w="1137"/>
        <w:gridCol w:w="936"/>
        <w:gridCol w:w="691"/>
      </w:tblGrid>
      <w:tr>
        <w:trPr>
          <w:cantSplit/>
        </w:trPr>
        <w:tc>
          <w:tcPr>
            <w:tcW w:type="dxa" w:w="576"/>
            <w:tcMar>
              <w:left w:w="30" w:type="dxa"/>
              <w:right w:w="30" w:type="dxa"/>
            </w:tcMar>
            <w:tcBorders>
              <w:bottom w:val="single" w:sz="6" w:space="0" w:color="000000"/>
            </w:tcBorders>
          </w:tcPr>
          <w:p>
            <w:pPr>
              <w:pStyle w:val="tablecolhead"/>
              <w:keepNext/>
              <w:jc w:val="left"/>
            </w:pPr>
            <w:r>
              <w:t>Setting</w:t>
            </w:r>
          </w:p>
        </w:tc>
        <w:tc>
          <w:tcPr>
            <w:tcW w:type="dxa" w:w="1541"/>
            <w:tcMar>
              <w:left w:w="30" w:type="dxa"/>
              <w:right w:w="30" w:type="dxa"/>
            </w:tcMar>
            <w:tcBorders>
              <w:bottom w:val="single" w:sz="6" w:space="0" w:color="000000"/>
            </w:tcBorders>
          </w:tcPr>
          <w:p>
            <w:pPr>
              <w:pStyle w:val="tablecolhead"/>
              <w:keepNext/>
              <w:jc w:val="left"/>
            </w:pPr>
            <w:r>
              <w:t>Opponents</w:t>
            </w:r>
          </w:p>
        </w:tc>
        <w:tc>
          <w:tcPr>
            <w:tcW w:type="dxa" w:w="1138"/>
            <w:tcMar>
              <w:left w:w="30" w:type="dxa"/>
              <w:right w:w="30" w:type="dxa"/>
            </w:tcMar>
            <w:tcBorders>
              <w:bottom w:val="single" w:sz="6" w:space="0" w:color="000000"/>
            </w:tcBorders>
          </w:tcPr>
          <w:p>
            <w:pPr>
              <w:pStyle w:val="tablecolhead"/>
              <w:keepNext/>
              <w:jc w:val="center"/>
            </w:pPr>
            <w:r>
              <w:t>Win % [CI]</w:t>
            </w:r>
          </w:p>
        </w:tc>
        <w:tc>
          <w:tcPr>
            <w:tcW w:type="dxa" w:w="936"/>
            <w:tcMar>
              <w:left w:w="30" w:type="dxa"/>
              <w:right w:w="30" w:type="dxa"/>
            </w:tcMar>
            <w:tcBorders>
              <w:bottom w:val="single" w:sz="6" w:space="0" w:color="000000"/>
            </w:tcBorders>
          </w:tcPr>
          <w:p>
            <w:pPr>
              <w:pStyle w:val="tablecolhead"/>
              <w:keepNext/>
              <w:jc w:val="center"/>
            </w:pPr>
            <w:r>
              <w:t>Margin</w:t>
            </w:r>
          </w:p>
        </w:tc>
        <w:tc>
          <w:tcPr>
            <w:tcW w:type="dxa" w:w="691"/>
            <w:tcMar>
              <w:left w:w="30" w:type="dxa"/>
              <w:right w:w="30" w:type="dxa"/>
            </w:tcMar>
            <w:tcBorders>
              <w:bottom w:val="single" w:sz="6" w:space="0" w:color="000000"/>
            </w:tcBorders>
          </w:tcPr>
          <w:p>
            <w:pPr>
              <w:pStyle w:val="tablecolhead"/>
              <w:keepNext/>
              <w:jc w:val="center"/>
            </w:pPr>
            <w:r>
              <w:t>ISMCTS</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52.6 [48.2, 56.9]</w:t>
            </w:r>
          </w:p>
        </w:tc>
        <w:tc>
          <w:tcPr>
            <w:tcW w:type="dxa" w:w="936"/>
            <w:tcMar>
              <w:left w:w="30" w:type="dxa"/>
              <w:right w:w="30" w:type="dxa"/>
            </w:tcMar>
          </w:tcPr>
          <w:p>
            <w:pPr>
              <w:pStyle w:val="tablecopy"/>
              <w:keepNext/>
              <w:jc w:val="center"/>
            </w:pPr>
            <w:r>
              <w:t>+0.73 ± 0.46</w:t>
            </w:r>
          </w:p>
        </w:tc>
        <w:tc>
          <w:tcPr>
            <w:tcW w:type="dxa" w:w="691"/>
            <w:tcMar>
              <w:left w:w="30" w:type="dxa"/>
              <w:right w:w="30" w:type="dxa"/>
            </w:tcMar>
          </w:tcPr>
          <w:p>
            <w:pPr>
              <w:pStyle w:val="tablecopy"/>
              <w:keepNext/>
              <w:jc w:val="center"/>
            </w:pPr>
            <w:r>
              <w:t>26.4</w:t>
            </w:r>
          </w:p>
        </w:tc>
      </w:tr>
      <w:tr>
        <w:trPr>
          <w:cantSplit/>
        </w:trPr>
        <w:tc>
          <w:tcPr>
            <w:tcW w:type="dxa" w:w="576"/>
            <w:tcMar>
              <w:left w:w="30" w:type="dxa"/>
              <w:right w:w="30" w:type="dxa"/>
            </w:tcMar>
          </w:tcPr>
          <w:p>
            <w:pPr>
              <w:pStyle w:val="tablecopy"/>
              <w:keepNext/>
              <w:jc w:val="left"/>
            </w:pPr>
            <w:r>
              <w:t>3p/500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47.2 [42.9, 51.6]</w:t>
            </w:r>
          </w:p>
        </w:tc>
        <w:tc>
          <w:tcPr>
            <w:tcW w:type="dxa" w:w="936"/>
            <w:tcMar>
              <w:left w:w="30" w:type="dxa"/>
              <w:right w:w="30" w:type="dxa"/>
            </w:tcMar>
          </w:tcPr>
          <w:p>
            <w:pPr>
              <w:pStyle w:val="tablecopy"/>
              <w:keepNext/>
              <w:jc w:val="center"/>
            </w:pPr>
            <w:r>
              <w:t>−0.10 ± 0.40</w:t>
            </w:r>
          </w:p>
        </w:tc>
        <w:tc>
          <w:tcPr>
            <w:tcW w:type="dxa" w:w="691"/>
            <w:tcMar>
              <w:left w:w="30" w:type="dxa"/>
              <w:right w:w="30" w:type="dxa"/>
            </w:tcMar>
          </w:tcPr>
          <w:p>
            <w:pPr>
              <w:pStyle w:val="tablecopy"/>
              <w:keepNext/>
              <w:jc w:val="center"/>
            </w:pPr>
            <w:r>
              <w:t>35.9</w:t>
            </w:r>
          </w:p>
        </w:tc>
      </w:tr>
      <w:tr>
        <w:trPr>
          <w:cantSplit/>
        </w:trPr>
        <w:tc>
          <w:tcPr>
            <w:tcW w:type="dxa" w:w="576"/>
            <w:tcMar>
              <w:left w:w="30" w:type="dxa"/>
              <w:right w:w="30" w:type="dxa"/>
            </w:tcMar>
          </w:tcPr>
          <w:p>
            <w:pPr>
              <w:pStyle w:val="tablecopy"/>
              <w:keepNext/>
              <w:jc w:val="left"/>
            </w:pPr>
            <w:r>
              <w:t>3p/900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44.8 [40.5, 49.2]</w:t>
            </w:r>
          </w:p>
        </w:tc>
        <w:tc>
          <w:tcPr>
            <w:tcW w:type="dxa" w:w="936"/>
            <w:tcMar>
              <w:left w:w="30" w:type="dxa"/>
              <w:right w:w="30" w:type="dxa"/>
            </w:tcMar>
          </w:tcPr>
          <w:p>
            <w:pPr>
              <w:pStyle w:val="tablecopy"/>
              <w:keepNext/>
              <w:jc w:val="center"/>
            </w:pPr>
            <w:r>
              <w:t>−0.35 ± 0.39</w:t>
            </w:r>
          </w:p>
        </w:tc>
        <w:tc>
          <w:tcPr>
            <w:tcW w:type="dxa" w:w="691"/>
            <w:tcMar>
              <w:left w:w="30" w:type="dxa"/>
              <w:right w:w="30" w:type="dxa"/>
            </w:tcMar>
          </w:tcPr>
          <w:p>
            <w:pPr>
              <w:pStyle w:val="tablecopy"/>
              <w:keepNext/>
              <w:jc w:val="center"/>
            </w:pPr>
            <w:r>
              <w:t>36.3</w:t>
            </w:r>
          </w:p>
        </w:tc>
      </w:tr>
      <w:tr>
        <w:trPr>
          <w:cantSplit/>
        </w:trPr>
        <w:tc>
          <w:tcPr>
            <w:tcW w:type="dxa" w:w="576"/>
            <w:tcMar>
              <w:left w:w="30" w:type="dxa"/>
              <w:right w:w="30" w:type="dxa"/>
            </w:tcMar>
          </w:tcPr>
          <w:p>
            <w:pPr>
              <w:pStyle w:val="tablecopy"/>
              <w:keepNext/>
              <w:jc w:val="left"/>
            </w:pPr>
            <w:r>
              <w:t>4p/100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44.4 [40.1, 48.8]</w:t>
            </w:r>
          </w:p>
        </w:tc>
        <w:tc>
          <w:tcPr>
            <w:tcW w:type="dxa" w:w="936"/>
            <w:tcMar>
              <w:left w:w="30" w:type="dxa"/>
              <w:right w:w="30" w:type="dxa"/>
            </w:tcMar>
          </w:tcPr>
          <w:p>
            <w:pPr>
              <w:pStyle w:val="tablecopy"/>
              <w:keepNext/>
              <w:jc w:val="center"/>
            </w:pPr>
            <w:r>
              <w:t>−0.61 ± 0.43</w:t>
            </w:r>
          </w:p>
        </w:tc>
        <w:tc>
          <w:tcPr>
            <w:tcW w:type="dxa" w:w="691"/>
            <w:tcMar>
              <w:left w:w="30" w:type="dxa"/>
              <w:right w:w="30" w:type="dxa"/>
            </w:tcMar>
          </w:tcPr>
          <w:p>
            <w:pPr>
              <w:pStyle w:val="tablecopy"/>
              <w:keepNext/>
              <w:jc w:val="center"/>
            </w:pPr>
            <w:r>
              <w:t>24.1</w:t>
            </w:r>
          </w:p>
        </w:tc>
      </w:tr>
      <w:tr>
        <w:trPr>
          <w:cantSplit/>
        </w:trPr>
        <w:tc>
          <w:tcPr>
            <w:tcW w:type="dxa" w:w="576"/>
            <w:tcMar>
              <w:left w:w="30" w:type="dxa"/>
              <w:right w:w="30" w:type="dxa"/>
            </w:tcMar>
          </w:tcPr>
          <w:p>
            <w:pPr>
              <w:pStyle w:val="tablecopy"/>
              <w:keepNext/>
              <w:jc w:val="left"/>
            </w:pPr>
            <w:r>
              <w:t>4p/500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36.5 [32.4, 40.8]</w:t>
            </w:r>
          </w:p>
        </w:tc>
        <w:tc>
          <w:tcPr>
            <w:tcW w:type="dxa" w:w="936"/>
            <w:tcMar>
              <w:left w:w="30" w:type="dxa"/>
              <w:right w:w="30" w:type="dxa"/>
            </w:tcMar>
          </w:tcPr>
          <w:p>
            <w:pPr>
              <w:pStyle w:val="tablecopy"/>
              <w:keepNext/>
              <w:jc w:val="center"/>
            </w:pPr>
            <w:r>
              <w:t>−1.83 ± 0.45</w:t>
            </w:r>
          </w:p>
        </w:tc>
        <w:tc>
          <w:tcPr>
            <w:tcW w:type="dxa" w:w="691"/>
            <w:tcMar>
              <w:left w:w="30" w:type="dxa"/>
              <w:right w:w="30" w:type="dxa"/>
            </w:tcMar>
          </w:tcPr>
          <w:p>
            <w:pPr>
              <w:pStyle w:val="tablecopy"/>
              <w:keepNext/>
              <w:jc w:val="center"/>
            </w:pPr>
            <w:r>
              <w:t>32.1</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DUCT, ISMCTS</w:t>
            </w:r>
          </w:p>
        </w:tc>
        <w:tc>
          <w:tcPr>
            <w:tcW w:type="dxa" w:w="1138"/>
            <w:tcMar>
              <w:left w:w="30" w:type="dxa"/>
              <w:right w:w="30" w:type="dxa"/>
            </w:tcMar>
          </w:tcPr>
          <w:p>
            <w:pPr>
              <w:pStyle w:val="tablecopy"/>
              <w:keepNext/>
              <w:jc w:val="center"/>
            </w:pPr>
            <w:r>
              <w:t>55.0 [50.6, 59.3]</w:t>
            </w:r>
          </w:p>
        </w:tc>
        <w:tc>
          <w:tcPr>
            <w:tcW w:type="dxa" w:w="936"/>
            <w:tcMar>
              <w:left w:w="30" w:type="dxa"/>
              <w:right w:w="30" w:type="dxa"/>
            </w:tcMar>
          </w:tcPr>
          <w:p>
            <w:pPr>
              <w:pStyle w:val="tablecopy"/>
              <w:keepNext/>
              <w:jc w:val="center"/>
            </w:pPr>
            <w:r>
              <w:t>+0.72 ± 0.40</w:t>
            </w:r>
          </w:p>
        </w:tc>
        <w:tc>
          <w:tcPr>
            <w:tcW w:type="dxa" w:w="691"/>
            <w:tcMar>
              <w:left w:w="30" w:type="dxa"/>
              <w:right w:w="30" w:type="dxa"/>
            </w:tcMar>
          </w:tcPr>
          <w:p>
            <w:pPr>
              <w:pStyle w:val="tablecopy"/>
              <w:keepNext/>
              <w:jc w:val="center"/>
            </w:pPr>
            <w:r>
              <w:t>24.0</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ISMCTS × 2 </w:t>
            </w:r>
            <w:r>
              <w:rPr>
                <w:vertAlign w:val="superscript"/>
              </w:rPr>
              <w:t>a</w:t>
            </w:r>
          </w:p>
        </w:tc>
        <w:tc>
          <w:tcPr>
            <w:tcW w:type="dxa" w:w="1138"/>
            <w:tcMar>
              <w:left w:w="30" w:type="dxa"/>
              <w:right w:w="30" w:type="dxa"/>
            </w:tcMar>
          </w:tcPr>
          <w:p>
            <w:pPr>
              <w:pStyle w:val="tablecopy"/>
              <w:keepNext/>
              <w:jc w:val="center"/>
            </w:pPr>
            <w:r>
              <w:t>51.3 [46.9, 55.7]</w:t>
            </w:r>
          </w:p>
        </w:tc>
        <w:tc>
          <w:tcPr>
            <w:tcW w:type="dxa" w:w="936"/>
            <w:tcMar>
              <w:left w:w="30" w:type="dxa"/>
              <w:right w:w="30" w:type="dxa"/>
            </w:tcMar>
          </w:tcPr>
          <w:p>
            <w:pPr>
              <w:pStyle w:val="tablecopy"/>
              <w:keepNext/>
              <w:jc w:val="center"/>
            </w:pPr>
            <w:r>
              <w:t>+1.41 ± 0.51</w:t>
            </w:r>
          </w:p>
        </w:tc>
        <w:tc>
          <w:tcPr>
            <w:tcW w:type="dxa" w:w="691"/>
            <w:tcMar>
              <w:left w:w="30" w:type="dxa"/>
              <w:right w:w="30" w:type="dxa"/>
            </w:tcMar>
          </w:tcPr>
          <w:p>
            <w:pPr>
              <w:pStyle w:val="tablecopy"/>
              <w:keepNext/>
              <w:jc w:val="center"/>
            </w:pPr>
            <w:r>
              <w:t>24.3</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BasicMCTS, RHEA </w:t>
            </w:r>
            <w:r>
              <w:rPr>
                <w:vertAlign w:val="superscript"/>
              </w:rPr>
              <w:t>a</w:t>
            </w:r>
          </w:p>
        </w:tc>
        <w:tc>
          <w:tcPr>
            <w:tcW w:type="dxa" w:w="1138"/>
            <w:tcMar>
              <w:left w:w="30" w:type="dxa"/>
              <w:right w:w="30" w:type="dxa"/>
            </w:tcMar>
          </w:tcPr>
          <w:p>
            <w:pPr>
              <w:pStyle w:val="tablecopy"/>
              <w:keepNext/>
              <w:jc w:val="center"/>
            </w:pPr>
            <w:r>
              <w:t>84.2 [80.7, 87.1]</w:t>
            </w:r>
          </w:p>
        </w:tc>
        <w:tc>
          <w:tcPr>
            <w:tcW w:type="dxa" w:w="936"/>
            <w:tcMar>
              <w:left w:w="30" w:type="dxa"/>
              <w:right w:w="30" w:type="dxa"/>
            </w:tcMar>
          </w:tcPr>
          <w:p>
            <w:pPr>
              <w:pStyle w:val="tablecopy"/>
              <w:keepNext/>
              <w:jc w:val="center"/>
            </w:pPr>
            <w:r>
              <w:t>+6.68 ± 0.60</w:t>
            </w:r>
          </w:p>
        </w:tc>
        <w:tc>
          <w:tcPr>
            <w:tcW w:type="dxa" w:w="691"/>
            <w:tcMar>
              <w:left w:w="30" w:type="dxa"/>
              <w:right w:w="30" w:type="dxa"/>
            </w:tcMar>
          </w:tcPr>
          <w:p>
            <w:pPr>
              <w:pStyle w:val="tablecopy"/>
              <w:keepNext/>
              <w:jc w:val="center"/>
            </w:pPr>
            <w:r>
              <w:t>–</w:t>
            </w:r>
          </w:p>
        </w:tc>
      </w:tr>
      <w:t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OSLA, BasicMCTS </w:t>
            </w:r>
            <w:r>
              <w:rPr>
                <w:vertAlign w:val="superscript"/>
              </w:rPr>
              <w:t>a</w:t>
            </w:r>
          </w:p>
        </w:tc>
        <w:tc>
          <w:tcPr>
            <w:tcW w:type="dxa" w:w="1138"/>
            <w:tcMar>
              <w:left w:w="30" w:type="dxa"/>
              <w:right w:w="30" w:type="dxa"/>
            </w:tcMar>
          </w:tcPr>
          <w:p>
            <w:pPr>
              <w:pStyle w:val="tablecopy"/>
              <w:keepNext/>
              <w:jc w:val="center"/>
            </w:pPr>
            <w:r>
              <w:t>87.2 [84.0, 89.8]</w:t>
            </w:r>
          </w:p>
        </w:tc>
        <w:tc>
          <w:tcPr>
            <w:tcW w:type="dxa" w:w="936"/>
            <w:tcMar>
              <w:left w:w="30" w:type="dxa"/>
              <w:right w:w="30" w:type="dxa"/>
            </w:tcMar>
          </w:tcPr>
          <w:p>
            <w:pPr>
              <w:pStyle w:val="tablecopy"/>
              <w:keepNext/>
              <w:jc w:val="center"/>
            </w:pPr>
            <w:r>
              <w:t>+9.74 ± 0.75</w:t>
            </w:r>
          </w:p>
        </w:tc>
        <w:tc>
          <w:tcPr>
            <w:tcW w:type="dxa" w:w="691"/>
            <w:tcMar>
              <w:left w:w="30" w:type="dxa"/>
              <w:right w:w="30" w:type="dxa"/>
            </w:tcMar>
          </w:tcPr>
          <w:p>
            <w:pPr>
              <w:pStyle w:val="tablecopy"/>
              <w:keepNext/>
              <w:jc w:val="center"/>
            </w:pPr>
            <w:r>
              <w:t>–</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 95% CI). ISMCTS: win % per seat. Chance 33.3% (3p), 25% (4p).</w:t>
      </w:r>
    </w:p>
    <w:p>
      <w:pPr>
        <w:pStyle w:val="BodyText"/>
      </w:pPr>
      <w:r>
        <w:t>Table III reports the final agent; in every setting its win rate is significantly above chance. On seed block 7 it had won 55.0% at 100 ms (58.1% when re-run on the second machine), within sampling error of the held-out result (</w:t>
      </w:r>
      <w:r>
        <w:rPr>
          <w:i/>
        </w:rPr>
        <w:t>z</w:t>
      </w:r>
      <w:r>
        <w:t xml:space="preserve"> ≤ 1.8). At 100 ms it scores more than both opponents from Nigiri (17.6 points per game against 15.3 and 12.9) and Pudding bonuses, v2 more from Sashimi. TAG's own DUCT agent (Table II) wins 21.0% [17.7, 24.8] of its seats in place of v2, the same share as v2 (0.0 ± 5.0 pp): with TAG's heuristic and rollouts, decoupled information-set search was not detectably better than our previous agent. BasicMCTS, RHEA and OSLA win at most 12.8% of their seats.</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ablations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in place of H wins 44.5%: 13.6 ± 5.9 pp (</w:t>
      </w:r>
      <w:r>
        <w:rPr>
          <w:i/>
        </w:rPr>
        <w:t>z</w:t>
      </w:r>
      <w:r>
        <w:t xml:space="preserve"> = 4.5) less than H on the same machine (58.1%), but far more than own score / 50 (26.7%).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were not ablated in the final agent (S requires M; I already merges identical cards); a 2</w:t>
      </w:r>
      <w:r>
        <w:rPr>
          <w:vertAlign w:val="superscript"/>
        </w:rPr>
        <w:t>4</w:t>
      </w:r>
      <w:r>
        <w:t xml:space="preserve"> factorial around v3 (16 × 500 games, independent deals) supported R (+8.7 ± 2.1 pp) and M (+4.1 ± 2.1 pp).</w:t>
      </w:r>
    </w:p>
    <w:p>
      <w:pPr>
        <w:pStyle w:val="BodyText"/>
      </w:pPr>
      <w:r>
        <w:t>Five later changes (Fig. 2, bottom) brought no detectable gain: four changed the win rate by −1.8 to +0.7 pp (each ±5.8), although one of them, card constants tuned for three players (X3), is the much stronger greedy policy (45.0% of games against two X0 players), consistent with simulation balancing [6]; in another, denial, every simulated player also values taking the card the next player wants most. Game-end rollouts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(seed 1, independent samples; 250 games at 900 ms); open markers: held-out deals; bars: Wilson 95% intervals.</w:t>
      </w:r>
    </w:p>
    <w:p>
      <w:pPr>
        <w:pStyle w:val="BodyText"/>
      </w:pPr>
      <w:r>
        <w:t xml:space="preserve">In development (Fig. 3; independent samples) the gain from S and I grew from +5.6 to +9.0 and +14.8 pp at 100, 500 and 900 ms (100 to 900 ms: +9.2 ± 10.4 pp, </w:t>
      </w:r>
      <w:r>
        <w:rPr>
          <w:i/>
        </w:rPr>
        <w:t>z</w:t>
      </w:r>
      <w:r>
        <w:t xml:space="preserve"> = 1.7), suggesting that v3's sequential tree, in which later players react to cards chosen earlier in the same turn, is a wrong model that more iterations exploit more. The held-out deals do not support this (E2): adding S and I to v3 gained +6.1 ± 5.9 pp at 100 ms and +5.3 ± 5.5 pp at 500 ms (difference −0.8 ± 8.1 pp, </w:t>
      </w:r>
      <w:r>
        <w:rPr>
          <w:i/>
        </w:rPr>
        <w:t>z</w:t>
      </w:r>
      <w:r>
        <w:t xml:space="preserve"> = 0.2; 80% power only for 12 pp), as v3 and the final agent lost 4.6 and 5.4 pp from 100 to 500 ms. The development rise is probably overstated: v3's 50.1% at 100 ms topped 16 factorial cells (45.1–49.4% on new seeds).</w:t>
      </w:r>
    </w:p>
    <w:p>
      <w:pPr>
        <w:pStyle w:val="BodyText"/>
      </w:pPr>
      <w:r>
        <w:t>Giving every agent more time lowered our win rate: on the held-out deals it changed by −5.4 ± 5.9 pp (</w:t>
      </w:r>
      <w:r>
        <w:rPr>
          <w:i/>
        </w:rPr>
        <w:t>z</w:t>
      </w:r>
      <w:r>
        <w:t xml:space="preserve"> = 1.8) at 500 ms and −7.8 ± 5.8 pp (</w:t>
      </w:r>
      <w:r>
        <w:rPr>
          <w:i/>
        </w:rPr>
        <w:t>z</w:t>
      </w:r>
      <w:r>
        <w:t xml:space="preserve"> = 2.6) at 900 ms against 100 ms; pooled with seed block 7, 500 ms changed it by −5.5 ± 4.2 pp (</w:t>
      </w:r>
      <w:r>
        <w:rPr>
          <w:i/>
        </w:rPr>
        <w:t>z</w:t>
      </w:r>
      <w:r>
        <w:t xml:space="preserve"> = 2.6) and 900 ms by −4.9 ± 4.8 pp (</w:t>
      </w:r>
      <w:r>
        <w:rPr>
          <w:i/>
        </w:rPr>
        <w:t>z</w:t>
      </w:r>
      <w:r>
        <w:t xml:space="preserve"> = 1.97), although on its 250 deals seed block 7 alone gave +1.6 ± 8.7 pp at 900 ms. ISMCTS's share of its seats rose by 9.5 ± 5.7 pp from 100 to 500 ms (Table III): the extra time favoured ISMCTS over our agent. Our agent's iterations per decision rose from 2400 to 21 200, yet its win rate fell; plausibly, more iterations cannot correct the bias of our hand-made rollouts and evaluation, while ISMCTS, without such a model, gained up to 500 ms; our parameters were also tuned at 100 ms.</w:t>
      </w:r>
    </w:p>
    <w:p>
      <w:pPr>
        <w:pStyle w:val="Heading2"/>
      </w:pPr>
      <w:r>
        <w:t>Four Players and the Limits of Search (RQ3)</w:t>
      </w:r>
    </w:p>
    <w:p>
      <w:pPr>
        <w:pStyle w:val="BodyText"/>
      </w:pPr>
      <w:r>
        <w:t xml:space="preserve">With four players S and I added +6.4 ± 5.2 pp over v3 at 100 ms and +3.0 ± 8.4 pp at 500 ms (development, independent samples). No setting tuned for four players gained significantly in development (+1.0 to +5.8 pp at the budgets where we kept them, each ±4–8 pp; F + L lost 6.6 ± 6.0 pp at 100 ms); we kept each where its estimate was positive. The same settings (X0, W2, </w:t>
      </w:r>
      <w:r>
        <w:rPr>
          <w:i/>
        </w:rPr>
        <w:t>K</w:t>
      </w:r>
      <w:r>
        <w:t xml:space="preserve"> = 1) cost 7.7 ± 5.4 pp with three players at 500 ms, 13.5 ± 9.1 pp (</w:t>
      </w:r>
      <w:r>
        <w:rPr>
          <w:i/>
        </w:rPr>
        <w:t>z</w:t>
      </w:r>
      <w:r>
        <w:t xml:space="preserve"> = 2.9) different from their effect with four: consistent with E3, but post hoc and with F + L in the three-player arms only.</w:t>
      </w:r>
    </w:p>
    <w:p>
      <w:pPr>
        <w:pStyle w:val="BodyText"/>
      </w:pPr>
      <w:r>
        <w:t xml:space="preserve">With four players, extra time for our agent alone brought no detectable gain: against 500 ms opponents, 500 instead of 100 ms changed its win rate by +3.6 ± 8.4 pp (same settings) and 1000 instead of 500 ms (with </w:t>
      </w:r>
      <w:r>
        <w:rPr>
          <w:i/>
        </w:rPr>
        <w:t>K</w:t>
      </w:r>
      <w:r>
        <w:t xml:space="preserve"> = 1.37) by −4.8 ± 8.1 pp (250 development games each; 80% power only for about 12 pp), although depth matters: at 500 ms a tree cut to depth 1 lost 17.4 ± 8.2 pp. Our 500 ms agent with every agent at 500 ms won 6.7 ± 4.1 pp less than our 100 ms agent with every agent at 100 ms (</w:t>
      </w:r>
      <w:r>
        <w:rPr>
          <w:i/>
        </w:rPr>
        <w:t>z</w:t>
      </w:r>
      <w:r>
        <w:t xml:space="preserve"> = 3.2; seed block 7 and held-out deals pooled), while TAG's ISMCTS rose from 24.1% to 32.1% of its seats; at 500 ms our 36.5% is no longer clearly above its share. Both agents did better on seed block 7 (100 ms: 46.8%, 500 ms: 41.4%), whose deals overlap those used to tune them. The tree statistics suggest why 1000 ms did not help: on 73 random-play positions the 500 ms tree has 704 joint-move children at the root on average, 53% visited once, and doubling time or rollouts per leaf changed the card in 2 and 4 positions, no more often than reruns (4 and 7).</w:t>
      </w:r>
    </w:p>
    <w:p>
      <w:pPr>
        <w:pStyle w:val="Heading1"/>
      </w:pPr>
      <w:r>
        <w:t>Conclusions and Future Work</w:t>
      </w:r>
    </w:p>
    <w:p>
      <w:pPr>
        <w:pStyle w:val="BodyText"/>
      </w:pPr>
      <w:r>
        <w:t>For RQ1, the lead-based evaluation H matters most (28.3 pp without it, 13.6 pp with TAG's lead heuristic), then the decoupled information-set tree (+8.2 ± 4.1 pp over v3's sequential, determinised tree, two deal sets pooled); round-end rollouts, card-value rollouts and information sets alone raise the final agent's score margin but not detectably its win rate. For RQ2, our agent's lead shrinks with time: with every agent at 500 ms it won 5.5 ± 4.2 pp less than at 100 ms (and, less clearly, 4.9 ± 4.8 pp less at 900 ms), while TAG's ISMCTS won 9.5 pp more of its seats, and the decoupled tree's value showed no sign of growing (−0.8 ± 8.1 pp, held-out). For RQ3, settings tuned for four players hurt with three, and with four players time beyond 500 ms rarely changes the wide, shallow tree's decision (both exploratory).</w:t>
      </w:r>
    </w:p>
    <w:p>
      <w:pPr>
        <w:pStyle w:val="BodyText"/>
      </w:pPr>
      <w:r>
        <w:t>Our opponents were framework agents and our own previous version; the leave-one-out ablation used only three players at 100 ms; the four-player 500 ms settings were kept on non-significant 250-game gains; every agent got the same extra time, so RQ2 measures our agent's scaling relative to ISMCTS's; and CPU-time budgets hide wall-clock effects. As hand-tuned changes to the model no longer move the agent, future work should learn the evaluation from game outcomes; regret matching and EXP3 deserve a test, as decoupled UCT is best overall but not in every game [10] and was the most exploitable in Goofspiel [9]; and opponent models fitted to observed picks (an untested option in our code) could replace the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successive drafts were marked by a second, independent Claude instance, prompted as “an independent, strict marker for the QMUL module ECS7032P” to mark each draft against the brief and the rubric, to recompute its numbers from our result files and to list the changes that would raise the mark. Its written reports were the prompts for the revisions (the prompts of this report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Halit Ozger, Weronika Podgorska, Hakan Coskun (ECS7032P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