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8CDD" w14:textId="77777777" w:rsidR="00414B13" w:rsidRDefault="00FB395E">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414B13" w14:paraId="2719AB05" w14:textId="77777777">
        <w:trPr>
          <w:trHeight w:val="373"/>
        </w:trPr>
        <w:tc>
          <w:tcPr>
            <w:tcW w:w="2343" w:type="dxa"/>
            <w:gridSpan w:val="2"/>
            <w:shd w:val="clear" w:color="auto" w:fill="DFDFDF"/>
          </w:tcPr>
          <w:p w14:paraId="6D2ABEEB" w14:textId="77777777" w:rsidR="00414B13" w:rsidRDefault="00FB395E">
            <w:pPr>
              <w:pStyle w:val="TableParagraph"/>
              <w:spacing w:before="63"/>
              <w:rPr>
                <w:b/>
                <w:sz w:val="18"/>
              </w:rPr>
            </w:pPr>
            <w:r>
              <w:rPr>
                <w:b/>
                <w:sz w:val="18"/>
              </w:rPr>
              <w:t>Meeting/Project Name:</w:t>
            </w:r>
          </w:p>
        </w:tc>
        <w:tc>
          <w:tcPr>
            <w:tcW w:w="8643" w:type="dxa"/>
            <w:gridSpan w:val="3"/>
          </w:tcPr>
          <w:p w14:paraId="1BEB25E6" w14:textId="77777777" w:rsidR="00414B13" w:rsidRDefault="00FB395E">
            <w:pPr>
              <w:pStyle w:val="TableParagraph"/>
              <w:spacing w:before="59"/>
            </w:pPr>
            <w:r>
              <w:t>Daily Meeting</w:t>
            </w:r>
          </w:p>
        </w:tc>
      </w:tr>
      <w:tr w:rsidR="00414B13" w14:paraId="03FB8DB4" w14:textId="77777777">
        <w:trPr>
          <w:trHeight w:val="374"/>
        </w:trPr>
        <w:tc>
          <w:tcPr>
            <w:tcW w:w="2343" w:type="dxa"/>
            <w:gridSpan w:val="2"/>
            <w:shd w:val="clear" w:color="auto" w:fill="DFDFDF"/>
          </w:tcPr>
          <w:p w14:paraId="1EC296B7" w14:textId="77777777" w:rsidR="00414B13" w:rsidRDefault="00FB395E">
            <w:pPr>
              <w:pStyle w:val="TableParagraph"/>
              <w:spacing w:before="63"/>
              <w:rPr>
                <w:b/>
                <w:sz w:val="18"/>
              </w:rPr>
            </w:pPr>
            <w:r>
              <w:rPr>
                <w:b/>
                <w:sz w:val="18"/>
              </w:rPr>
              <w:t>Date of Meeting:</w:t>
            </w:r>
          </w:p>
        </w:tc>
        <w:tc>
          <w:tcPr>
            <w:tcW w:w="3061" w:type="dxa"/>
          </w:tcPr>
          <w:p w14:paraId="2A1CB14A" w14:textId="66AFCE83" w:rsidR="00414B13" w:rsidRDefault="00A146B0">
            <w:pPr>
              <w:pStyle w:val="TableParagraph"/>
              <w:spacing w:before="59"/>
            </w:pPr>
            <w:r>
              <w:rPr>
                <w:rFonts w:eastAsia="MS Mincho"/>
                <w:lang w:eastAsia="ja-JP"/>
              </w:rPr>
              <w:t xml:space="preserve">April 10, </w:t>
            </w:r>
            <w:r w:rsidR="00FB395E">
              <w:t>2022</w:t>
            </w:r>
          </w:p>
        </w:tc>
        <w:tc>
          <w:tcPr>
            <w:tcW w:w="1801" w:type="dxa"/>
            <w:shd w:val="clear" w:color="auto" w:fill="DFDFDF"/>
          </w:tcPr>
          <w:p w14:paraId="29CA3050" w14:textId="77777777" w:rsidR="00414B13" w:rsidRDefault="00FB395E">
            <w:pPr>
              <w:pStyle w:val="TableParagraph"/>
              <w:spacing w:before="63"/>
              <w:rPr>
                <w:b/>
                <w:sz w:val="18"/>
              </w:rPr>
            </w:pPr>
            <w:r>
              <w:rPr>
                <w:b/>
                <w:sz w:val="18"/>
              </w:rPr>
              <w:t>Time:</w:t>
            </w:r>
          </w:p>
        </w:tc>
        <w:tc>
          <w:tcPr>
            <w:tcW w:w="3781" w:type="dxa"/>
          </w:tcPr>
          <w:p w14:paraId="4CAC2B07" w14:textId="36E60F03" w:rsidR="00414B13" w:rsidRDefault="00FB395E">
            <w:pPr>
              <w:pStyle w:val="TableParagraph"/>
              <w:spacing w:before="59"/>
              <w:ind w:left="106"/>
            </w:pPr>
            <w:r>
              <w:t>15:</w:t>
            </w:r>
            <w:r>
              <w:rPr>
                <w:rFonts w:eastAsia="宋体" w:hint="eastAsia"/>
                <w:lang w:eastAsia="zh-CN"/>
              </w:rPr>
              <w:t>0</w:t>
            </w:r>
            <w:r>
              <w:t>0– 16:00</w:t>
            </w:r>
          </w:p>
        </w:tc>
      </w:tr>
      <w:tr w:rsidR="00414B13" w14:paraId="321D6B59" w14:textId="77777777">
        <w:trPr>
          <w:trHeight w:val="373"/>
        </w:trPr>
        <w:tc>
          <w:tcPr>
            <w:tcW w:w="2343" w:type="dxa"/>
            <w:gridSpan w:val="2"/>
            <w:shd w:val="clear" w:color="auto" w:fill="DFDFDF"/>
          </w:tcPr>
          <w:p w14:paraId="6477E3EB" w14:textId="77777777" w:rsidR="00414B13" w:rsidRDefault="00FB395E">
            <w:pPr>
              <w:pStyle w:val="TableParagraph"/>
              <w:spacing w:before="63"/>
              <w:rPr>
                <w:b/>
                <w:sz w:val="18"/>
              </w:rPr>
            </w:pPr>
            <w:r>
              <w:rPr>
                <w:b/>
                <w:sz w:val="18"/>
              </w:rPr>
              <w:t>Minutes Prepared By:</w:t>
            </w:r>
          </w:p>
        </w:tc>
        <w:tc>
          <w:tcPr>
            <w:tcW w:w="3061" w:type="dxa"/>
          </w:tcPr>
          <w:p w14:paraId="666F8AAE" w14:textId="77777777" w:rsidR="00414B13" w:rsidRDefault="00FB395E">
            <w:pPr>
              <w:pStyle w:val="TableParagraph"/>
              <w:spacing w:before="57"/>
              <w:rPr>
                <w:rFonts w:eastAsia="宋体"/>
                <w:sz w:val="20"/>
                <w:lang w:eastAsia="zh-CN"/>
              </w:rPr>
            </w:pPr>
            <w:r>
              <w:rPr>
                <w:rFonts w:eastAsia="宋体" w:hint="eastAsia"/>
                <w:sz w:val="20"/>
                <w:lang w:eastAsia="zh-CN"/>
              </w:rPr>
              <w:t>Mu Di</w:t>
            </w:r>
          </w:p>
        </w:tc>
        <w:tc>
          <w:tcPr>
            <w:tcW w:w="1801" w:type="dxa"/>
            <w:shd w:val="clear" w:color="auto" w:fill="DFDFDF"/>
          </w:tcPr>
          <w:p w14:paraId="60282D05" w14:textId="77777777" w:rsidR="00414B13" w:rsidRDefault="00FB395E">
            <w:pPr>
              <w:pStyle w:val="TableParagraph"/>
              <w:spacing w:before="63"/>
              <w:rPr>
                <w:b/>
                <w:sz w:val="18"/>
              </w:rPr>
            </w:pPr>
            <w:r>
              <w:rPr>
                <w:b/>
                <w:sz w:val="18"/>
              </w:rPr>
              <w:t>Location:</w:t>
            </w:r>
          </w:p>
        </w:tc>
        <w:tc>
          <w:tcPr>
            <w:tcW w:w="3781" w:type="dxa"/>
          </w:tcPr>
          <w:p w14:paraId="005403AB" w14:textId="77777777" w:rsidR="00414B13" w:rsidRDefault="00FB395E">
            <w:pPr>
              <w:pStyle w:val="TableParagraph"/>
              <w:spacing w:before="59"/>
              <w:ind w:left="106"/>
              <w:rPr>
                <w:rFonts w:eastAsia="宋体"/>
                <w:lang w:eastAsia="zh-CN"/>
              </w:rPr>
            </w:pPr>
            <w:r>
              <w:t>X931</w:t>
            </w:r>
            <w:r>
              <w:rPr>
                <w:rFonts w:eastAsia="宋体" w:hint="eastAsia"/>
                <w:lang w:eastAsia="zh-CN"/>
              </w:rPr>
              <w:t>8</w:t>
            </w:r>
          </w:p>
        </w:tc>
      </w:tr>
      <w:tr w:rsidR="00414B13" w14:paraId="3A87654C" w14:textId="77777777">
        <w:trPr>
          <w:trHeight w:val="335"/>
        </w:trPr>
        <w:tc>
          <w:tcPr>
            <w:tcW w:w="10986" w:type="dxa"/>
            <w:gridSpan w:val="5"/>
            <w:shd w:val="clear" w:color="auto" w:fill="CCEBFF"/>
          </w:tcPr>
          <w:p w14:paraId="2DABFFF7" w14:textId="77777777" w:rsidR="00414B13" w:rsidRDefault="00FB395E">
            <w:pPr>
              <w:pStyle w:val="TableParagraph"/>
              <w:spacing w:before="63"/>
              <w:rPr>
                <w:b/>
                <w:sz w:val="18"/>
              </w:rPr>
            </w:pPr>
            <w:r>
              <w:rPr>
                <w:b/>
                <w:sz w:val="18"/>
              </w:rPr>
              <w:t>1. Meeting Objective</w:t>
            </w:r>
          </w:p>
        </w:tc>
      </w:tr>
      <w:tr w:rsidR="00414B13" w14:paraId="4EF3B94E" w14:textId="77777777">
        <w:trPr>
          <w:trHeight w:val="613"/>
        </w:trPr>
        <w:tc>
          <w:tcPr>
            <w:tcW w:w="10986" w:type="dxa"/>
            <w:gridSpan w:val="5"/>
          </w:tcPr>
          <w:p w14:paraId="7745E1C8" w14:textId="77777777" w:rsidR="00414B13" w:rsidRDefault="00FB395E">
            <w:pPr>
              <w:pStyle w:val="TableParagraph"/>
              <w:spacing w:before="59"/>
            </w:pPr>
            <w:r>
              <w:rPr>
                <w:rFonts w:hint="eastAsia"/>
              </w:rPr>
              <w:t xml:space="preserve">Front-end group showing and discussing the style of the </w:t>
            </w:r>
            <w:r>
              <w:rPr>
                <w:rFonts w:eastAsia="宋体" w:hint="eastAsia"/>
                <w:lang w:eastAsia="zh-CN"/>
              </w:rPr>
              <w:t>Mini Program</w:t>
            </w:r>
            <w:r>
              <w:rPr>
                <w:rFonts w:hint="eastAsia"/>
              </w:rPr>
              <w:t xml:space="preserve"> venue details page and </w:t>
            </w:r>
            <w:r>
              <w:rPr>
                <w:rFonts w:eastAsia="宋体" w:hint="eastAsia"/>
                <w:lang w:eastAsia="zh-CN"/>
              </w:rPr>
              <w:t>reserv</w:t>
            </w:r>
            <w:r>
              <w:rPr>
                <w:rFonts w:hint="eastAsia"/>
              </w:rPr>
              <w:t>ing page. The back-end group discusse</w:t>
            </w:r>
            <w:r>
              <w:rPr>
                <w:rFonts w:eastAsia="宋体" w:hint="eastAsia"/>
                <w:lang w:eastAsia="zh-CN"/>
              </w:rPr>
              <w:t>d</w:t>
            </w:r>
            <w:r>
              <w:rPr>
                <w:rFonts w:hint="eastAsia"/>
              </w:rPr>
              <w:t xml:space="preserve"> the work progress and problems.</w:t>
            </w:r>
          </w:p>
        </w:tc>
      </w:tr>
      <w:tr w:rsidR="00414B13" w14:paraId="0C3FA974" w14:textId="77777777">
        <w:trPr>
          <w:trHeight w:val="335"/>
        </w:trPr>
        <w:tc>
          <w:tcPr>
            <w:tcW w:w="10986" w:type="dxa"/>
            <w:gridSpan w:val="5"/>
            <w:shd w:val="clear" w:color="auto" w:fill="CCEBFF"/>
          </w:tcPr>
          <w:p w14:paraId="7718C4B7" w14:textId="77777777" w:rsidR="00414B13" w:rsidRDefault="00FB395E">
            <w:pPr>
              <w:pStyle w:val="TableParagraph"/>
              <w:spacing w:before="63"/>
              <w:rPr>
                <w:b/>
                <w:sz w:val="18"/>
              </w:rPr>
            </w:pPr>
            <w:r>
              <w:rPr>
                <w:b/>
                <w:sz w:val="18"/>
              </w:rPr>
              <w:t>2. Attendees</w:t>
            </w:r>
          </w:p>
        </w:tc>
      </w:tr>
      <w:tr w:rsidR="00414B13" w14:paraId="212A4E7C" w14:textId="77777777">
        <w:trPr>
          <w:trHeight w:val="1251"/>
        </w:trPr>
        <w:tc>
          <w:tcPr>
            <w:tcW w:w="10986" w:type="dxa"/>
            <w:gridSpan w:val="5"/>
          </w:tcPr>
          <w:p w14:paraId="01547C1E" w14:textId="77777777" w:rsidR="00414B13" w:rsidRDefault="00FB395E">
            <w:pPr>
              <w:pStyle w:val="TableParagraph"/>
              <w:spacing w:before="122"/>
              <w:ind w:right="160"/>
            </w:pPr>
            <w:r>
              <w:t>Chen Runsheng, Cheng Weishi, Fan Shiqing, Li Peishuo, Mu Di, Sheng Junjie</w:t>
            </w:r>
          </w:p>
        </w:tc>
      </w:tr>
      <w:tr w:rsidR="00414B13" w14:paraId="16CF603F" w14:textId="77777777">
        <w:trPr>
          <w:trHeight w:val="335"/>
        </w:trPr>
        <w:tc>
          <w:tcPr>
            <w:tcW w:w="10986" w:type="dxa"/>
            <w:gridSpan w:val="5"/>
            <w:shd w:val="clear" w:color="auto" w:fill="CCEBFF"/>
          </w:tcPr>
          <w:p w14:paraId="6F11BEBE" w14:textId="77777777" w:rsidR="00414B13" w:rsidRDefault="00FB395E">
            <w:pPr>
              <w:pStyle w:val="TableParagraph"/>
              <w:spacing w:before="63"/>
              <w:rPr>
                <w:b/>
                <w:sz w:val="18"/>
              </w:rPr>
            </w:pPr>
            <w:r>
              <w:rPr>
                <w:b/>
                <w:sz w:val="18"/>
              </w:rPr>
              <w:t>3. Review</w:t>
            </w:r>
          </w:p>
        </w:tc>
      </w:tr>
      <w:tr w:rsidR="00414B13" w14:paraId="1BCDB0D6" w14:textId="77777777">
        <w:trPr>
          <w:trHeight w:val="335"/>
        </w:trPr>
        <w:tc>
          <w:tcPr>
            <w:tcW w:w="2163" w:type="dxa"/>
            <w:shd w:val="clear" w:color="auto" w:fill="DFDFDF"/>
          </w:tcPr>
          <w:p w14:paraId="2CAC0B42" w14:textId="77777777" w:rsidR="00414B13" w:rsidRDefault="00FB395E">
            <w:pPr>
              <w:pStyle w:val="TableParagraph"/>
              <w:spacing w:before="63"/>
              <w:rPr>
                <w:b/>
                <w:sz w:val="18"/>
              </w:rPr>
            </w:pPr>
            <w:r>
              <w:rPr>
                <w:b/>
                <w:sz w:val="18"/>
              </w:rPr>
              <w:t>Topic</w:t>
            </w:r>
          </w:p>
        </w:tc>
        <w:tc>
          <w:tcPr>
            <w:tcW w:w="8823" w:type="dxa"/>
            <w:gridSpan w:val="4"/>
            <w:shd w:val="clear" w:color="auto" w:fill="DFDFDF"/>
          </w:tcPr>
          <w:p w14:paraId="5F38A98F" w14:textId="77777777" w:rsidR="00414B13" w:rsidRDefault="00FB395E">
            <w:pPr>
              <w:pStyle w:val="TableParagraph"/>
              <w:spacing w:before="63"/>
              <w:rPr>
                <w:b/>
                <w:sz w:val="18"/>
              </w:rPr>
            </w:pPr>
            <w:r>
              <w:rPr>
                <w:b/>
                <w:sz w:val="18"/>
              </w:rPr>
              <w:t>Discussion</w:t>
            </w:r>
          </w:p>
        </w:tc>
      </w:tr>
      <w:tr w:rsidR="00414B13" w14:paraId="24C6567F" w14:textId="77777777">
        <w:trPr>
          <w:trHeight w:val="911"/>
        </w:trPr>
        <w:tc>
          <w:tcPr>
            <w:tcW w:w="2163" w:type="dxa"/>
          </w:tcPr>
          <w:p w14:paraId="3D05CC12" w14:textId="77777777" w:rsidR="00414B13" w:rsidRDefault="00FB395E">
            <w:pPr>
              <w:pStyle w:val="TableParagraph"/>
              <w:spacing w:before="11"/>
              <w:rPr>
                <w:b/>
              </w:rPr>
            </w:pPr>
            <w:r>
              <w:rPr>
                <w:b/>
              </w:rPr>
              <w:t>Front-end Group Report</w:t>
            </w:r>
          </w:p>
        </w:tc>
        <w:tc>
          <w:tcPr>
            <w:tcW w:w="8823" w:type="dxa"/>
            <w:gridSpan w:val="4"/>
          </w:tcPr>
          <w:p w14:paraId="2272AF93" w14:textId="63570C90" w:rsidR="00414B13" w:rsidRDefault="00FB395E">
            <w:pPr>
              <w:pStyle w:val="TableParagraph"/>
              <w:spacing w:before="67" w:line="249" w:lineRule="auto"/>
              <w:ind w:right="196"/>
              <w:rPr>
                <w:b/>
              </w:rPr>
            </w:pPr>
            <w:r>
              <w:rPr>
                <w:rFonts w:eastAsia="宋体" w:hint="eastAsia"/>
                <w:lang w:eastAsia="zh-CN"/>
              </w:rPr>
              <w:t xml:space="preserve">The front-end group </w:t>
            </w:r>
            <w:r>
              <w:t>completed the page layout and content of the venue display</w:t>
            </w:r>
            <w:r>
              <w:rPr>
                <w:rFonts w:eastAsia="宋体" w:hint="eastAsia"/>
                <w:lang w:eastAsia="zh-CN"/>
              </w:rPr>
              <w:t xml:space="preserve"> and reserve</w:t>
            </w:r>
            <w:r>
              <w:t xml:space="preserve">. </w:t>
            </w:r>
            <w:r>
              <w:rPr>
                <w:rFonts w:hint="eastAsia"/>
              </w:rPr>
              <w:t>They also completed the list display of venues, facilities and activities in the management system.</w:t>
            </w:r>
            <w:r w:rsidR="00F76FAB">
              <w:t xml:space="preserve"> </w:t>
            </w:r>
            <w:r>
              <w:t>It was rendered correctly with suitable data.</w:t>
            </w:r>
            <w:r w:rsidR="00F76FAB">
              <w:t xml:space="preserve"> </w:t>
            </w:r>
            <w:r>
              <w:rPr>
                <w:rFonts w:hint="eastAsia"/>
              </w:rPr>
              <w:t>Corrections for submitting data forms were also successfully completed.</w:t>
            </w:r>
            <w:r>
              <w:rPr>
                <w:rFonts w:eastAsia="宋体" w:hint="eastAsia"/>
                <w:lang w:eastAsia="zh-CN"/>
              </w:rPr>
              <w:t xml:space="preserve"> </w:t>
            </w:r>
            <w:r>
              <w:t>All members agreed that the current page meets the requirements.</w:t>
            </w:r>
          </w:p>
        </w:tc>
      </w:tr>
      <w:tr w:rsidR="00414B13" w14:paraId="329F9050" w14:textId="77777777">
        <w:trPr>
          <w:trHeight w:val="911"/>
        </w:trPr>
        <w:tc>
          <w:tcPr>
            <w:tcW w:w="2163" w:type="dxa"/>
          </w:tcPr>
          <w:p w14:paraId="67F11389" w14:textId="77777777" w:rsidR="00414B13" w:rsidRDefault="00FB395E">
            <w:pPr>
              <w:pStyle w:val="TableParagraph"/>
              <w:spacing w:before="67" w:line="249" w:lineRule="auto"/>
              <w:ind w:right="125"/>
              <w:rPr>
                <w:b/>
              </w:rPr>
            </w:pPr>
            <w:r>
              <w:rPr>
                <w:b/>
              </w:rPr>
              <w:t>Back-end Group Report</w:t>
            </w:r>
          </w:p>
        </w:tc>
        <w:tc>
          <w:tcPr>
            <w:tcW w:w="8823" w:type="dxa"/>
            <w:gridSpan w:val="4"/>
          </w:tcPr>
          <w:p w14:paraId="268760F6" w14:textId="77777777" w:rsidR="00414B13" w:rsidRDefault="00FB395E">
            <w:pPr>
              <w:pStyle w:val="TableParagraph"/>
              <w:spacing w:before="67" w:line="249" w:lineRule="auto"/>
              <w:ind w:right="196"/>
              <w:rPr>
                <w:b/>
              </w:rPr>
            </w:pPr>
            <w:r>
              <w:t>The "Orders" class is partially complete, implementing the definition of the entity and the writing of the interface. In addition, all orders can be queried through Prediction class combined with Pageble. And unit tests against the code that has been written so far. The AP</w:t>
            </w:r>
            <w:r>
              <w:rPr>
                <w:rFonts w:eastAsia="宋体" w:hint="eastAsia"/>
                <w:lang w:eastAsia="zh-CN"/>
              </w:rPr>
              <w:t>I</w:t>
            </w:r>
            <w:r>
              <w:t xml:space="preserve"> documentation section completes the writing of User and Venue and is ready to dock with the front end.</w:t>
            </w:r>
          </w:p>
        </w:tc>
      </w:tr>
      <w:tr w:rsidR="00414B13" w14:paraId="6EAEC4FA" w14:textId="77777777">
        <w:trPr>
          <w:trHeight w:val="911"/>
        </w:trPr>
        <w:tc>
          <w:tcPr>
            <w:tcW w:w="2163" w:type="dxa"/>
          </w:tcPr>
          <w:p w14:paraId="2E7029D3" w14:textId="77777777" w:rsidR="00414B13" w:rsidRDefault="00FB395E">
            <w:pPr>
              <w:pStyle w:val="TableParagraph"/>
              <w:spacing w:before="67" w:line="249" w:lineRule="auto"/>
              <w:ind w:right="125"/>
              <w:rPr>
                <w:b/>
              </w:rPr>
            </w:pPr>
            <w:r>
              <w:rPr>
                <w:b/>
              </w:rPr>
              <w:t>Summarizing on issues</w:t>
            </w:r>
          </w:p>
        </w:tc>
        <w:tc>
          <w:tcPr>
            <w:tcW w:w="8823" w:type="dxa"/>
            <w:gridSpan w:val="4"/>
          </w:tcPr>
          <w:p w14:paraId="2001588C" w14:textId="77777777" w:rsidR="00414B13" w:rsidRDefault="00FB395E">
            <w:pPr>
              <w:pStyle w:val="TableParagraph"/>
              <w:spacing w:before="67" w:line="249" w:lineRule="auto"/>
              <w:ind w:right="196"/>
            </w:pPr>
            <w:r>
              <w:rPr>
                <w:rFonts w:hint="eastAsia"/>
              </w:rPr>
              <w:t xml:space="preserve">All team members approved of the current styling of the front-end group and decided that the next plan was to focus on the core function of </w:t>
            </w:r>
            <w:r>
              <w:rPr>
                <w:rFonts w:eastAsia="宋体" w:hint="eastAsia"/>
                <w:lang w:eastAsia="zh-CN"/>
              </w:rPr>
              <w:t>reservation</w:t>
            </w:r>
            <w:r>
              <w:rPr>
                <w:rFonts w:hint="eastAsia"/>
              </w:rPr>
              <w:t>.</w:t>
            </w:r>
          </w:p>
        </w:tc>
      </w:tr>
      <w:tr w:rsidR="00414B13" w14:paraId="4CD534B8" w14:textId="77777777">
        <w:trPr>
          <w:trHeight w:val="911"/>
        </w:trPr>
        <w:tc>
          <w:tcPr>
            <w:tcW w:w="2163" w:type="dxa"/>
          </w:tcPr>
          <w:p w14:paraId="41C7AE05" w14:textId="77777777" w:rsidR="00414B13" w:rsidRDefault="00FB395E">
            <w:pPr>
              <w:pStyle w:val="TableParagraph"/>
              <w:spacing w:before="67" w:line="249" w:lineRule="auto"/>
              <w:ind w:right="125"/>
              <w:rPr>
                <w:b/>
              </w:rPr>
            </w:pPr>
            <w:r>
              <w:rPr>
                <w:b/>
              </w:rPr>
              <w:t>Front-end Group Discussion</w:t>
            </w:r>
          </w:p>
        </w:tc>
        <w:tc>
          <w:tcPr>
            <w:tcW w:w="8823" w:type="dxa"/>
            <w:gridSpan w:val="4"/>
          </w:tcPr>
          <w:p w14:paraId="246BD1C1" w14:textId="77777777" w:rsidR="00414B13" w:rsidRDefault="00FB395E">
            <w:pPr>
              <w:pStyle w:val="TableParagraph"/>
              <w:spacing w:before="67" w:line="249" w:lineRule="auto"/>
              <w:ind w:right="196"/>
            </w:pPr>
            <w:r>
              <w:rPr>
                <w:rFonts w:hint="eastAsia"/>
              </w:rPr>
              <w:t xml:space="preserve">The front-end group discussed what to do after the page style was completed; the </w:t>
            </w:r>
            <w:r>
              <w:t>Mini Program</w:t>
            </w:r>
            <w:r>
              <w:rPr>
                <w:rFonts w:hint="eastAsia"/>
              </w:rPr>
              <w:t xml:space="preserve"> is now able to display venue listing information and has access to the booking page, the next step is to interface with the booking function completed by the back-end group.</w:t>
            </w:r>
          </w:p>
          <w:p w14:paraId="575AAE15" w14:textId="77777777" w:rsidR="00414B13" w:rsidRDefault="00FB395E">
            <w:pPr>
              <w:pStyle w:val="TableParagraph"/>
              <w:spacing w:before="67" w:line="249" w:lineRule="auto"/>
              <w:ind w:right="196"/>
            </w:pPr>
            <w:r>
              <w:rPr>
                <w:rFonts w:hint="eastAsia"/>
              </w:rPr>
              <w:t xml:space="preserve">At present, the management system has completed all venues, facilities and </w:t>
            </w:r>
            <w:r>
              <w:rPr>
                <w:rFonts w:eastAsia="宋体" w:hint="eastAsia"/>
                <w:lang w:eastAsia="zh-CN"/>
              </w:rPr>
              <w:t>activitie</w:t>
            </w:r>
            <w:r>
              <w:rPr>
                <w:rFonts w:hint="eastAsia"/>
              </w:rPr>
              <w:t>s mainly related to reservations. In the next step, the front-end group will design the user interface and forms for</w:t>
            </w:r>
            <w:r>
              <w:rPr>
                <w:rFonts w:eastAsia="宋体" w:hint="eastAsia"/>
                <w:lang w:eastAsia="zh-CN"/>
              </w:rPr>
              <w:t xml:space="preserve"> </w:t>
            </w:r>
            <w:r>
              <w:rPr>
                <w:rFonts w:hint="eastAsia"/>
              </w:rPr>
              <w:t>orders and user management and discuss with the back-end group the API interface about its functionality.</w:t>
            </w:r>
          </w:p>
        </w:tc>
      </w:tr>
      <w:tr w:rsidR="00414B13" w14:paraId="7909E4EA" w14:textId="77777777">
        <w:trPr>
          <w:trHeight w:val="911"/>
        </w:trPr>
        <w:tc>
          <w:tcPr>
            <w:tcW w:w="2163" w:type="dxa"/>
          </w:tcPr>
          <w:p w14:paraId="2A544F8F" w14:textId="77777777" w:rsidR="00414B13" w:rsidRDefault="00FB395E">
            <w:pPr>
              <w:pStyle w:val="TableParagraph"/>
              <w:spacing w:before="67" w:line="249" w:lineRule="auto"/>
              <w:ind w:right="125"/>
              <w:rPr>
                <w:b/>
              </w:rPr>
            </w:pPr>
            <w:r>
              <w:rPr>
                <w:rFonts w:eastAsia="宋体" w:hint="eastAsia"/>
                <w:b/>
                <w:lang w:eastAsia="zh-CN"/>
              </w:rPr>
              <w:t>Back</w:t>
            </w:r>
            <w:r>
              <w:rPr>
                <w:b/>
              </w:rPr>
              <w:t>-end Group Discussion</w:t>
            </w:r>
          </w:p>
        </w:tc>
        <w:tc>
          <w:tcPr>
            <w:tcW w:w="8823" w:type="dxa"/>
            <w:gridSpan w:val="4"/>
          </w:tcPr>
          <w:p w14:paraId="7F7CFD2F" w14:textId="77777777" w:rsidR="00414B13" w:rsidRDefault="00FB395E">
            <w:pPr>
              <w:pStyle w:val="TableParagraph"/>
              <w:spacing w:before="67" w:line="249" w:lineRule="auto"/>
              <w:ind w:right="196"/>
              <w:rPr>
                <w:lang w:eastAsia="zh-CN"/>
              </w:rPr>
            </w:pPr>
            <w:r>
              <w:rPr>
                <w:lang w:eastAsia="zh-CN"/>
              </w:rPr>
              <w:t>The team decided that it was time to extend the API further and design the Orders class further, at a minimum, with reservation, payment, and refund functionality. The payment and refund functions are implemented by the Flag field. We believe that orders need to be divided into 5 categories: failed, unpaid, paid, refund and used. Different Settings should be set for different payment methods. If the user pays in cash, the order flag should be set to pay, changing from background to used or paid. The user can make a refund at any time through Cancel, and if the user makes a wrong reservation (for example, at the same time), it becomes a failure. If payment is made online, it is converted to paid.</w:t>
            </w:r>
          </w:p>
        </w:tc>
      </w:tr>
    </w:tbl>
    <w:p w14:paraId="0B9FD421" w14:textId="77777777" w:rsidR="00414B13" w:rsidRDefault="00414B13">
      <w:pPr>
        <w:spacing w:line="250" w:lineRule="atLeast"/>
        <w:sectPr w:rsidR="00414B13">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414B13" w14:paraId="5D2EF312" w14:textId="77777777">
        <w:trPr>
          <w:trHeight w:val="335"/>
        </w:trPr>
        <w:tc>
          <w:tcPr>
            <w:tcW w:w="10982" w:type="dxa"/>
            <w:gridSpan w:val="2"/>
            <w:shd w:val="clear" w:color="auto" w:fill="CCEBFF"/>
          </w:tcPr>
          <w:p w14:paraId="0D99B7DB" w14:textId="77777777" w:rsidR="00414B13" w:rsidRDefault="00FB395E">
            <w:pPr>
              <w:pStyle w:val="TableParagraph"/>
              <w:spacing w:before="63"/>
              <w:rPr>
                <w:b/>
                <w:sz w:val="18"/>
              </w:rPr>
            </w:pPr>
            <w:r>
              <w:rPr>
                <w:b/>
                <w:sz w:val="18"/>
              </w:rPr>
              <w:lastRenderedPageBreak/>
              <w:t>4. Plan</w:t>
            </w:r>
          </w:p>
        </w:tc>
      </w:tr>
      <w:tr w:rsidR="00414B13" w14:paraId="18F810B3" w14:textId="77777777">
        <w:trPr>
          <w:trHeight w:val="335"/>
        </w:trPr>
        <w:tc>
          <w:tcPr>
            <w:tcW w:w="2135" w:type="dxa"/>
            <w:shd w:val="clear" w:color="auto" w:fill="DFDFDF"/>
          </w:tcPr>
          <w:p w14:paraId="6D2FE150" w14:textId="77777777" w:rsidR="00414B13" w:rsidRDefault="00414B13">
            <w:pPr>
              <w:pStyle w:val="TableParagraph"/>
              <w:spacing w:before="63"/>
              <w:rPr>
                <w:b/>
                <w:sz w:val="18"/>
              </w:rPr>
            </w:pPr>
          </w:p>
        </w:tc>
        <w:tc>
          <w:tcPr>
            <w:tcW w:w="8847" w:type="dxa"/>
            <w:shd w:val="clear" w:color="auto" w:fill="DFDFDF"/>
          </w:tcPr>
          <w:p w14:paraId="60E3A9DB" w14:textId="77777777" w:rsidR="00414B13" w:rsidRDefault="00FB395E">
            <w:pPr>
              <w:pStyle w:val="TableParagraph"/>
              <w:spacing w:before="63"/>
              <w:rPr>
                <w:b/>
                <w:sz w:val="18"/>
              </w:rPr>
            </w:pPr>
            <w:r>
              <w:rPr>
                <w:b/>
                <w:sz w:val="18"/>
              </w:rPr>
              <w:t>Action</w:t>
            </w:r>
          </w:p>
        </w:tc>
      </w:tr>
      <w:tr w:rsidR="00414B13" w14:paraId="79187E7A" w14:textId="77777777">
        <w:trPr>
          <w:trHeight w:val="628"/>
        </w:trPr>
        <w:tc>
          <w:tcPr>
            <w:tcW w:w="2135" w:type="dxa"/>
          </w:tcPr>
          <w:p w14:paraId="7FA56A35" w14:textId="77777777" w:rsidR="00414B13" w:rsidRDefault="00FB395E">
            <w:pPr>
              <w:pStyle w:val="TableParagraph"/>
              <w:spacing w:before="56"/>
              <w:rPr>
                <w:sz w:val="18"/>
              </w:rPr>
            </w:pPr>
            <w:r>
              <w:rPr>
                <w:w w:val="99"/>
                <w:sz w:val="18"/>
              </w:rPr>
              <w:t>1</w:t>
            </w:r>
          </w:p>
        </w:tc>
        <w:tc>
          <w:tcPr>
            <w:tcW w:w="8847" w:type="dxa"/>
          </w:tcPr>
          <w:p w14:paraId="07E86287" w14:textId="77777777" w:rsidR="00414B13" w:rsidRDefault="00FB395E">
            <w:pPr>
              <w:pStyle w:val="TableParagraph"/>
              <w:spacing w:before="56"/>
              <w:ind w:left="0"/>
            </w:pPr>
            <w:r>
              <w:t>Further enrich the AP</w:t>
            </w:r>
            <w:r>
              <w:rPr>
                <w:rFonts w:eastAsia="宋体" w:hint="eastAsia"/>
                <w:lang w:eastAsia="zh-CN"/>
              </w:rPr>
              <w:t>I</w:t>
            </w:r>
            <w:r>
              <w:t xml:space="preserve"> documentation</w:t>
            </w:r>
          </w:p>
        </w:tc>
      </w:tr>
      <w:tr w:rsidR="00414B13" w14:paraId="2F388AD6" w14:textId="77777777">
        <w:trPr>
          <w:trHeight w:val="882"/>
        </w:trPr>
        <w:tc>
          <w:tcPr>
            <w:tcW w:w="2135" w:type="dxa"/>
          </w:tcPr>
          <w:p w14:paraId="3BB8F952" w14:textId="77777777" w:rsidR="00414B13" w:rsidRDefault="00FB395E">
            <w:pPr>
              <w:pStyle w:val="TableParagraph"/>
              <w:spacing w:before="56"/>
              <w:rPr>
                <w:sz w:val="18"/>
              </w:rPr>
            </w:pPr>
            <w:r>
              <w:rPr>
                <w:w w:val="99"/>
                <w:sz w:val="18"/>
              </w:rPr>
              <w:t>2</w:t>
            </w:r>
          </w:p>
        </w:tc>
        <w:tc>
          <w:tcPr>
            <w:tcW w:w="8847" w:type="dxa"/>
          </w:tcPr>
          <w:p w14:paraId="424180F3" w14:textId="77777777" w:rsidR="00414B13" w:rsidRDefault="00FB395E">
            <w:pPr>
              <w:pStyle w:val="TableParagraph"/>
              <w:ind w:left="0"/>
            </w:pPr>
            <w:r>
              <w:rPr>
                <w:rFonts w:hint="eastAsia"/>
              </w:rPr>
              <w:t>Front-end group and back-end group should work together to complete the connection of both ends with reserve function of activities and facilities, as well as the test on related functions.</w:t>
            </w:r>
          </w:p>
          <w:p w14:paraId="65FCD306" w14:textId="77777777" w:rsidR="00414B13" w:rsidRDefault="00414B13">
            <w:pPr>
              <w:pStyle w:val="TableParagraph"/>
              <w:ind w:left="0"/>
            </w:pPr>
          </w:p>
        </w:tc>
      </w:tr>
      <w:tr w:rsidR="00414B13" w14:paraId="205FE79F" w14:textId="77777777">
        <w:trPr>
          <w:trHeight w:val="882"/>
        </w:trPr>
        <w:tc>
          <w:tcPr>
            <w:tcW w:w="2135" w:type="dxa"/>
          </w:tcPr>
          <w:p w14:paraId="2732FEAC" w14:textId="77777777" w:rsidR="00414B13" w:rsidRDefault="00FB395E">
            <w:pPr>
              <w:pStyle w:val="TableParagraph"/>
              <w:spacing w:before="56"/>
              <w:rPr>
                <w:w w:val="99"/>
                <w:sz w:val="18"/>
              </w:rPr>
            </w:pPr>
            <w:r>
              <w:rPr>
                <w:rFonts w:hint="eastAsia"/>
                <w:w w:val="99"/>
                <w:sz w:val="18"/>
              </w:rPr>
              <w:t>3</w:t>
            </w:r>
          </w:p>
        </w:tc>
        <w:tc>
          <w:tcPr>
            <w:tcW w:w="8847" w:type="dxa"/>
          </w:tcPr>
          <w:p w14:paraId="6A60D889" w14:textId="77777777" w:rsidR="00414B13" w:rsidRDefault="00FB395E">
            <w:pPr>
              <w:pStyle w:val="TableParagraph"/>
              <w:ind w:left="0"/>
            </w:pPr>
            <w:r>
              <w:t>According to the existing ideas to achieve the order booking refund and other functions</w:t>
            </w:r>
          </w:p>
        </w:tc>
      </w:tr>
    </w:tbl>
    <w:p w14:paraId="1A458F2A" w14:textId="77777777" w:rsidR="00414B13" w:rsidRDefault="00414B13"/>
    <w:sectPr w:rsidR="00414B13">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5BC8" w14:textId="77777777" w:rsidR="00FE0BEF" w:rsidRDefault="00FE0BEF">
      <w:r>
        <w:separator/>
      </w:r>
    </w:p>
  </w:endnote>
  <w:endnote w:type="continuationSeparator" w:id="0">
    <w:p w14:paraId="4CD6B5F6" w14:textId="77777777" w:rsidR="00FE0BEF" w:rsidRDefault="00FE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A708" w14:textId="77777777" w:rsidR="00414B13" w:rsidRDefault="00FE0BEF">
    <w:pPr>
      <w:pStyle w:val="a3"/>
      <w:spacing w:line="14" w:lineRule="auto"/>
      <w:rPr>
        <w:b w:val="0"/>
        <w:sz w:val="20"/>
      </w:rPr>
    </w:pPr>
    <w:r>
      <w:pict w14:anchorId="0034B69F">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mso-width-relative:page;mso-height-relative:page" filled="f" stroked="f">
          <v:textbox inset="0,0,0,0">
            <w:txbxContent>
              <w:p w14:paraId="014E90C9" w14:textId="77777777" w:rsidR="00414B13" w:rsidRDefault="00FB395E">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FC79" w14:textId="77777777" w:rsidR="00FE0BEF" w:rsidRDefault="00FE0BEF">
      <w:r>
        <w:separator/>
      </w:r>
    </w:p>
  </w:footnote>
  <w:footnote w:type="continuationSeparator" w:id="0">
    <w:p w14:paraId="24982019" w14:textId="77777777" w:rsidR="00FE0BEF" w:rsidRDefault="00FE0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YTRjMzM2ZThhMzE2YjVkMWQ1ZTBhY2ViMDViYWViOGEifQ=="/>
  </w:docVars>
  <w:rsids>
    <w:rsidRoot w:val="00B731D1"/>
    <w:rsid w:val="00072407"/>
    <w:rsid w:val="000C03A8"/>
    <w:rsid w:val="001440C5"/>
    <w:rsid w:val="001C2354"/>
    <w:rsid w:val="00203256"/>
    <w:rsid w:val="002C0872"/>
    <w:rsid w:val="003803E0"/>
    <w:rsid w:val="003D30A4"/>
    <w:rsid w:val="00414B13"/>
    <w:rsid w:val="00433751"/>
    <w:rsid w:val="004A244A"/>
    <w:rsid w:val="004F3D24"/>
    <w:rsid w:val="00572997"/>
    <w:rsid w:val="0058498A"/>
    <w:rsid w:val="0077174B"/>
    <w:rsid w:val="00793E1B"/>
    <w:rsid w:val="009E0165"/>
    <w:rsid w:val="00A146B0"/>
    <w:rsid w:val="00A40C0A"/>
    <w:rsid w:val="00B6594D"/>
    <w:rsid w:val="00B731D1"/>
    <w:rsid w:val="00B924CC"/>
    <w:rsid w:val="00BF4EE4"/>
    <w:rsid w:val="00C365B1"/>
    <w:rsid w:val="00C72831"/>
    <w:rsid w:val="00C8755F"/>
    <w:rsid w:val="00CA2296"/>
    <w:rsid w:val="00CB2EE0"/>
    <w:rsid w:val="00CC3C8A"/>
    <w:rsid w:val="00CD08E4"/>
    <w:rsid w:val="00D6278E"/>
    <w:rsid w:val="00D74CF2"/>
    <w:rsid w:val="00E637A2"/>
    <w:rsid w:val="00E8321E"/>
    <w:rsid w:val="00F4798C"/>
    <w:rsid w:val="00F672A6"/>
    <w:rsid w:val="00F719B9"/>
    <w:rsid w:val="00F76FAB"/>
    <w:rsid w:val="00F9064F"/>
    <w:rsid w:val="00F962E9"/>
    <w:rsid w:val="00FB395E"/>
    <w:rsid w:val="00FD508E"/>
    <w:rsid w:val="00FE0BEF"/>
    <w:rsid w:val="00FE7868"/>
    <w:rsid w:val="17897814"/>
    <w:rsid w:val="32D83035"/>
    <w:rsid w:val="333A39C7"/>
    <w:rsid w:val="45E53EDE"/>
    <w:rsid w:val="6AE41562"/>
    <w:rsid w:val="77650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A5A12"/>
  <w15:docId w15:val="{7B2194D4-D035-4F70-93D0-2A13F36B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33</cp:revision>
  <dcterms:created xsi:type="dcterms:W3CDTF">2022-05-03T08:39:00Z</dcterms:created>
  <dcterms:modified xsi:type="dcterms:W3CDTF">2022-05-03T15:27:00Z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C21C0BD196B6444BB78533DC81C83497</vt:lpwstr>
  </property>
</Properties>
</file>