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Pr="00EB1C36" w:rsidRDefault="00EB1C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Pr="00EB1C36" w:rsidRDefault="00EB1C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451FEC4C" w14:textId="50D4DA0C" w:rsidR="0086404E" w:rsidRPr="00403A5E" w:rsidRDefault="0086404E" w:rsidP="00403A5E">
      <w:pPr>
        <w:pStyle w:val="ListParagraph"/>
        <w:numPr>
          <w:ilvl w:val="1"/>
          <w:numId w:val="9"/>
        </w:numPr>
        <w:spacing w:line="480" w:lineRule="auto"/>
        <w:jc w:val="both"/>
      </w:pPr>
      <w:r w:rsidRPr="00403A5E">
        <w:rPr>
          <w:b/>
        </w:rPr>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r w:rsidR="00581F14">
        <w:rPr>
          <w:rStyle w:val="CommentReference"/>
        </w:rPr>
        <w:commentReference w:id="0"/>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r w:rsidR="00581F14">
        <w:rPr>
          <w:rStyle w:val="CommentReference"/>
        </w:rPr>
        <w:commentReference w:id="1"/>
      </w:r>
    </w:p>
    <w:p w14:paraId="023DC1B8" w14:textId="77777777" w:rsidR="00EB1C36" w:rsidRPr="00EB1C36" w:rsidRDefault="00EB1C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lastRenderedPageBreak/>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r w:rsidR="004160A9">
        <w:rPr>
          <w:rStyle w:val="CommentReference"/>
        </w:rPr>
        <w:commentReference w:id="2"/>
      </w:r>
    </w:p>
    <w:p w14:paraId="122550C2" w14:textId="77777777" w:rsidR="00EB1C36" w:rsidRPr="00EB1C36" w:rsidRDefault="00EB1C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Pr="00CA6A43"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esferas: biológica, psicológica, social y espiritual; y dicho impacto se observa principalmente en el comportamiento. </w:t>
      </w: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w:t>
      </w:r>
      <w:r w:rsidR="00783970" w:rsidRPr="00CA6A43">
        <w:lastRenderedPageBreak/>
        <w:t>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w:t>
      </w:r>
      <w:r w:rsidR="00135922" w:rsidRPr="00CA6A43">
        <w:lastRenderedPageBreak/>
        <w:t xml:space="preserve">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CA6A43">
        <w:t xml:space="preserve">de los cuales 1.9 millones son hombres y 0.6 millones son mujeres. Dentro de este grupo, los </w:t>
      </w:r>
      <w:r w:rsidRPr="002B458C">
        <w:rPr>
          <w:highlight w:val="green"/>
        </w:rPr>
        <w:t>jóvenes entre 18 y 24 años son los que presentan el mayor impacto en cuanto a consumo perjudicial de alcohol</w:t>
      </w:r>
      <w:r w:rsidRPr="00CA6A43">
        <w:t>, siendo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los </w:t>
      </w:r>
      <w:r w:rsidR="00783970" w:rsidRPr="006D5C9D">
        <w:rPr>
          <w:highlight w:val="green"/>
        </w:rPr>
        <w:t>factores de riesgo se encuentra pertenecer al género masculino</w:t>
      </w:r>
      <w:r w:rsidR="00783970" w:rsidRPr="00CA6A43">
        <w:t>. Sin embargo otro estudio realizado por Avellaneda, Pérez y Font-</w:t>
      </w:r>
      <w:proofErr w:type="spellStart"/>
      <w:r w:rsidR="00783970" w:rsidRPr="00CA6A43">
        <w:t>Mayolas</w:t>
      </w:r>
      <w:proofErr w:type="spellEnd"/>
      <w:r w:rsidR="00783970" w:rsidRPr="00CA6A43">
        <w:t xml:space="preserve"> (2010) </w:t>
      </w:r>
      <w:r w:rsidR="00783970" w:rsidRPr="006D5C9D">
        <w:rPr>
          <w:highlight w:val="green"/>
        </w:rPr>
        <w:t xml:space="preserve">menciona que la brecha entre el consumo de hombres y mujeres cada vez es más pequeña y que el consumo de alcohol va en crecimiento </w:t>
      </w:r>
      <w:r w:rsidR="00D32AC3" w:rsidRPr="006D5C9D">
        <w:rPr>
          <w:highlight w:val="green"/>
        </w:rPr>
        <w:t xml:space="preserve">paralelo a </w:t>
      </w:r>
      <w:r w:rsidR="00783970" w:rsidRPr="006D5C9D">
        <w:rPr>
          <w:highlight w:val="green"/>
        </w:rPr>
        <w:t>la edad</w:t>
      </w:r>
      <w:r w:rsidR="00783970" w:rsidRPr="00CA6A43">
        <w:t>.</w:t>
      </w:r>
      <w:r w:rsidR="00D32AC3" w:rsidRPr="00CA6A43">
        <w:t xml:space="preserve"> Lema,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14A95AA3" w:rsidR="00EA32D9" w:rsidRPr="00CA6A43" w:rsidRDefault="00970E0C" w:rsidP="00A00FB4">
      <w:pPr>
        <w:spacing w:line="480" w:lineRule="auto"/>
        <w:jc w:val="both"/>
      </w:pPr>
      <w:r w:rsidRPr="00CA6A43">
        <w:t xml:space="preserve">     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la </w:t>
      </w:r>
      <w:r w:rsidRPr="00E54C4C">
        <w:rPr>
          <w:highlight w:val="green"/>
        </w:rPr>
        <w:t xml:space="preserve">Facultad de </w:t>
      </w:r>
      <w:r w:rsidRPr="00E54C4C">
        <w:rPr>
          <w:highlight w:val="green"/>
        </w:rPr>
        <w:lastRenderedPageBreak/>
        <w:t>Ingeniería en donde prima el consumo de alto riesgo</w:t>
      </w:r>
      <w:r w:rsidRPr="00CA6A43">
        <w:t xml:space="preserve">. </w:t>
      </w:r>
      <w:r w:rsidRPr="00E54C4C">
        <w:rPr>
          <w:highlight w:val="green"/>
        </w:rPr>
        <w:t xml:space="preserve">Las carreras de Psicología y Filosofía tienen los </w:t>
      </w:r>
      <w:r w:rsidR="00E54C4C" w:rsidRPr="00E54C4C">
        <w:rPr>
          <w:highlight w:val="green"/>
        </w:rPr>
        <w:t>más</w:t>
      </w:r>
      <w:r w:rsidRPr="00E54C4C">
        <w:rPr>
          <w:highlight w:val="green"/>
        </w:rPr>
        <w:t xml:space="preserve"> altos porcentajes de posible dependencia al alcohol y en la carrera de Psicología no se registran estudiantes abstemios</w:t>
      </w:r>
      <w:r w:rsidRPr="00CA6A43">
        <w:t xml:space="preserve">. En las carreras de ciencias jurídicas y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38C59CA4" w:rsidR="002F4C58" w:rsidRPr="00CA6A43"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w:t>
      </w:r>
      <w:r w:rsidRPr="00CA6A43">
        <w:lastRenderedPageBreak/>
        <w:t xml:space="preserve">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indefinidamente. </w:t>
      </w:r>
      <w:r w:rsidR="00AE343A" w:rsidRPr="00CA6A43">
        <w:rPr>
          <w:highlight w:val="yellow"/>
        </w:rPr>
        <w:t>(BIBLIOGRAFIA).</w:t>
      </w:r>
      <w:r w:rsidR="00AE343A" w:rsidRPr="00CA6A43">
        <w:t xml:space="preserve"> </w:t>
      </w: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lastRenderedPageBreak/>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0B9411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 xml:space="preserve">Por ejemplo si un individuo es diagnosticado con un trastorno por consumo de sustancias y tiene un trastorno mental coexistente pero éste no es detectado, una vez suspenda el consumo de sustancias (las cuales probablemente le estaban “sirviendo” para </w:t>
      </w:r>
      <w:proofErr w:type="spellStart"/>
      <w:r w:rsidR="008E02F8" w:rsidRPr="00CA6A43">
        <w:t>automedicar</w:t>
      </w:r>
      <w:proofErr w:type="spellEnd"/>
      <w:r w:rsidR="008E02F8" w:rsidRPr="00CA6A43">
        <w:t xml:space="preserve">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si el individuo tiene un 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lastRenderedPageBreak/>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w:t>
      </w:r>
      <w:proofErr w:type="spellStart"/>
      <w:r w:rsidR="00D77A20" w:rsidRPr="00CA6A43">
        <w:t>Rodriguez</w:t>
      </w:r>
      <w:proofErr w:type="spellEnd"/>
      <w:r w:rsidR="00D77A20" w:rsidRPr="00CA6A43">
        <w:t xml:space="preserve">,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una </w:t>
      </w:r>
      <w:r w:rsidR="00D77A20" w:rsidRPr="00C24FD8">
        <w:rPr>
          <w:highlight w:val="green"/>
        </w:rPr>
        <w:t>correlación entre la edad de inicio del consumo de alcohol y el riesgo de ser dependient</w:t>
      </w:r>
      <w:r w:rsidR="00DA2E9E" w:rsidRPr="00C24FD8">
        <w:rPr>
          <w:highlight w:val="green"/>
        </w:rPr>
        <w:t>e al alcohol en la edad adulta</w:t>
      </w:r>
      <w:r w:rsidR="00DA2E9E" w:rsidRPr="00CA6A43">
        <w:t xml:space="preserve">, y en Colombia la </w:t>
      </w:r>
      <w:r w:rsidR="00DA2E9E" w:rsidRPr="00C24FD8">
        <w:rPr>
          <w:highlight w:val="green"/>
        </w:rPr>
        <w:t>edad pro</w:t>
      </w:r>
      <w:r w:rsidR="00764CBF" w:rsidRPr="00C24FD8">
        <w:rPr>
          <w:highlight w:val="green"/>
        </w:rPr>
        <w:t>medio de inicio son los 16 años entre los hombres y los 18 años entre las mujeres</w:t>
      </w:r>
      <w:r w:rsidR="00764CBF" w:rsidRPr="00CA6A43">
        <w:t xml:space="preserve"> (Minister</w:t>
      </w:r>
      <w:r w:rsidR="00DB0AC4">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6A27366A" w:rsidR="00A9493A" w:rsidRPr="00CA6A43" w:rsidRDefault="00596E11" w:rsidP="00A336A6">
      <w:pPr>
        <w:spacing w:line="480" w:lineRule="auto"/>
        <w:jc w:val="both"/>
      </w:pPr>
      <w:r w:rsidRPr="00CA6A43">
        <w:lastRenderedPageBreak/>
        <w:t xml:space="preserve">     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Pr="00CA6A43"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CA6A43">
        <w:rPr>
          <w:highlight w:val="yellow"/>
        </w:rPr>
        <w:t>estadio de cambio (</w:t>
      </w:r>
      <w:proofErr w:type="spellStart"/>
      <w:r w:rsidRPr="00CA6A43">
        <w:rPr>
          <w:highlight w:val="yellow"/>
        </w:rPr>
        <w:t>precontemplación</w:t>
      </w:r>
      <w:proofErr w:type="spellEnd"/>
      <w:r w:rsidRPr="00CA6A43">
        <w:rPr>
          <w:highlight w:val="yellow"/>
        </w:rPr>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w:t>
      </w:r>
      <w:r w:rsidRPr="00CA6A43">
        <w:lastRenderedPageBreak/>
        <w:t xml:space="preserve">consumo de alcohol ya que existen intervenciones eficaces para la prevención y la intervención de dichos problemas (De Martini y Carey, 2010). </w:t>
      </w:r>
    </w:p>
    <w:p w14:paraId="0DA65D91" w14:textId="0551FED9" w:rsidR="00A9493A" w:rsidRPr="00CA6A43"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diseñado para que los individuos contesten </w:t>
      </w:r>
      <w:r w:rsidRPr="007913F6">
        <w:rPr>
          <w:highlight w:val="green"/>
        </w:rPr>
        <w:t>10 preguntas</w:t>
      </w:r>
      <w:r w:rsidRPr="00CA6A43">
        <w:t xml:space="preserve"> relacionadas a </w:t>
      </w:r>
      <w:r w:rsidRPr="007913F6">
        <w:rPr>
          <w:highlight w:val="green"/>
        </w:rPr>
        <w:t>frecuencia</w:t>
      </w:r>
      <w:r w:rsidRPr="00CA6A43">
        <w:t xml:space="preserve">, </w:t>
      </w:r>
      <w:r w:rsidRPr="007913F6">
        <w:rPr>
          <w:highlight w:val="green"/>
        </w:rPr>
        <w:t>cantidad e impacto negativo del consumo de alcohol en la vida del individuo encuestado</w:t>
      </w:r>
      <w:r w:rsidRPr="00CA6A43">
        <w:t xml:space="preserve">. El puntaje total del AUDIT le permitirá al evaluador clasificar el consumo de alcohol del sujeto en: </w:t>
      </w:r>
      <w:r w:rsidRPr="007913F6">
        <w:rPr>
          <w:highlight w:val="green"/>
        </w:rPr>
        <w:t>consumo de riesgo</w:t>
      </w:r>
      <w:r w:rsidRPr="00CA6A43">
        <w:t xml:space="preserve">, </w:t>
      </w:r>
      <w:r w:rsidRPr="007913F6">
        <w:rPr>
          <w:highlight w:val="green"/>
        </w:rPr>
        <w:t>consumo perjudicial</w:t>
      </w:r>
      <w:r w:rsidRPr="00CA6A43">
        <w:t xml:space="preserve"> y la </w:t>
      </w:r>
      <w:r w:rsidRPr="007913F6">
        <w:rPr>
          <w:highlight w:val="green"/>
        </w:rPr>
        <w:t>dependencia al alcohol</w:t>
      </w:r>
      <w:r w:rsidR="00B17F7D">
        <w:t xml:space="preserve"> (OMS, 2001).</w:t>
      </w:r>
    </w:p>
    <w:p w14:paraId="42604311" w14:textId="77777777" w:rsidR="00A9493A" w:rsidRPr="00CA6A43" w:rsidRDefault="00A9493A" w:rsidP="00A9493A">
      <w:pPr>
        <w:spacing w:line="480" w:lineRule="auto"/>
        <w:ind w:firstLine="709"/>
        <w:contextualSpacing/>
        <w:jc w:val="both"/>
      </w:pPr>
      <w:r w:rsidRPr="00CA6A43">
        <w:t xml:space="preserve">Según el Manual del AUDIT (Babor, </w:t>
      </w:r>
      <w:proofErr w:type="spellStart"/>
      <w:r w:rsidRPr="00CA6A43">
        <w:t>Higgins-Biddle</w:t>
      </w:r>
      <w:proofErr w:type="spellEnd"/>
      <w:r w:rsidRPr="00CA6A43">
        <w:t xml:space="preserve">, Saunders y </w:t>
      </w:r>
      <w:proofErr w:type="spellStart"/>
      <w:r w:rsidRPr="00CA6A43">
        <w:t>Monteiro</w:t>
      </w:r>
      <w:proofErr w:type="spellEnd"/>
      <w:r w:rsidRPr="00CA6A43">
        <w:t xml:space="preserve">, 2001), el </w:t>
      </w:r>
      <w:r w:rsidRPr="00B17F7D">
        <w:rPr>
          <w:highlight w:val="green"/>
        </w:rPr>
        <w:t>consumo de riesgo está definido como un “patrón de consumo que aumenta el riesgo de consecuencias adversas para el bebedor y para los demás” (p. 5), es decir que entre mayor sea el consumo mayor probabilidad existe de padecer alguna consecuencia a nivel físico, psicológico y/o social.</w:t>
      </w:r>
      <w:r w:rsidRPr="00CA6A43">
        <w:t xml:space="preserve"> El </w:t>
      </w:r>
      <w:r w:rsidRPr="00B17F7D">
        <w:rPr>
          <w:highlight w:val="cyan"/>
        </w:rPr>
        <w:t>consumo perjudicial está definido como “aquel que conlleva consecuencias para la salud física y mental”</w:t>
      </w:r>
      <w:r w:rsidRPr="00CA6A43">
        <w:t xml:space="preserve"> (p. 5) y la </w:t>
      </w:r>
      <w:r w:rsidRPr="00B17F7D">
        <w:rPr>
          <w:highlight w:val="yellow"/>
        </w:rPr>
        <w:t>dependencia está definida como “un conjunto de fenómenos conductuales, cognitivos, y fisiológicos que pueden aparecer después del consumo repetido de alcohol”</w:t>
      </w:r>
      <w:r w:rsidRPr="00CA6A43">
        <w:t xml:space="preserve">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 rápidamente. Otro de los fenómenos característicos de la dependencia es la pérdida de control, continuar usando la sustancia a pesar de las consecuencias negativas que impactan la </w:t>
      </w:r>
      <w:r w:rsidRPr="00CA6A43">
        <w:lastRenderedPageBreak/>
        <w:t xml:space="preserve">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lastRenderedPageBreak/>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 xml:space="preserve">7. Se continúa tomando la sustancia a pesar de tener conciencia de problemas psicológicos o físicos recidivantes o persistentes, que parecen causados o exacerbados por el consumo de la sustancia (p. ej., consumo de la cocaína a pesar de saber que </w:t>
      </w:r>
      <w:r w:rsidRPr="00CA6A43">
        <w:lastRenderedPageBreak/>
        <w:t>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El presente estudio tiene como objetivo general analizar la relación existente entre los patrones de consumo de alcohol de un grupo de estudiantes universitarios con la edad, el sexo 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19CAD297" w14:textId="77777777" w:rsidR="000E584E" w:rsidRPr="00CA6A43" w:rsidRDefault="000E584E" w:rsidP="000E584E">
      <w:pPr>
        <w:spacing w:line="480" w:lineRule="auto"/>
        <w:ind w:firstLine="709"/>
        <w:contextualSpacing/>
        <w:jc w:val="both"/>
      </w:pPr>
    </w:p>
    <w:p w14:paraId="629A51A0" w14:textId="77777777" w:rsidR="00A9493A" w:rsidRPr="00CA6A43" w:rsidRDefault="00A9493A" w:rsidP="00A9493A">
      <w:pPr>
        <w:spacing w:line="480" w:lineRule="auto"/>
        <w:ind w:firstLine="709"/>
        <w:contextualSpacing/>
        <w:jc w:val="both"/>
      </w:pPr>
      <w:r w:rsidRPr="00CA6A43">
        <w:t xml:space="preserve">En el 2006 en México, el Instituto Nacional de Psiquiatría Ramón de la Fuente (INPRF) realizó una encuesta en la cual se encontró que el consumo de drogas en adolescentes había aumentado de 15.2% a un 17.8% en un periodo de 3 años (citado por Gómez-Maqueo, Gómez Hernández, Morales Rodríguez y Pérez Ramos, 2009). En cuanto a la edad de inicio de consumo es en promedio de 14 años, según los datos arrojados por la Encuesta Nacional de Adicciones (Observatorio Mexicano en Tabaco, Alcohol y otras Drogas, 2003; citado por Gómez-Maqueo, et </w:t>
      </w:r>
      <w:r w:rsidRPr="00CA6A43">
        <w:rPr>
          <w:i/>
        </w:rPr>
        <w:t>al.</w:t>
      </w:r>
      <w:r w:rsidRPr="00CA6A43">
        <w:t>, 2009). Según Villatoro et al. (</w:t>
      </w:r>
      <w:proofErr w:type="gramStart"/>
      <w:r w:rsidRPr="00CA6A43">
        <w:t>citados</w:t>
      </w:r>
      <w:proofErr w:type="gramEnd"/>
      <w:r w:rsidRPr="00CA6A43">
        <w:t xml:space="preserve"> por </w:t>
      </w:r>
      <w:r w:rsidRPr="00CA6A43">
        <w:lastRenderedPageBreak/>
        <w:t xml:space="preserve">Gómez-Maqueo, et </w:t>
      </w:r>
      <w:r w:rsidRPr="00CA6A43">
        <w:rPr>
          <w:i/>
        </w:rPr>
        <w:t>al.</w:t>
      </w:r>
      <w:r w:rsidRPr="00CA6A43">
        <w:t xml:space="preserve">, 2009), el 68.8% de los jóvenes encuestados ha consumido alcohol al menos una vez en la vida y un 41.3% lo hace actualmente </w:t>
      </w:r>
      <w:r w:rsidRPr="0088195B">
        <w:rPr>
          <w:highlight w:val="yellow"/>
        </w:rPr>
        <w:t>por lo menos una vez en el último mes; es este consumo el cual predispone al uso de drogas médicas e ilegales</w:t>
      </w:r>
      <w:r w:rsidRPr="00CA6A43">
        <w:t xml:space="preserve">. A causa de estas incidencias, se ha visto necesario la creación de escalas para identificar los niveles de riesgo de consumo entre los cuales se encuentra el AUDIT, instrumento utilizado para detectar el consumo de alcohol, es un instrumento apto para tamizaje en poblaciones grandes. </w:t>
      </w:r>
    </w:p>
    <w:p w14:paraId="6F752634" w14:textId="77777777" w:rsidR="0072356F" w:rsidRPr="00CA6A43" w:rsidRDefault="0072356F"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79CE41FC" w:rsidR="00A9493A" w:rsidRPr="00CA6A43" w:rsidRDefault="00A9493A" w:rsidP="00A9493A">
      <w:pPr>
        <w:spacing w:line="480" w:lineRule="auto"/>
        <w:ind w:firstLine="709"/>
        <w:contextualSpacing/>
        <w:jc w:val="both"/>
        <w:rPr>
          <w:b/>
        </w:rPr>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6C2DF54E" w14:textId="77777777" w:rsidR="00403A5E" w:rsidRDefault="00403A5E" w:rsidP="00CA6A43">
      <w:pPr>
        <w:spacing w:line="480" w:lineRule="auto"/>
        <w:ind w:firstLine="709"/>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3C7F97ED" w14:textId="77777777" w:rsidR="00403A5E" w:rsidRPr="00403A5E" w:rsidRDefault="00403A5E" w:rsidP="00EB1C36">
      <w:pPr>
        <w:pStyle w:val="ListParagraph"/>
        <w:spacing w:line="480" w:lineRule="auto"/>
        <w:ind w:left="0"/>
        <w:jc w:val="both"/>
        <w:rPr>
          <w:b/>
        </w:rPr>
      </w:pPr>
      <w:r w:rsidRPr="00403A5E">
        <w:rPr>
          <w:b/>
        </w:rPr>
        <w:t>Población total – muestra poblacional</w:t>
      </w:r>
    </w:p>
    <w:p w14:paraId="05F42B14" w14:textId="23E24472" w:rsidR="00403A5E" w:rsidRPr="00CA6A43" w:rsidRDefault="00403A5E" w:rsidP="00403A5E">
      <w:pPr>
        <w:pStyle w:val="ListParagraph"/>
        <w:spacing w:line="480" w:lineRule="auto"/>
        <w:ind w:left="0" w:firstLine="708"/>
        <w:jc w:val="both"/>
      </w:pPr>
      <w:r w:rsidRPr="00CA6A43">
        <w:lastRenderedPageBreak/>
        <w:t>Durante el primer semestre del año 2013 un total de 326 estudiantes contestaron el AUDIT de un total de  447 estudiantes que aparecían matriculados en la materia Comunicación Oral y Escrita II (COE II) en la oficina de admisiones y registro de una universidad privada de la ciudad de Cali, por lo que se puede decir que para el presente estudio se trabajó con el 72.93% de la población. Esta materia hace parte del núcleo común de todas las carreras lo que significa que conforma el currículo fundamental o base para todos los estudiantes matriculados en dicha universidad, por lo que es de esperar que encontremos</w:t>
      </w:r>
      <w:r w:rsidR="001D2098">
        <w:t xml:space="preserve"> gran variedad en las carreras.</w:t>
      </w:r>
    </w:p>
    <w:p w14:paraId="032558CA" w14:textId="77777777" w:rsidR="00403A5E" w:rsidRPr="00CA6A43" w:rsidRDefault="00403A5E" w:rsidP="00403A5E">
      <w:pPr>
        <w:pStyle w:val="ListParagraph"/>
        <w:spacing w:line="480" w:lineRule="auto"/>
        <w:ind w:left="0"/>
        <w:jc w:val="both"/>
      </w:pPr>
    </w:p>
    <w:p w14:paraId="4ACBEB8A" w14:textId="77777777" w:rsidR="00403A5E" w:rsidRPr="00CA6A43" w:rsidRDefault="00403A5E" w:rsidP="00403A5E">
      <w:pPr>
        <w:pStyle w:val="ListParagraph"/>
        <w:spacing w:line="480" w:lineRule="auto"/>
        <w:ind w:left="0" w:firstLine="708"/>
        <w:jc w:val="both"/>
      </w:pPr>
      <w:r w:rsidRPr="00CA6A43">
        <w:t xml:space="preserve">Los estudiantes matriculados en </w:t>
      </w:r>
      <w:r w:rsidRPr="00F048BF">
        <w:rPr>
          <w:highlight w:val="green"/>
        </w:rPr>
        <w:t>comunicación oral y escrita II</w:t>
      </w:r>
      <w:r w:rsidRPr="00CA6A43">
        <w:t xml:space="preserve"> son considerados estudiantes en transición a la vida universitaria ya que generalmente debe ser cursada en </w:t>
      </w:r>
      <w:r w:rsidRPr="00F048BF">
        <w:rPr>
          <w:highlight w:val="green"/>
        </w:rPr>
        <w:t>segundo semestre</w:t>
      </w:r>
      <w:r w:rsidRPr="00CA6A43">
        <w:t>, momento en el cual se puede decir que los estudiantes aún están en proceso de adaptación. Es importante anotar que es probable que entre los participantes haya algunos estudiantes que ya no estén en dicha etapa de transición debido a que haya reprobado o cancelado la materia anteriormente, lo que los haría estudiantes repitentes. También es posible que en el grupo haya estudiantes de semestres más avanzados, lo que también los excluiría de dicha transición, siendo un criterio de exclusión. Por último, es posible que algunos estudiantes no estén dentro del rango que consideramos población adolescente lo cual también sería criterio de exclusión.</w:t>
      </w:r>
    </w:p>
    <w:p w14:paraId="0C17E2C8" w14:textId="77777777" w:rsidR="00403A5E" w:rsidRPr="00CA6A43" w:rsidRDefault="00403A5E" w:rsidP="00403A5E">
      <w:pPr>
        <w:pStyle w:val="ListParagraph"/>
        <w:spacing w:line="480" w:lineRule="auto"/>
        <w:ind w:left="0"/>
        <w:jc w:val="both"/>
      </w:pPr>
    </w:p>
    <w:p w14:paraId="0B63CE61" w14:textId="565E1CE4" w:rsidR="00403A5E" w:rsidRPr="00CA6A43" w:rsidRDefault="00403A5E" w:rsidP="00403A5E">
      <w:pPr>
        <w:pStyle w:val="ListParagraph"/>
        <w:spacing w:line="480" w:lineRule="auto"/>
        <w:ind w:left="0" w:firstLine="708"/>
        <w:jc w:val="both"/>
      </w:pPr>
      <w:r w:rsidRPr="00CA6A43">
        <w:t>La población estuvo conformada por 168 hombres (51,5%) y 146 mujeres (44,8%) con edades comprendidas entre los 15 y los 26 años (media:</w:t>
      </w:r>
      <w:r w:rsidR="00F048BF">
        <w:t xml:space="preserve"> </w:t>
      </w:r>
      <w:r w:rsidRPr="00CA6A43">
        <w:t xml:space="preserve">17,9; desviación estándar: 1.36). </w:t>
      </w:r>
      <w:r>
        <w:t>L</w:t>
      </w:r>
      <w:r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w:t>
      </w:r>
      <w:r w:rsidRPr="00CA6A43">
        <w:lastRenderedPageBreak/>
        <w:t xml:space="preserve">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 Los criterios de inclusión fueron: que los estudiantes estén matriculados en una carrera ofrecida por la universidad y que estén cursando la materia de comunicación oral y escrita II durante el segundo período del año 2013. Esta materia hace parte del núcleo común de todas las carreras por lo que es de esperar encontrar un grupo homogéneo. Como criterio de exclusión estaba el hecho de que la persona estuviera repitiendo la materia y ya hubiese contestado </w:t>
      </w:r>
      <w:r w:rsidR="008E0FC9">
        <w:t>el AUDIT en un semestre pasado.</w:t>
      </w:r>
    </w:p>
    <w:p w14:paraId="766C1FC0" w14:textId="77777777" w:rsidR="00403A5E" w:rsidRPr="00403A5E" w:rsidRDefault="00403A5E" w:rsidP="00403A5E">
      <w:pPr>
        <w:spacing w:line="480" w:lineRule="auto"/>
        <w:jc w:val="both"/>
      </w:pPr>
    </w:p>
    <w:p w14:paraId="7E12E8BC" w14:textId="44839B32" w:rsidR="00403A5E" w:rsidRDefault="00403A5E" w:rsidP="00403A5E">
      <w:pPr>
        <w:pStyle w:val="ListParagraph"/>
        <w:numPr>
          <w:ilvl w:val="1"/>
          <w:numId w:val="13"/>
        </w:numPr>
        <w:spacing w:line="480" w:lineRule="auto"/>
        <w:jc w:val="both"/>
        <w:rPr>
          <w:b/>
        </w:rPr>
      </w:pPr>
      <w:r w:rsidRPr="00403A5E">
        <w:rPr>
          <w:b/>
        </w:rPr>
        <w:t>INSTRUMENTOS</w:t>
      </w:r>
    </w:p>
    <w:p w14:paraId="3AA3BFC0" w14:textId="77777777" w:rsidR="00403A5E" w:rsidRPr="00403A5E" w:rsidRDefault="00403A5E" w:rsidP="00403A5E">
      <w:pPr>
        <w:spacing w:line="480" w:lineRule="auto"/>
        <w:jc w:val="both"/>
        <w:rPr>
          <w:b/>
        </w:rPr>
      </w:pPr>
    </w:p>
    <w:p w14:paraId="3FE83E4D" w14:textId="77777777" w:rsidR="00403A5E" w:rsidRPr="00CA6A43" w:rsidRDefault="00403A5E" w:rsidP="00403A5E">
      <w:pPr>
        <w:pStyle w:val="ListParagraph"/>
        <w:spacing w:line="480" w:lineRule="auto"/>
        <w:ind w:left="0" w:firstLine="708"/>
        <w:jc w:val="both"/>
      </w:pPr>
      <w:r w:rsidRPr="00CA6A43">
        <w:t xml:space="preserve">El instrumento utilizado es el AUDIT, cuyas siglas en inglés significan “Alcohol Use </w:t>
      </w:r>
      <w:proofErr w:type="spellStart"/>
      <w:r w:rsidRPr="00CA6A43">
        <w:t>Disorders</w:t>
      </w:r>
      <w:proofErr w:type="spellEnd"/>
      <w:r w:rsidRPr="00CA6A43">
        <w:t xml:space="preserve"> </w:t>
      </w:r>
      <w:proofErr w:type="spellStart"/>
      <w:r w:rsidRPr="00CA6A43">
        <w:t>Identification</w:t>
      </w:r>
      <w:proofErr w:type="spellEnd"/>
      <w:r w:rsidRPr="00CA6A43">
        <w:t xml:space="preserve"> Test”. Este test fue desarrollado por la Organización Mundial de la Salud (OMS) en 1989 como un instrumento para identificar problemas de consumo de alcohol. Es un test de tamizaje internacional, en el cual se identifican tres dominios que son: el consumo de riesgo, el consumo perjudicial, y la dependencia al alcohol.</w:t>
      </w:r>
    </w:p>
    <w:p w14:paraId="4BAAEC36" w14:textId="781E4F67" w:rsidR="00403A5E" w:rsidRPr="00CA6A43" w:rsidRDefault="00403A5E" w:rsidP="00403A5E">
      <w:pPr>
        <w:pStyle w:val="ListParagraph"/>
        <w:spacing w:line="480" w:lineRule="auto"/>
        <w:ind w:left="0" w:firstLine="708"/>
        <w:jc w:val="both"/>
      </w:pPr>
      <w:r w:rsidRPr="00CA6A43">
        <w:t xml:space="preserve">El AUDIT se utiliza en dos posibles modalidades: entrevista oral o cuestionario escrito. El test consta de diez (10) preguntas. Las </w:t>
      </w:r>
      <w:r w:rsidRPr="00F048BF">
        <w:rPr>
          <w:highlight w:val="green"/>
        </w:rPr>
        <w:t>preguntas 1, 2 y 3 evalúan la frecuencia de consumo, la cantidad típica y la frecuencia del consumo elevado de alcohol respectivamente, hacen parte del dominio de consumo de riesgo de alcohol</w:t>
      </w:r>
      <w:r w:rsidRPr="00CA6A43">
        <w:t xml:space="preserve">. Para estas preguntas se debe tener en cuenta el país o la región de residencia del paciente, ya que el tipo de bebidas alcohólicas y su contenido de alcohol varía dependiendo de la nación y de la  cultura. Las </w:t>
      </w:r>
      <w:r w:rsidRPr="00F048BF">
        <w:rPr>
          <w:highlight w:val="cyan"/>
        </w:rPr>
        <w:t xml:space="preserve">preguntas 4, 5 y 6 evalúan respectivamente: la pérdida del control sobre el consumo, el aumento de la </w:t>
      </w:r>
      <w:r w:rsidRPr="00F048BF">
        <w:rPr>
          <w:highlight w:val="cyan"/>
        </w:rPr>
        <w:lastRenderedPageBreak/>
        <w:t>relevancia del consumo y el consumo matutino de alcohol siendo síntomas de dependencia</w:t>
      </w:r>
      <w:r w:rsidRPr="00CA6A43">
        <w:t xml:space="preserve">. Las </w:t>
      </w:r>
      <w:r w:rsidRPr="00F048BF">
        <w:rPr>
          <w:highlight w:val="lightGray"/>
        </w:rPr>
        <w:t>preguntas 7, 8, 9 y 10 evalúan respectivamente: el sentimiento de culpa tras el consumo, las lagunas de memoria, las lesiones relacionadas con el alcohol y el hecho de que otros se preocupen por el consumo de alcohol del sujeto, siendo variables relacionadas con el consumo perjudicial de alcohol</w:t>
      </w:r>
      <w:r w:rsidRPr="00CA6A43">
        <w:t xml:space="preserve">. </w:t>
      </w:r>
      <w:r w:rsidR="00C31D77" w:rsidRPr="00C31D77">
        <w:rPr>
          <w:highlight w:val="yellow"/>
        </w:rPr>
        <w:t>(Aprobación por comité de ética de la universidad)</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4FCBD757" w14:textId="2908693E" w:rsidR="00A9493A" w:rsidRDefault="003A4F73" w:rsidP="00A9493A">
      <w:pPr>
        <w:spacing w:line="480" w:lineRule="auto"/>
        <w:ind w:firstLine="709"/>
        <w:contextualSpacing/>
        <w:jc w:val="both"/>
      </w:pPr>
      <w:r>
        <w:rPr>
          <w:color w:val="FF0000"/>
        </w:rPr>
        <w:t xml:space="preserve">Enmarcar el trabajo dentro del programa de prevención de consumo de sustancias psicoactivas de bienestar universitario.  </w:t>
      </w:r>
      <w:r w:rsidR="00A9493A" w:rsidRPr="00CA6A43">
        <w:t xml:space="preserve">En una universidad privada de la ciudad de Cali, cada semestre se dicta un ciclo de talleres de prevención de abuso de sustancias psicoactivas a los estudiantes de la clase de comunicación oral y escrita II. Durante el segundo semestre del año 2013 se dicta dicho ciclo de talleres a un total de 326 estudiantes y el tema del taller es el alcohol. En el marco de dicho taller se aplica el instrumento AUDIT. Antes de repartir el instrumento se le 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w:t>
      </w:r>
      <w:r w:rsidR="00A9493A" w:rsidRPr="00CA6A43">
        <w:lastRenderedPageBreak/>
        <w:t>consecuencia derivada de la decisión que tomen. Finalmente se le</w:t>
      </w:r>
      <w:r w:rsidR="00F048BF">
        <w:t>s</w:t>
      </w:r>
      <w:r w:rsidR="00A9493A" w:rsidRPr="00CA6A43">
        <w:t xml:space="preserve"> pide a los participantes firmar un consentimiento informado el cual permitirá usar legalmente la información rec</w:t>
      </w:r>
      <w:r w:rsidR="008E0FC9">
        <w:t>ogida para dicha investigación.</w:t>
      </w:r>
    </w:p>
    <w:p w14:paraId="1C494B51" w14:textId="77777777" w:rsidR="00403A5E" w:rsidRPr="00CA6A43" w:rsidRDefault="00403A5E" w:rsidP="00A9493A">
      <w:pPr>
        <w:spacing w:line="480" w:lineRule="auto"/>
        <w:ind w:firstLine="709"/>
        <w:contextualSpacing/>
        <w:jc w:val="both"/>
        <w:rPr>
          <w:b/>
        </w:rPr>
      </w:pPr>
    </w:p>
    <w:p w14:paraId="5A10FAD9" w14:textId="47244052" w:rsidR="00A9493A" w:rsidRDefault="00A9493A" w:rsidP="00A9493A">
      <w:pPr>
        <w:spacing w:line="480" w:lineRule="auto"/>
        <w:ind w:firstLine="709"/>
        <w:contextualSpacing/>
        <w:jc w:val="both"/>
      </w:pPr>
      <w:r w:rsidRPr="00CA6A43">
        <w:t>Se explica a los jóvenes lo que significa “un trago” o “una “consumición” de acuerdo a lo estipulado en el comunicado “Saber vivir/ saber beber” del Ministerio de Protección Social (2008), quienes definen “un trago” como una unidad de bebida estándar (UBE) que equivale a 10 gramos de alcohol y está caracterizada por el tipo de licor consumido, la cantidad y su respe</w:t>
      </w:r>
      <w:r w:rsidR="008E0FC9">
        <w:t>ctiva concentración de alcohol.</w:t>
      </w:r>
    </w:p>
    <w:p w14:paraId="42DB2E7A" w14:textId="77777777" w:rsidR="00403A5E" w:rsidRPr="00CA6A43" w:rsidRDefault="00403A5E" w:rsidP="00A9493A">
      <w:pPr>
        <w:spacing w:line="480" w:lineRule="auto"/>
        <w:ind w:firstLine="709"/>
        <w:contextualSpacing/>
        <w:jc w:val="both"/>
      </w:pPr>
    </w:p>
    <w:p w14:paraId="5874334B" w14:textId="77777777" w:rsidR="00A9493A" w:rsidRDefault="00A9493A" w:rsidP="00A9493A">
      <w:pPr>
        <w:spacing w:line="480" w:lineRule="auto"/>
        <w:ind w:firstLine="709"/>
        <w:contextualSpacing/>
        <w:jc w:val="both"/>
      </w:pPr>
      <w:r w:rsidRPr="00CA6A43">
        <w:t>Se les da la instrucción a los estudiantes, de que al terminar deben dejar la hoja en un escritorio donde no hay nadie sentado y deben dejarlo boca abajo. Al terminar de aplicar los 326 AUDIT se numeran y se archivan para posteriormente transcribirlos a un fichero en el SPSS (</w:t>
      </w:r>
      <w:proofErr w:type="spellStart"/>
      <w:r w:rsidRPr="00CA6A43">
        <w:t>Statistical</w:t>
      </w:r>
      <w:proofErr w:type="spellEnd"/>
      <w:r w:rsidRPr="00CA6A43">
        <w:t xml:space="preserve"> </w:t>
      </w:r>
      <w:proofErr w:type="spellStart"/>
      <w:r w:rsidRPr="00CA6A43">
        <w:t>Package</w:t>
      </w:r>
      <w:proofErr w:type="spellEnd"/>
      <w:r w:rsidRPr="00CA6A43">
        <w:t xml:space="preserve"> </w:t>
      </w:r>
      <w:proofErr w:type="spellStart"/>
      <w:r w:rsidRPr="00CA6A43">
        <w:t>for</w:t>
      </w:r>
      <w:proofErr w:type="spellEnd"/>
      <w:r w:rsidRPr="00CA6A43">
        <w:t xml:space="preserve"> </w:t>
      </w:r>
      <w:proofErr w:type="spellStart"/>
      <w:r w:rsidRPr="00CA6A43">
        <w:t>the</w:t>
      </w:r>
      <w:proofErr w:type="spellEnd"/>
      <w:r w:rsidRPr="00CA6A43">
        <w:t xml:space="preserve"> Social </w:t>
      </w:r>
      <w:proofErr w:type="spellStart"/>
      <w:r w:rsidRPr="00CA6A43">
        <w:t>Sciences</w:t>
      </w:r>
      <w:proofErr w:type="spellEnd"/>
      <w:r w:rsidRPr="00CA6A43">
        <w:t>).</w:t>
      </w:r>
    </w:p>
    <w:p w14:paraId="67368DFD" w14:textId="77777777" w:rsidR="00C970CB" w:rsidRDefault="00C970CB" w:rsidP="00A9493A">
      <w:pPr>
        <w:spacing w:line="480" w:lineRule="auto"/>
        <w:ind w:firstLine="709"/>
        <w:contextualSpacing/>
        <w:jc w:val="both"/>
      </w:pPr>
    </w:p>
    <w:p w14:paraId="32F20B70" w14:textId="09939D08" w:rsidR="00C970CB" w:rsidRDefault="00C970CB" w:rsidP="00C970CB">
      <w:pPr>
        <w:pStyle w:val="ListParagraph"/>
        <w:numPr>
          <w:ilvl w:val="1"/>
          <w:numId w:val="13"/>
        </w:numPr>
        <w:spacing w:line="480" w:lineRule="auto"/>
        <w:jc w:val="both"/>
        <w:rPr>
          <w:b/>
        </w:rPr>
      </w:pPr>
      <w:r w:rsidRPr="00C970CB">
        <w:rPr>
          <w:b/>
        </w:rPr>
        <w:t>ANÁLISIS DE DATOS: Contrastes Estadísticos utilizados</w:t>
      </w:r>
    </w:p>
    <w:p w14:paraId="2D2E5079" w14:textId="0A789ABA" w:rsidR="00C970CB" w:rsidRDefault="0028000D" w:rsidP="00C970CB">
      <w:pPr>
        <w:spacing w:line="480" w:lineRule="auto"/>
        <w:jc w:val="both"/>
      </w:pPr>
      <w:r>
        <w:t>Mostrar un listado con los pasos a desarrollarse en la investigación, descripción de técnicas o métodos utilizados con el fin de dar respuesta a los objetivos planteados en la investigación.</w:t>
      </w:r>
    </w:p>
    <w:p w14:paraId="3658DF3B" w14:textId="056E9465" w:rsidR="0028000D" w:rsidRDefault="0028000D" w:rsidP="00C970CB">
      <w:pPr>
        <w:spacing w:line="480" w:lineRule="auto"/>
        <w:jc w:val="both"/>
        <w:rPr>
          <w:lang w:val="es-CO"/>
        </w:rPr>
      </w:pPr>
      <w:r w:rsidRPr="00E02213">
        <w:rPr>
          <w:b/>
          <w:lang w:val="es-CO"/>
        </w:rPr>
        <w:t>Test no paramétricos para el contraste de dos poblaciones independientes</w:t>
      </w:r>
      <w:r>
        <w:rPr>
          <w:lang w:val="es-CO"/>
        </w:rPr>
        <w:t>:</w:t>
      </w:r>
      <w:r w:rsidRPr="0028000D">
        <w:rPr>
          <w:lang w:val="es-CO"/>
        </w:rPr>
        <w:t xml:space="preserve"> Test U de Mann Whitney</w:t>
      </w:r>
      <w:r>
        <w:rPr>
          <w:lang w:val="es-CO"/>
        </w:rPr>
        <w:t xml:space="preserve"> y Test de </w:t>
      </w:r>
      <w:proofErr w:type="spellStart"/>
      <w:r>
        <w:rPr>
          <w:lang w:val="es-CO"/>
        </w:rPr>
        <w:t>Wilcoxon</w:t>
      </w:r>
      <w:proofErr w:type="spellEnd"/>
    </w:p>
    <w:p w14:paraId="67A43B41" w14:textId="53AA0FE1" w:rsidR="00E02213" w:rsidRPr="0028000D" w:rsidRDefault="00E02213" w:rsidP="00C970CB">
      <w:pPr>
        <w:spacing w:line="480" w:lineRule="auto"/>
        <w:jc w:val="both"/>
        <w:rPr>
          <w:lang w:val="es-CO"/>
        </w:rPr>
      </w:pPr>
      <w:r w:rsidRPr="00E02213">
        <w:rPr>
          <w:b/>
          <w:lang w:val="es-CO"/>
        </w:rPr>
        <w:t>Test no paramétricos para el contraste de más de dos poblaciones independientes</w:t>
      </w:r>
      <w:r>
        <w:rPr>
          <w:lang w:val="es-CO"/>
        </w:rPr>
        <w:t xml:space="preserve">: Test de </w:t>
      </w:r>
      <w:proofErr w:type="spellStart"/>
      <w:r>
        <w:rPr>
          <w:lang w:val="es-CO"/>
        </w:rPr>
        <w:t>Kruskal</w:t>
      </w:r>
      <w:proofErr w:type="spellEnd"/>
      <w:r>
        <w:rPr>
          <w:lang w:val="es-CO"/>
        </w:rPr>
        <w:t>-Wallis</w:t>
      </w:r>
    </w:p>
    <w:p w14:paraId="24E8C505" w14:textId="0775C596" w:rsidR="0028000D" w:rsidRDefault="0028000D" w:rsidP="00C970CB">
      <w:pPr>
        <w:spacing w:line="480" w:lineRule="auto"/>
        <w:jc w:val="both"/>
      </w:pPr>
      <w:r w:rsidRPr="00E02213">
        <w:rPr>
          <w:b/>
        </w:rPr>
        <w:t>Coeficientes de correlación no paramétricos</w:t>
      </w:r>
      <w:r>
        <w:t xml:space="preserve">: Correlación de </w:t>
      </w:r>
      <w:proofErr w:type="spellStart"/>
      <w:r>
        <w:t>Spearman</w:t>
      </w:r>
      <w:proofErr w:type="spellEnd"/>
      <w:r>
        <w:t xml:space="preserve"> y Correlación de Kendall</w:t>
      </w:r>
    </w:p>
    <w:p w14:paraId="52973A5E" w14:textId="57500F64" w:rsidR="0028000D" w:rsidRPr="00E02213" w:rsidRDefault="0028000D" w:rsidP="00C970CB">
      <w:pPr>
        <w:spacing w:line="480" w:lineRule="auto"/>
        <w:jc w:val="both"/>
        <w:rPr>
          <w:b/>
        </w:rPr>
      </w:pPr>
      <w:r w:rsidRPr="00E02213">
        <w:rPr>
          <w:b/>
        </w:rPr>
        <w:t>Análisis de correspondencias múltiples o Análisis de componentes principales categórico</w:t>
      </w:r>
    </w:p>
    <w:p w14:paraId="0E9EF637" w14:textId="53EFEAA4" w:rsidR="00EB1C36" w:rsidRPr="00E02213" w:rsidRDefault="00E02213" w:rsidP="00C970CB">
      <w:pPr>
        <w:spacing w:line="480" w:lineRule="auto"/>
        <w:jc w:val="both"/>
        <w:rPr>
          <w:color w:val="FF0000"/>
        </w:rPr>
      </w:pPr>
      <w:r>
        <w:rPr>
          <w:color w:val="FF0000"/>
        </w:rPr>
        <w:lastRenderedPageBreak/>
        <w:t>Utilizar mi tesis</w:t>
      </w:r>
    </w:p>
    <w:p w14:paraId="03584F4F" w14:textId="77777777" w:rsidR="00EB1C36" w:rsidRPr="00E02213" w:rsidRDefault="00EB1C36" w:rsidP="00C970CB">
      <w:pPr>
        <w:spacing w:line="480" w:lineRule="auto"/>
        <w:jc w:val="both"/>
      </w:pPr>
    </w:p>
    <w:p w14:paraId="6DE74D6F" w14:textId="77777777" w:rsidR="00EB1C36" w:rsidRPr="00E02213" w:rsidRDefault="00EB1C36" w:rsidP="00C970CB">
      <w:pPr>
        <w:spacing w:line="480" w:lineRule="auto"/>
        <w:jc w:val="both"/>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77777777" w:rsidR="006641CA" w:rsidRPr="00CA6A43" w:rsidRDefault="006641CA" w:rsidP="00CA6A43">
      <w:pPr>
        <w:spacing w:line="480" w:lineRule="auto"/>
        <w:ind w:firstLine="708"/>
        <w:jc w:val="both"/>
      </w:pPr>
      <w:r w:rsidRPr="00CA6A43">
        <w:t xml:space="preserve">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la edad, el género y la carrera. </w:t>
      </w:r>
    </w:p>
    <w:p w14:paraId="09876D78" w14:textId="0A0E49C8" w:rsidR="006641CA" w:rsidRPr="00CA6A43" w:rsidRDefault="006641CA" w:rsidP="00CA6A43">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60E73D6E" w14:textId="7E49A81F" w:rsidR="006641CA" w:rsidRP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w:t>
      </w:r>
      <w:r w:rsidR="00A85606">
        <w:t>l patrón de consumo de alcohol.</w:t>
      </w:r>
    </w:p>
    <w:p w14:paraId="0DF891D7" w14:textId="77777777" w:rsidR="00CA6A43" w:rsidRDefault="00CA6A43" w:rsidP="00CA6A43">
      <w:pPr>
        <w:spacing w:line="480" w:lineRule="auto"/>
        <w:jc w:val="both"/>
      </w:pPr>
    </w:p>
    <w:p w14:paraId="222C979A" w14:textId="377E93CB" w:rsidR="006641CA" w:rsidRDefault="006641CA" w:rsidP="00CA6A43">
      <w:pPr>
        <w:spacing w:line="480" w:lineRule="auto"/>
        <w:ind w:firstLine="708"/>
        <w:jc w:val="both"/>
      </w:pPr>
      <w:r w:rsidRPr="00CA6A43">
        <w:lastRenderedPageBreak/>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57D0908E" w14:textId="77777777" w:rsidR="00EB1C36" w:rsidRDefault="00EB1C36" w:rsidP="00CF3F69">
      <w:pPr>
        <w:spacing w:line="480" w:lineRule="auto"/>
        <w:ind w:firstLine="708"/>
        <w:jc w:val="both"/>
      </w:pP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lastRenderedPageBreak/>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28F9CCCE"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51,5% hombres y 44,8% mujeres.</w:t>
      </w:r>
    </w:p>
    <w:p w14:paraId="1232D31B" w14:textId="77777777" w:rsidR="00311C37" w:rsidRDefault="00311C37" w:rsidP="00CA6A43">
      <w:pPr>
        <w:spacing w:line="480" w:lineRule="auto"/>
        <w:jc w:val="both"/>
        <w:rPr>
          <w:color w:val="000000" w:themeColor="text1"/>
        </w:rPr>
      </w:pPr>
    </w:p>
    <w:p w14:paraId="42D9653C" w14:textId="19623E51" w:rsidR="00311C37" w:rsidRDefault="005E5FB4" w:rsidP="00CA6A43">
      <w:pPr>
        <w:spacing w:line="480" w:lineRule="auto"/>
        <w:jc w:val="both"/>
        <w:rPr>
          <w:color w:val="000000" w:themeColor="text1"/>
        </w:rPr>
      </w:pPr>
      <w:r>
        <w:rPr>
          <w:color w:val="000000" w:themeColor="text1"/>
        </w:rPr>
        <w:t>Histograma con el comportamiento del puntaje AUDIT</w:t>
      </w:r>
      <w:r w:rsidR="0040194E">
        <w:rPr>
          <w:color w:val="000000" w:themeColor="text1"/>
        </w:rPr>
        <w:t>. Como se observa en el siguiente histograma, el comportamiento del puntaje AUDIT para el grupo de estudiantes encuestados muestra un comportamiento asimétrico positivo, lo que indica que la mayoría de los casos presentan un bajo riesgo de tener problemas con el alcoholismo, mientras un número reducido de estos presentan un alto riesgo tomando como referencia un puntaje AUDIT igual a 8 unidades.</w:t>
      </w:r>
    </w:p>
    <w:p w14:paraId="59F97FCF" w14:textId="342A679A" w:rsidR="0040194E" w:rsidRDefault="0040194E" w:rsidP="0040194E">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BB7EC84" wp14:editId="1F0C411B">
            <wp:extent cx="5943600" cy="475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53A90BC7" w14:textId="77777777" w:rsidR="0040194E" w:rsidRDefault="0040194E" w:rsidP="0040194E">
      <w:pPr>
        <w:autoSpaceDE w:val="0"/>
        <w:autoSpaceDN w:val="0"/>
        <w:adjustRightInd w:val="0"/>
        <w:rPr>
          <w:rFonts w:eastAsiaTheme="minorEastAsia"/>
          <w:lang w:val="es-CO" w:eastAsia="ja-JP"/>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lastRenderedPageBreak/>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129E228F" w14:textId="13D1E29F" w:rsidR="00AD5AD4"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77777777" w:rsidR="00526DC1" w:rsidRDefault="009C57E9" w:rsidP="00526DC1">
      <w:pPr>
        <w:keepNext/>
        <w:autoSpaceDE w:val="0"/>
        <w:autoSpaceDN w:val="0"/>
        <w:adjustRightInd w:val="0"/>
        <w:jc w:val="center"/>
      </w:pPr>
      <w:r>
        <w:rPr>
          <w:rFonts w:eastAsiaTheme="minorEastAsia"/>
          <w:noProof/>
          <w:lang w:val="es-CO" w:eastAsia="es-CO"/>
        </w:rPr>
        <w:drawing>
          <wp:inline distT="0" distB="0" distL="0" distR="0" wp14:anchorId="12FC7477" wp14:editId="7BDF7882">
            <wp:extent cx="4000607"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456D05">
      <w:pPr>
        <w:autoSpaceDE w:val="0"/>
        <w:autoSpaceDN w:val="0"/>
        <w:adjustRightInd w:val="0"/>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w:t>
      </w:r>
      <w:proofErr w:type="spellStart"/>
      <w:r>
        <w:rPr>
          <w:rFonts w:eastAsiaTheme="minorEastAsia"/>
          <w:lang w:val="es-CO" w:eastAsia="ja-JP"/>
        </w:rPr>
        <w:t>sd</w:t>
      </w:r>
      <w:proofErr w:type="spellEnd"/>
      <w:r>
        <w:rPr>
          <w:rFonts w:eastAsiaTheme="minorEastAsia"/>
          <w:lang w:val="es-CO" w:eastAsia="ja-JP"/>
        </w:rPr>
        <w:t>: 4.8 puntos) y 3.52 para mujeres (</w:t>
      </w:r>
      <w:proofErr w:type="spellStart"/>
      <w:r>
        <w:rPr>
          <w:rFonts w:eastAsiaTheme="minorEastAsia"/>
          <w:lang w:val="es-CO" w:eastAsia="ja-JP"/>
        </w:rPr>
        <w:t>sd</w:t>
      </w:r>
      <w:proofErr w:type="spellEnd"/>
      <w:r>
        <w:rPr>
          <w:rFonts w:eastAsiaTheme="minorEastAsia"/>
          <w:lang w:val="es-CO" w:eastAsia="ja-JP"/>
        </w:rPr>
        <w:t>: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b/>
                <w:bCs/>
                <w:color w:val="000000"/>
                <w:sz w:val="18"/>
                <w:szCs w:val="18"/>
                <w:lang w:val="es-CO" w:eastAsia="ja-JP"/>
              </w:rPr>
              <w:t>Report</w:t>
            </w:r>
            <w:proofErr w:type="spellEnd"/>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color w:val="000000"/>
                <w:sz w:val="18"/>
                <w:szCs w:val="18"/>
                <w:lang w:val="es-CO" w:eastAsia="ja-JP"/>
              </w:rPr>
              <w:t>Std</w:t>
            </w:r>
            <w:proofErr w:type="spellEnd"/>
            <w:r w:rsidRPr="00456D05">
              <w:rPr>
                <w:rFonts w:ascii="Arial" w:eastAsiaTheme="minorEastAsia" w:hAnsi="Arial" w:cs="Arial"/>
                <w:color w:val="000000"/>
                <w:sz w:val="18"/>
                <w:szCs w:val="18"/>
                <w:lang w:val="es-CO" w:eastAsia="ja-JP"/>
              </w:rPr>
              <w:t xml:space="preserve">. </w:t>
            </w:r>
            <w:proofErr w:type="spellStart"/>
            <w:r w:rsidRPr="00456D05">
              <w:rPr>
                <w:rFonts w:ascii="Arial" w:eastAsiaTheme="minorEastAsia" w:hAnsi="Arial" w:cs="Arial"/>
                <w:color w:val="000000"/>
                <w:sz w:val="18"/>
                <w:szCs w:val="18"/>
                <w:lang w:val="es-CO" w:eastAsia="ja-JP"/>
              </w:rPr>
              <w:t>Deviation</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38AE4C06" w14:textId="572E830D" w:rsidR="00456D05" w:rsidRDefault="00456D05" w:rsidP="00456D05">
      <w:pPr>
        <w:autoSpaceDE w:val="0"/>
        <w:autoSpaceDN w:val="0"/>
        <w:adjustRightInd w:val="0"/>
        <w:spacing w:line="400" w:lineRule="atLeast"/>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7800CC">
      <w:pPr>
        <w:autoSpaceDE w:val="0"/>
        <w:autoSpaceDN w:val="0"/>
        <w:adjustRightInd w:val="0"/>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000DA2">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 xml:space="preserve">Test </w:t>
            </w:r>
            <w:proofErr w:type="spellStart"/>
            <w:r w:rsidRPr="007800CC">
              <w:rPr>
                <w:rFonts w:ascii="Arial" w:eastAsiaTheme="minorEastAsia" w:hAnsi="Arial" w:cs="Arial"/>
                <w:b/>
                <w:bCs/>
                <w:color w:val="000000"/>
                <w:sz w:val="18"/>
                <w:szCs w:val="18"/>
                <w:lang w:val="es-CO" w:eastAsia="ja-JP"/>
              </w:rPr>
              <w:t>Statistics</w:t>
            </w:r>
            <w:r w:rsidRPr="007800CC">
              <w:rPr>
                <w:rFonts w:ascii="Arial" w:eastAsiaTheme="minorEastAsia" w:hAnsi="Arial" w:cs="Arial"/>
                <w:b/>
                <w:bCs/>
                <w:color w:val="000000"/>
                <w:sz w:val="18"/>
                <w:szCs w:val="18"/>
                <w:vertAlign w:val="superscript"/>
                <w:lang w:val="es-CO" w:eastAsia="ja-JP"/>
              </w:rPr>
              <w:t>a</w:t>
            </w:r>
            <w:proofErr w:type="spellEnd"/>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Wilcoxon</w:t>
            </w:r>
            <w:proofErr w:type="spellEnd"/>
            <w:r w:rsidRPr="007800CC">
              <w:rPr>
                <w:rFonts w:ascii="Arial" w:eastAsiaTheme="minorEastAsia" w:hAnsi="Arial" w:cs="Arial"/>
                <w:color w:val="000000"/>
                <w:sz w:val="18"/>
                <w:szCs w:val="18"/>
                <w:lang w:val="es-CO" w:eastAsia="ja-JP"/>
              </w:rPr>
              <w:t xml:space="preserve">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Asymp</w:t>
            </w:r>
            <w:proofErr w:type="spellEnd"/>
            <w:r w:rsidRPr="007800CC">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B2DC8">
              <w:rPr>
                <w:rFonts w:ascii="Arial" w:eastAsiaTheme="minorEastAsia" w:hAnsi="Arial" w:cs="Arial"/>
                <w:color w:val="000000"/>
                <w:sz w:val="18"/>
                <w:szCs w:val="18"/>
                <w:highlight w:val="green"/>
                <w:lang w:val="es-CO" w:eastAsia="ja-JP"/>
              </w:rPr>
              <w:t>.014</w:t>
            </w:r>
            <w:r w:rsidRPr="002B2DC8">
              <w:rPr>
                <w:rFonts w:ascii="Arial" w:eastAsiaTheme="minorEastAsia" w:hAnsi="Arial" w:cs="Arial"/>
                <w:color w:val="000000"/>
                <w:sz w:val="18"/>
                <w:szCs w:val="18"/>
                <w:highlight w:val="green"/>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a. </w:t>
            </w:r>
            <w:proofErr w:type="spellStart"/>
            <w:r w:rsidRPr="007800CC">
              <w:rPr>
                <w:rFonts w:ascii="Arial" w:eastAsiaTheme="minorEastAsia" w:hAnsi="Arial" w:cs="Arial"/>
                <w:color w:val="000000"/>
                <w:sz w:val="18"/>
                <w:szCs w:val="18"/>
                <w:lang w:val="es-CO" w:eastAsia="ja-JP"/>
              </w:rPr>
              <w:t>Grouping</w:t>
            </w:r>
            <w:proofErr w:type="spellEnd"/>
            <w:r w:rsidRPr="007800CC">
              <w:rPr>
                <w:rFonts w:ascii="Arial" w:eastAsiaTheme="minorEastAsia" w:hAnsi="Arial" w:cs="Arial"/>
                <w:color w:val="000000"/>
                <w:sz w:val="18"/>
                <w:szCs w:val="18"/>
                <w:lang w:val="es-CO" w:eastAsia="ja-JP"/>
              </w:rPr>
              <w:t xml:space="preserve"> Variable: Género</w:t>
            </w:r>
          </w:p>
        </w:tc>
      </w:tr>
      <w:tr w:rsidR="007800CC" w:rsidRPr="00F15DD4"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B03C3F8" w14:textId="524B8A87" w:rsidR="002B2DC8"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w:t>
      </w:r>
      <w:proofErr w:type="spellStart"/>
      <w:r>
        <w:rPr>
          <w:rFonts w:eastAsiaTheme="minorEastAsia"/>
          <w:lang w:val="es-CO" w:eastAsia="ja-JP"/>
        </w:rPr>
        <w:t>Spearman</w:t>
      </w:r>
      <w:proofErr w:type="spellEnd"/>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8665F5">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77777777" w:rsidR="00526DC1" w:rsidRDefault="005F1981" w:rsidP="00526DC1">
      <w:pPr>
        <w:keepNext/>
        <w:autoSpaceDE w:val="0"/>
        <w:autoSpaceDN w:val="0"/>
        <w:adjustRightInd w:val="0"/>
        <w:jc w:val="center"/>
      </w:pPr>
      <w:r>
        <w:rPr>
          <w:rFonts w:eastAsiaTheme="minorEastAsia"/>
          <w:noProof/>
          <w:lang w:val="es-CO" w:eastAsia="es-CO"/>
        </w:rPr>
        <w:lastRenderedPageBreak/>
        <w:drawing>
          <wp:inline distT="0" distB="0" distL="0" distR="0" wp14:anchorId="17A41B12" wp14:editId="010634ED">
            <wp:extent cx="4000607"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E40F83" w14:textId="1F62CD3C"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2</w:t>
      </w:r>
      <w:r>
        <w:fldChar w:fldCharType="end"/>
      </w:r>
      <w:r>
        <w:t>. Diagrama de dispersión entre la edad y el puntaje AUDIT. La línea de color rojo representa</w:t>
      </w:r>
      <w:r w:rsidR="007149A2">
        <w:t xml:space="preserve"> la curva o</w:t>
      </w:r>
      <w:r>
        <w:t xml:space="preserve"> el patrón de relación existente entre las dos variables, la cual se estimó a partir de polinomio cubico. Las líneas de color azul corresponden a los intervalos de confianza del 95%</w:t>
      </w:r>
      <w:r w:rsidR="007149A2">
        <w:t xml:space="preserve"> para la curva de regresión estimada.</w:t>
      </w:r>
    </w:p>
    <w:p w14:paraId="2A7F3478" w14:textId="10F24A5A" w:rsidR="00526DC1" w:rsidRDefault="00D11443" w:rsidP="00D11443">
      <w:pPr>
        <w:autoSpaceDE w:val="0"/>
        <w:autoSpaceDN w:val="0"/>
        <w:adjustRightInd w:val="0"/>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w:t>
      </w:r>
      <w:proofErr w:type="spellStart"/>
      <w:r>
        <w:rPr>
          <w:rFonts w:eastAsiaTheme="minorEastAsia"/>
          <w:lang w:val="es-CO" w:eastAsia="ja-JP"/>
        </w:rPr>
        <w:t>Spearman</w:t>
      </w:r>
      <w:proofErr w:type="spellEnd"/>
      <w:r>
        <w:rPr>
          <w:rFonts w:eastAsiaTheme="minorEastAsia"/>
          <w:lang w:val="es-CO" w:eastAsia="ja-JP"/>
        </w:rPr>
        <w:t xml:space="preserve">: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8F46D6">
      <w:pPr>
        <w:autoSpaceDE w:val="0"/>
        <w:autoSpaceDN w:val="0"/>
        <w:adjustRightInd w:val="0"/>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000DA2">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8F46D6">
              <w:rPr>
                <w:rFonts w:ascii="Arial" w:eastAsiaTheme="minorEastAsia" w:hAnsi="Arial" w:cs="Arial"/>
                <w:b/>
                <w:bCs/>
                <w:color w:val="000000"/>
                <w:sz w:val="18"/>
                <w:szCs w:val="18"/>
                <w:lang w:val="es-CO" w:eastAsia="ja-JP"/>
              </w:rPr>
              <w:t>Correlations</w:t>
            </w:r>
            <w:proofErr w:type="spellEnd"/>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Kendall's</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tau_b</w:t>
            </w:r>
            <w:proofErr w:type="spellEnd"/>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single" w:sz="16" w:space="0" w:color="000000"/>
              <w:left w:val="single" w:sz="16" w:space="0" w:color="000000"/>
            </w:tcBorders>
            <w:shd w:val="clear" w:color="auto" w:fill="FFFFFF"/>
            <w:vAlign w:val="center"/>
          </w:tcPr>
          <w:p w14:paraId="2E8E7FD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highlight w:val="green"/>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4135032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9C5D47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Std</w:t>
            </w:r>
            <w:proofErr w:type="spellEnd"/>
            <w:r w:rsidRPr="008F46D6">
              <w:rPr>
                <w:rFonts w:ascii="Arial" w:eastAsiaTheme="minorEastAsia" w:hAnsi="Arial" w:cs="Arial"/>
                <w:color w:val="000000"/>
                <w:sz w:val="18"/>
                <w:szCs w:val="18"/>
                <w:lang w:val="es-CO" w:eastAsia="ja-JP"/>
              </w:rPr>
              <w:t>. Error</w:t>
            </w:r>
          </w:p>
        </w:tc>
        <w:tc>
          <w:tcPr>
            <w:tcW w:w="1044" w:type="dxa"/>
            <w:tcBorders>
              <w:top w:val="nil"/>
              <w:left w:val="single" w:sz="16" w:space="0" w:color="000000"/>
            </w:tcBorders>
            <w:shd w:val="clear" w:color="auto" w:fill="FFFFFF"/>
            <w:vAlign w:val="center"/>
          </w:tcPr>
          <w:p w14:paraId="6A69838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73ABE6C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24C2383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351C09E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4775454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.110</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509B9EE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7D2CCB8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Std</w:t>
            </w:r>
            <w:proofErr w:type="spellEnd"/>
            <w:r w:rsidRPr="008F46D6">
              <w:rPr>
                <w:rFonts w:ascii="Arial" w:eastAsiaTheme="minorEastAsia" w:hAnsi="Arial" w:cs="Arial"/>
                <w:color w:val="000000"/>
                <w:sz w:val="18"/>
                <w:szCs w:val="18"/>
                <w:lang w:val="es-CO" w:eastAsia="ja-JP"/>
              </w:rPr>
              <w:t>. Error</w:t>
            </w:r>
          </w:p>
        </w:tc>
        <w:tc>
          <w:tcPr>
            <w:tcW w:w="1044" w:type="dxa"/>
            <w:tcBorders>
              <w:top w:val="nil"/>
              <w:left w:val="single" w:sz="16" w:space="0" w:color="000000"/>
            </w:tcBorders>
            <w:shd w:val="clear" w:color="auto" w:fill="FFFFFF"/>
            <w:vAlign w:val="center"/>
          </w:tcPr>
          <w:p w14:paraId="3CA8CC3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229AB6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3A070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E63A166"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lastRenderedPageBreak/>
              <w:t>Spearman's</w:t>
            </w:r>
            <w:proofErr w:type="spellEnd"/>
            <w:r w:rsidRPr="008F46D6">
              <w:rPr>
                <w:rFonts w:ascii="Arial" w:eastAsiaTheme="minorEastAsia" w:hAnsi="Arial" w:cs="Arial"/>
                <w:color w:val="000000"/>
                <w:sz w:val="18"/>
                <w:szCs w:val="18"/>
                <w:lang w:val="es-CO" w:eastAsia="ja-JP"/>
              </w:rPr>
              <w:t xml:space="preserve">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36F7390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02D79BD5"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481E384"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Std</w:t>
            </w:r>
            <w:proofErr w:type="spellEnd"/>
            <w:r w:rsidRPr="008F46D6">
              <w:rPr>
                <w:rFonts w:ascii="Arial" w:eastAsiaTheme="minorEastAsia" w:hAnsi="Arial" w:cs="Arial"/>
                <w:color w:val="000000"/>
                <w:sz w:val="18"/>
                <w:szCs w:val="18"/>
                <w:lang w:val="es-CO" w:eastAsia="ja-JP"/>
              </w:rPr>
              <w:t>. Error</w:t>
            </w:r>
          </w:p>
        </w:tc>
        <w:tc>
          <w:tcPr>
            <w:tcW w:w="1044" w:type="dxa"/>
            <w:tcBorders>
              <w:top w:val="nil"/>
              <w:left w:val="single" w:sz="16" w:space="0" w:color="000000"/>
            </w:tcBorders>
            <w:shd w:val="clear" w:color="auto" w:fill="FFFFFF"/>
            <w:vAlign w:val="center"/>
          </w:tcPr>
          <w:p w14:paraId="4DAE4A4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2BCCEE0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6FD547B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381D13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8F46D6">
              <w:rPr>
                <w:rFonts w:ascii="Arial" w:eastAsiaTheme="minorEastAsia" w:hAnsi="Arial" w:cs="Arial"/>
                <w:color w:val="000000"/>
                <w:sz w:val="18"/>
                <w:szCs w:val="18"/>
                <w:highlight w:val="green"/>
                <w:lang w:val="es-CO" w:eastAsia="ja-JP"/>
              </w:rPr>
              <w:t>Correlation</w:t>
            </w:r>
            <w:proofErr w:type="spellEnd"/>
            <w:r w:rsidRPr="008F46D6">
              <w:rPr>
                <w:rFonts w:ascii="Arial" w:eastAsiaTheme="minorEastAsia" w:hAnsi="Arial" w:cs="Arial"/>
                <w:color w:val="000000"/>
                <w:sz w:val="18"/>
                <w:szCs w:val="18"/>
                <w:highlight w:val="green"/>
                <w:lang w:val="es-CO" w:eastAsia="ja-JP"/>
              </w:rPr>
              <w:t xml:space="preserve"> </w:t>
            </w:r>
            <w:proofErr w:type="spellStart"/>
            <w:r w:rsidRPr="008F46D6">
              <w:rPr>
                <w:rFonts w:ascii="Arial" w:eastAsiaTheme="minorEastAsia" w:hAnsi="Arial" w:cs="Arial"/>
                <w:color w:val="000000"/>
                <w:sz w:val="18"/>
                <w:szCs w:val="18"/>
                <w:highlight w:val="green"/>
                <w:lang w:val="es-CO" w:eastAsia="ja-JP"/>
              </w:rPr>
              <w:t>Coefficient</w:t>
            </w:r>
            <w:proofErr w:type="spellEnd"/>
          </w:p>
        </w:tc>
        <w:tc>
          <w:tcPr>
            <w:tcW w:w="1044" w:type="dxa"/>
            <w:tcBorders>
              <w:top w:val="nil"/>
              <w:left w:val="single" w:sz="16" w:space="0" w:color="000000"/>
            </w:tcBorders>
            <w:shd w:val="clear" w:color="auto" w:fill="FFFFFF"/>
            <w:vAlign w:val="center"/>
          </w:tcPr>
          <w:p w14:paraId="23E0E59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.141</w:t>
            </w:r>
            <w:r w:rsidRPr="008F46D6">
              <w:rPr>
                <w:rFonts w:ascii="Arial" w:eastAsiaTheme="minorEastAsia" w:hAnsi="Arial" w:cs="Arial"/>
                <w:color w:val="000000"/>
                <w:sz w:val="18"/>
                <w:szCs w:val="18"/>
                <w:highlight w:val="green"/>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8F46D6">
              <w:rPr>
                <w:rFonts w:ascii="Arial" w:eastAsiaTheme="minorEastAsia" w:hAnsi="Arial" w:cs="Arial"/>
                <w:color w:val="000000"/>
                <w:sz w:val="18"/>
                <w:szCs w:val="18"/>
                <w:highlight w:val="green"/>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Bootstrap</w:t>
            </w:r>
            <w:r w:rsidRPr="008F46D6">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6664374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DA89D51"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Std</w:t>
            </w:r>
            <w:proofErr w:type="spellEnd"/>
            <w:r w:rsidRPr="008F46D6">
              <w:rPr>
                <w:rFonts w:ascii="Arial" w:eastAsiaTheme="minorEastAsia" w:hAnsi="Arial" w:cs="Arial"/>
                <w:color w:val="000000"/>
                <w:sz w:val="18"/>
                <w:szCs w:val="18"/>
                <w:lang w:val="es-CO" w:eastAsia="ja-JP"/>
              </w:rPr>
              <w:t>. Error</w:t>
            </w:r>
          </w:p>
        </w:tc>
        <w:tc>
          <w:tcPr>
            <w:tcW w:w="1044" w:type="dxa"/>
            <w:tcBorders>
              <w:top w:val="nil"/>
              <w:left w:val="single" w:sz="16" w:space="0" w:color="000000"/>
            </w:tcBorders>
            <w:shd w:val="clear" w:color="auto" w:fill="FFFFFF"/>
            <w:vAlign w:val="center"/>
          </w:tcPr>
          <w:p w14:paraId="6FD6EEEB"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 xml:space="preserve">99% </w:t>
            </w:r>
            <w:proofErr w:type="spellStart"/>
            <w:r w:rsidRPr="008F46D6">
              <w:rPr>
                <w:rFonts w:ascii="Arial" w:eastAsiaTheme="minorEastAsia" w:hAnsi="Arial" w:cs="Arial"/>
                <w:color w:val="000000"/>
                <w:sz w:val="18"/>
                <w:szCs w:val="18"/>
                <w:lang w:val="es-CO" w:eastAsia="ja-JP"/>
              </w:rPr>
              <w:t>Confidence</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FB12586"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9F944B2"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F15DD4"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F15DD4"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941081">
      <w:pPr>
        <w:autoSpaceDE w:val="0"/>
        <w:autoSpaceDN w:val="0"/>
        <w:adjustRightInd w:val="0"/>
        <w:spacing w:line="400" w:lineRule="atLeast"/>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000DA2">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 xml:space="preserve">Test </w:t>
            </w:r>
            <w:proofErr w:type="spellStart"/>
            <w:r w:rsidRPr="00222C9D">
              <w:rPr>
                <w:rFonts w:ascii="Arial" w:eastAsiaTheme="minorEastAsia" w:hAnsi="Arial" w:cs="Arial"/>
                <w:b/>
                <w:bCs/>
                <w:color w:val="000000"/>
                <w:sz w:val="18"/>
                <w:szCs w:val="18"/>
                <w:lang w:val="es-CO" w:eastAsia="ja-JP"/>
              </w:rPr>
              <w:t>Statistics</w:t>
            </w:r>
            <w:r w:rsidRPr="00222C9D">
              <w:rPr>
                <w:rFonts w:ascii="Arial" w:eastAsiaTheme="minorEastAsia" w:hAnsi="Arial" w:cs="Arial"/>
                <w:b/>
                <w:bCs/>
                <w:color w:val="000000"/>
                <w:sz w:val="18"/>
                <w:szCs w:val="18"/>
                <w:vertAlign w:val="superscript"/>
                <w:lang w:val="es-CO" w:eastAsia="ja-JP"/>
              </w:rPr>
              <w:t>a</w:t>
            </w:r>
            <w:proofErr w:type="spellEnd"/>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F15DD4">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A248BF"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Wilcoxon</w:t>
            </w:r>
            <w:proofErr w:type="spellEnd"/>
            <w:r w:rsidRPr="00222C9D">
              <w:rPr>
                <w:rFonts w:ascii="Arial" w:eastAsiaTheme="minorEastAsia" w:hAnsi="Arial" w:cs="Arial"/>
                <w:color w:val="000000"/>
                <w:sz w:val="18"/>
                <w:szCs w:val="18"/>
                <w:lang w:val="es-CO" w:eastAsia="ja-JP"/>
              </w:rPr>
              <w:t xml:space="preserve">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Asymp</w:t>
            </w:r>
            <w:proofErr w:type="spellEnd"/>
            <w:r w:rsidRPr="00222C9D">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A248BF" w:rsidRDefault="00A248BF" w:rsidP="00F15DD4">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A248BF">
              <w:rPr>
                <w:rFonts w:ascii="Arial" w:eastAsiaTheme="minorEastAsia" w:hAnsi="Arial" w:cs="Arial"/>
                <w:color w:val="000000"/>
                <w:sz w:val="18"/>
                <w:szCs w:val="18"/>
                <w:highlight w:val="green"/>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222C9D">
              <w:rPr>
                <w:rFonts w:ascii="Arial" w:eastAsiaTheme="minorEastAsia" w:hAnsi="Arial" w:cs="Arial"/>
                <w:color w:val="000000"/>
                <w:sz w:val="18"/>
                <w:szCs w:val="18"/>
                <w:highlight w:val="green"/>
                <w:lang w:val="es-CO" w:eastAsia="ja-JP"/>
              </w:rPr>
              <w:t>.136</w:t>
            </w:r>
            <w:r w:rsidRPr="00222C9D">
              <w:rPr>
                <w:rFonts w:ascii="Arial" w:eastAsiaTheme="minorEastAsia" w:hAnsi="Arial" w:cs="Arial"/>
                <w:color w:val="000000"/>
                <w:sz w:val="18"/>
                <w:szCs w:val="18"/>
                <w:highlight w:val="green"/>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4E208FD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F15DD4">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a. </w:t>
            </w:r>
            <w:proofErr w:type="spellStart"/>
            <w:r w:rsidRPr="00222C9D">
              <w:rPr>
                <w:rFonts w:ascii="Arial" w:eastAsiaTheme="minorEastAsia" w:hAnsi="Arial" w:cs="Arial"/>
                <w:color w:val="000000"/>
                <w:sz w:val="18"/>
                <w:szCs w:val="18"/>
                <w:lang w:val="es-CO" w:eastAsia="ja-JP"/>
              </w:rPr>
              <w:t>Grouping</w:t>
            </w:r>
            <w:proofErr w:type="spellEnd"/>
            <w:r w:rsidRPr="00222C9D">
              <w:rPr>
                <w:rFonts w:ascii="Arial" w:eastAsiaTheme="minorEastAsia" w:hAnsi="Arial" w:cs="Arial"/>
                <w:color w:val="000000"/>
                <w:sz w:val="18"/>
                <w:szCs w:val="18"/>
                <w:lang w:val="es-CO" w:eastAsia="ja-JP"/>
              </w:rPr>
              <w:t xml:space="preserve"> Variable: Edad categorizada</w:t>
            </w:r>
          </w:p>
        </w:tc>
      </w:tr>
      <w:tr w:rsidR="00A248BF" w:rsidRPr="00F15DD4"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09F7C83F" w14:textId="326E0B15" w:rsidR="00A248BF" w:rsidRPr="00A248BF" w:rsidRDefault="00A248BF" w:rsidP="00941081">
      <w:pPr>
        <w:autoSpaceDE w:val="0"/>
        <w:autoSpaceDN w:val="0"/>
        <w:adjustRightInd w:val="0"/>
        <w:spacing w:line="400" w:lineRule="atLeast"/>
        <w:jc w:val="both"/>
        <w:rPr>
          <w:rFonts w:eastAsiaTheme="minorEastAsia"/>
          <w:lang w:val="es-CO" w:eastAsia="ja-JP"/>
        </w:rPr>
      </w:pPr>
      <w:r w:rsidRPr="00A248BF">
        <w:rPr>
          <w:rFonts w:eastAsiaTheme="minorEastAsia"/>
          <w:lang w:val="es-CO" w:eastAsia="ja-JP"/>
        </w:rPr>
        <w:lastRenderedPageBreak/>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5F1981">
      <w:pPr>
        <w:autoSpaceDE w:val="0"/>
        <w:autoSpaceDN w:val="0"/>
        <w:adjustRightInd w:val="0"/>
        <w:jc w:val="both"/>
        <w:rPr>
          <w:rFonts w:eastAsiaTheme="minorEastAsia"/>
          <w:lang w:val="es-CO" w:eastAsia="ja-JP"/>
        </w:rPr>
      </w:pPr>
    </w:p>
    <w:p w14:paraId="50F75754" w14:textId="77777777" w:rsidR="004C3B65" w:rsidRDefault="00222C9D" w:rsidP="004C3B65">
      <w:pPr>
        <w:keepNext/>
        <w:autoSpaceDE w:val="0"/>
        <w:autoSpaceDN w:val="0"/>
        <w:adjustRightInd w:val="0"/>
        <w:jc w:val="center"/>
      </w:pPr>
      <w:r>
        <w:rPr>
          <w:rFonts w:eastAsiaTheme="minorEastAsia"/>
          <w:noProof/>
          <w:lang w:val="es-CO" w:eastAsia="es-CO"/>
        </w:rPr>
        <w:drawing>
          <wp:inline distT="0" distB="0" distL="0" distR="0" wp14:anchorId="46F16ACF" wp14:editId="41E5F4CF">
            <wp:extent cx="4000607"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44440B22" w14:textId="2CBCDBD2" w:rsidR="00384C55" w:rsidRDefault="00384C55" w:rsidP="00384C55">
      <w:pPr>
        <w:autoSpaceDE w:val="0"/>
        <w:autoSpaceDN w:val="0"/>
        <w:adjustRightInd w:val="0"/>
        <w:jc w:val="both"/>
        <w:rPr>
          <w:rFonts w:eastAsiaTheme="minorEastAsia"/>
          <w:lang w:val="es-CO" w:eastAsia="ja-JP"/>
        </w:rPr>
      </w:pPr>
      <w:r>
        <w:rPr>
          <w:rFonts w:eastAsiaTheme="minorEastAsia"/>
          <w:lang w:val="es-CO" w:eastAsia="ja-JP"/>
        </w:rPr>
        <w:t xml:space="preserve">Los otros factores de los cuales interesaba conocer si tenían incidencia sobre el score de riesgo: carrera y facultad a la cual pertenecía el encuestado mostraron no tener un patrón que incida sobra el puntaje AUDIT. Para estos dos análisis se desarrollaron test </w:t>
      </w:r>
      <w:proofErr w:type="spellStart"/>
      <w:r>
        <w:rPr>
          <w:rFonts w:eastAsiaTheme="minorEastAsia"/>
          <w:lang w:val="es-CO" w:eastAsia="ja-JP"/>
        </w:rPr>
        <w:t>Kruskal</w:t>
      </w:r>
      <w:proofErr w:type="spellEnd"/>
      <w:r>
        <w:rPr>
          <w:rFonts w:eastAsiaTheme="minorEastAsia"/>
          <w:lang w:val="es-CO" w:eastAsia="ja-JP"/>
        </w:rPr>
        <w:t>-Wallis con verificar la existencia de diferencias estadísticamente significativas entre más de dos grupos. El comportamiento del puntaje AUDIT en funci</w:t>
      </w:r>
      <w:r w:rsidR="004C3B65">
        <w:rPr>
          <w:rFonts w:eastAsiaTheme="minorEastAsia"/>
          <w:lang w:val="es-CO" w:eastAsia="ja-JP"/>
        </w:rPr>
        <w:t xml:space="preserve">ón de la carrera y la facultad se muestra en las Figuras 4 y 5, mientras los resultados del test </w:t>
      </w:r>
      <w:proofErr w:type="spellStart"/>
      <w:r w:rsidR="004C3B65">
        <w:rPr>
          <w:rFonts w:eastAsiaTheme="minorEastAsia"/>
          <w:lang w:val="es-CO" w:eastAsia="ja-JP"/>
        </w:rPr>
        <w:t>Kruskal</w:t>
      </w:r>
      <w:proofErr w:type="spellEnd"/>
      <w:r w:rsidR="004C3B65">
        <w:rPr>
          <w:rFonts w:eastAsiaTheme="minorEastAsia"/>
          <w:lang w:val="es-CO" w:eastAsia="ja-JP"/>
        </w:rPr>
        <w:t>-Wallis se presentan en las Tablas 5 y 6, respectivamente.</w:t>
      </w:r>
    </w:p>
    <w:p w14:paraId="678FF8C5" w14:textId="77777777" w:rsidR="004C3B65" w:rsidRDefault="007E4887" w:rsidP="004C3B65">
      <w:pPr>
        <w:keepNext/>
        <w:autoSpaceDE w:val="0"/>
        <w:autoSpaceDN w:val="0"/>
        <w:adjustRightInd w:val="0"/>
        <w:jc w:val="center"/>
      </w:pPr>
      <w:r>
        <w:rPr>
          <w:rFonts w:eastAsiaTheme="minorEastAsia"/>
          <w:noProof/>
          <w:lang w:val="es-CO" w:eastAsia="es-CO"/>
        </w:rPr>
        <w:lastRenderedPageBreak/>
        <w:drawing>
          <wp:inline distT="0" distB="0" distL="0" distR="0" wp14:anchorId="16496A72" wp14:editId="1E05C857">
            <wp:extent cx="4000607"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985425A" w14:textId="51EC81B3" w:rsidR="007E4887" w:rsidRDefault="004F1666" w:rsidP="004C3B65">
      <w:pPr>
        <w:pStyle w:val="Caption"/>
        <w:jc w:val="center"/>
        <w:rPr>
          <w:rFonts w:eastAsiaTheme="minorEastAsia"/>
          <w:lang w:val="es-CO" w:eastAsia="ja-JP"/>
        </w:rPr>
      </w:pPr>
      <w:r>
        <w:t>Figura</w:t>
      </w:r>
      <w:r w:rsidR="004C3B65">
        <w:t xml:space="preserve"> </w:t>
      </w:r>
      <w:r w:rsidR="004C3B65">
        <w:fldChar w:fldCharType="begin"/>
      </w:r>
      <w:r w:rsidR="004C3B65">
        <w:instrText xml:space="preserve"> SEQ Ilustración \* ARABIC </w:instrText>
      </w:r>
      <w:r w:rsidR="004C3B65">
        <w:fldChar w:fldCharType="separate"/>
      </w:r>
      <w:r w:rsidR="006D413B">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000DA2">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proofErr w:type="spellStart"/>
            <w:r w:rsidRPr="007E4887">
              <w:rPr>
                <w:rFonts w:ascii="Arial" w:eastAsiaTheme="minorEastAsia" w:hAnsi="Arial" w:cs="Arial"/>
                <w:color w:val="000000"/>
                <w:sz w:val="18"/>
                <w:szCs w:val="18"/>
                <w:highlight w:val="green"/>
                <w:lang w:val="es-CO" w:eastAsia="ja-JP"/>
              </w:rPr>
              <w:t>Asymp</w:t>
            </w:r>
            <w:proofErr w:type="spellEnd"/>
            <w:r w:rsidRPr="007E4887">
              <w:rPr>
                <w:rFonts w:ascii="Arial" w:eastAsiaTheme="minorEastAsia" w:hAnsi="Arial" w:cs="Arial"/>
                <w:color w:val="000000"/>
                <w:sz w:val="18"/>
                <w:szCs w:val="18"/>
                <w:highlight w:val="green"/>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7E4887">
              <w:rPr>
                <w:rFonts w:ascii="Arial" w:eastAsiaTheme="minorEastAsia" w:hAnsi="Arial" w:cs="Arial"/>
                <w:color w:val="000000"/>
                <w:sz w:val="18"/>
                <w:szCs w:val="18"/>
                <w:highlight w:val="green"/>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a. </w:t>
            </w:r>
            <w:proofErr w:type="spellStart"/>
            <w:r w:rsidRPr="007E4887">
              <w:rPr>
                <w:rFonts w:ascii="Arial" w:eastAsiaTheme="minorEastAsia" w:hAnsi="Arial" w:cs="Arial"/>
                <w:color w:val="000000"/>
                <w:sz w:val="18"/>
                <w:szCs w:val="18"/>
                <w:lang w:val="es-CO" w:eastAsia="ja-JP"/>
              </w:rPr>
              <w:t>Kruskal</w:t>
            </w:r>
            <w:proofErr w:type="spellEnd"/>
            <w:r w:rsidRPr="007E4887">
              <w:rPr>
                <w:rFonts w:ascii="Arial" w:eastAsiaTheme="minorEastAsia" w:hAnsi="Arial" w:cs="Arial"/>
                <w:color w:val="000000"/>
                <w:sz w:val="18"/>
                <w:szCs w:val="18"/>
                <w:lang w:val="es-CO" w:eastAsia="ja-JP"/>
              </w:rPr>
              <w:t xml:space="preserve">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77777777" w:rsidR="004F1666" w:rsidRDefault="007E4887" w:rsidP="004F1666">
      <w:pPr>
        <w:keepNext/>
        <w:autoSpaceDE w:val="0"/>
        <w:autoSpaceDN w:val="0"/>
        <w:adjustRightInd w:val="0"/>
        <w:spacing w:line="400" w:lineRule="atLeast"/>
        <w:jc w:val="center"/>
      </w:pPr>
      <w:r w:rsidRPr="007E4887">
        <w:rPr>
          <w:rFonts w:eastAsiaTheme="minorEastAsia"/>
          <w:noProof/>
          <w:lang w:val="es-CO" w:eastAsia="es-CO"/>
        </w:rPr>
        <w:lastRenderedPageBreak/>
        <w:drawing>
          <wp:inline distT="0" distB="0" distL="0" distR="0" wp14:anchorId="4F91587C" wp14:editId="6F8FD490">
            <wp:extent cx="400060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607" cy="32004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6D413B">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sidR="00000DA2">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Asymp</w:t>
            </w:r>
            <w:proofErr w:type="spellEnd"/>
            <w:r w:rsidRPr="007E4887">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a. </w:t>
            </w:r>
            <w:proofErr w:type="spellStart"/>
            <w:r w:rsidRPr="007E4887">
              <w:rPr>
                <w:rFonts w:ascii="Arial" w:eastAsiaTheme="minorEastAsia" w:hAnsi="Arial" w:cs="Arial"/>
                <w:color w:val="000000"/>
                <w:sz w:val="18"/>
                <w:szCs w:val="18"/>
                <w:lang w:val="es-CO" w:eastAsia="ja-JP"/>
              </w:rPr>
              <w:t>Kruskal</w:t>
            </w:r>
            <w:proofErr w:type="spellEnd"/>
            <w:r w:rsidRPr="007E4887">
              <w:rPr>
                <w:rFonts w:ascii="Arial" w:eastAsiaTheme="minorEastAsia" w:hAnsi="Arial" w:cs="Arial"/>
                <w:color w:val="000000"/>
                <w:sz w:val="18"/>
                <w:szCs w:val="18"/>
                <w:lang w:val="es-CO" w:eastAsia="ja-JP"/>
              </w:rPr>
              <w:t xml:space="preserve">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10207756" w14:textId="1216B957" w:rsidR="007E4887" w:rsidRDefault="008C6FEC" w:rsidP="007E4887">
      <w:pPr>
        <w:autoSpaceDE w:val="0"/>
        <w:autoSpaceDN w:val="0"/>
        <w:adjustRightInd w:val="0"/>
        <w:spacing w:line="400" w:lineRule="atLeast"/>
        <w:rPr>
          <w:rFonts w:eastAsiaTheme="minorEastAsia"/>
          <w:b/>
          <w:lang w:val="es-CO" w:eastAsia="ja-JP"/>
        </w:rPr>
      </w:pPr>
      <w:r w:rsidRPr="008C6FEC">
        <w:rPr>
          <w:rFonts w:eastAsiaTheme="minorEastAsia"/>
          <w:b/>
          <w:lang w:val="es-CO" w:eastAsia="ja-JP"/>
        </w:rPr>
        <w:t>Análisis multivariado: Análisis de correspondencias múltiple</w:t>
      </w:r>
    </w:p>
    <w:p w14:paraId="0CD0E75F" w14:textId="26C4050F" w:rsidR="00F15DD4" w:rsidRDefault="008C6FEC"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Los resultados que se presentan a continuación</w:t>
      </w:r>
      <w:r w:rsidR="00F15DD4">
        <w:rPr>
          <w:rFonts w:eastAsiaTheme="minorEastAsia"/>
          <w:lang w:val="es-CO" w:eastAsia="ja-JP"/>
        </w:rPr>
        <w:t xml:space="preserve"> corresponden a la aplicación de un Análisis de correspondencias múltiples para el set de datos en cuestión, el cual se ejecutó en el software estadístico SPSS versión 23, obteniendo como porcentaje de variación explicado por las dos primeras componentes un 92% del total.</w:t>
      </w:r>
    </w:p>
    <w:p w14:paraId="34FC0994" w14:textId="77777777" w:rsidR="00F15DD4" w:rsidRPr="00F15DD4" w:rsidRDefault="00F15DD4" w:rsidP="00F15DD4">
      <w:pPr>
        <w:autoSpaceDE w:val="0"/>
        <w:autoSpaceDN w:val="0"/>
        <w:adjustRightInd w:val="0"/>
        <w:rPr>
          <w:rFonts w:eastAsiaTheme="minorEastAsia"/>
          <w:lang w:val="es-CO" w:eastAsia="ja-JP"/>
        </w:rPr>
      </w:pPr>
    </w:p>
    <w:p w14:paraId="57FCB750" w14:textId="7E55AFA2" w:rsidR="00000DA2" w:rsidRDefault="00000DA2" w:rsidP="00000DA2">
      <w:pPr>
        <w:pStyle w:val="Caption"/>
        <w:keepNext/>
        <w:jc w:val="center"/>
      </w:pPr>
      <w:r>
        <w:t xml:space="preserve">Tabla </w:t>
      </w:r>
      <w:r>
        <w:fldChar w:fldCharType="begin"/>
      </w:r>
      <w:r>
        <w:instrText xml:space="preserve"> SEQ Tabla \* ARABIC </w:instrText>
      </w:r>
      <w:r>
        <w:fldChar w:fldCharType="separate"/>
      </w:r>
      <w:r>
        <w:rPr>
          <w:noProof/>
        </w:rPr>
        <w:t>7</w:t>
      </w:r>
      <w:r>
        <w:fldChar w:fldCharType="end"/>
      </w:r>
      <w:r>
        <w:t>. Resumen del modelo ajustado a partir del Análisis de correspondencias múltiple</w:t>
      </w:r>
    </w:p>
    <w:tbl>
      <w:tblPr>
        <w:tblW w:w="52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23"/>
        <w:gridCol w:w="1469"/>
        <w:gridCol w:w="1469"/>
        <w:gridCol w:w="1131"/>
      </w:tblGrid>
      <w:tr w:rsidR="00F15DD4" w:rsidRPr="00F15DD4" w14:paraId="0D362A92" w14:textId="77777777" w:rsidTr="00000DA2">
        <w:tblPrEx>
          <w:tblCellMar>
            <w:top w:w="0" w:type="dxa"/>
            <w:bottom w:w="0" w:type="dxa"/>
          </w:tblCellMar>
        </w:tblPrEx>
        <w:trPr>
          <w:cantSplit/>
          <w:jc w:val="center"/>
        </w:trPr>
        <w:tc>
          <w:tcPr>
            <w:tcW w:w="5292" w:type="dxa"/>
            <w:gridSpan w:val="4"/>
            <w:tcBorders>
              <w:top w:val="nil"/>
              <w:left w:val="nil"/>
              <w:bottom w:val="nil"/>
              <w:right w:val="nil"/>
            </w:tcBorders>
            <w:shd w:val="clear" w:color="auto" w:fill="FFFFFF"/>
            <w:vAlign w:val="center"/>
          </w:tcPr>
          <w:p w14:paraId="44084B1B"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b/>
                <w:bCs/>
                <w:color w:val="000000"/>
                <w:sz w:val="18"/>
                <w:szCs w:val="18"/>
                <w:lang w:val="es-CO" w:eastAsia="ja-JP"/>
              </w:rPr>
              <w:t>Model</w:t>
            </w:r>
            <w:proofErr w:type="spellEnd"/>
            <w:r w:rsidRPr="00F15DD4">
              <w:rPr>
                <w:rFonts w:ascii="Arial" w:eastAsiaTheme="minorEastAsia" w:hAnsi="Arial" w:cs="Arial"/>
                <w:b/>
                <w:bCs/>
                <w:color w:val="000000"/>
                <w:sz w:val="18"/>
                <w:szCs w:val="18"/>
                <w:lang w:val="es-CO" w:eastAsia="ja-JP"/>
              </w:rPr>
              <w:t xml:space="preserve"> </w:t>
            </w:r>
            <w:proofErr w:type="spellStart"/>
            <w:r w:rsidRPr="00F15DD4">
              <w:rPr>
                <w:rFonts w:ascii="Arial" w:eastAsiaTheme="minorEastAsia" w:hAnsi="Arial" w:cs="Arial"/>
                <w:b/>
                <w:bCs/>
                <w:color w:val="000000"/>
                <w:sz w:val="18"/>
                <w:szCs w:val="18"/>
                <w:lang w:val="es-CO" w:eastAsia="ja-JP"/>
              </w:rPr>
              <w:t>Summary</w:t>
            </w:r>
            <w:proofErr w:type="spellEnd"/>
          </w:p>
        </w:tc>
      </w:tr>
      <w:tr w:rsidR="00F15DD4" w:rsidRPr="00F15DD4" w14:paraId="35A97A5F" w14:textId="77777777" w:rsidTr="00000DA2">
        <w:tblPrEx>
          <w:tblCellMar>
            <w:top w:w="0" w:type="dxa"/>
            <w:bottom w:w="0" w:type="dxa"/>
          </w:tblCellMar>
        </w:tblPrEx>
        <w:trPr>
          <w:cantSplit/>
          <w:jc w:val="center"/>
        </w:trPr>
        <w:tc>
          <w:tcPr>
            <w:tcW w:w="1223" w:type="dxa"/>
            <w:vMerge w:val="restart"/>
            <w:tcBorders>
              <w:top w:val="single" w:sz="16" w:space="0" w:color="000000"/>
              <w:left w:val="single" w:sz="16" w:space="0" w:color="000000"/>
              <w:bottom w:val="nil"/>
              <w:right w:val="single" w:sz="16" w:space="0" w:color="000000"/>
            </w:tcBorders>
            <w:shd w:val="clear" w:color="auto" w:fill="FFFFFF"/>
            <w:vAlign w:val="bottom"/>
          </w:tcPr>
          <w:p w14:paraId="720BDBC2"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Dimension</w:t>
            </w:r>
            <w:proofErr w:type="spellEnd"/>
          </w:p>
        </w:tc>
        <w:tc>
          <w:tcPr>
            <w:tcW w:w="1469" w:type="dxa"/>
            <w:vMerge w:val="restart"/>
            <w:tcBorders>
              <w:top w:val="single" w:sz="16" w:space="0" w:color="000000"/>
              <w:left w:val="single" w:sz="16" w:space="0" w:color="000000"/>
            </w:tcBorders>
            <w:shd w:val="clear" w:color="auto" w:fill="FFFFFF"/>
            <w:vAlign w:val="bottom"/>
          </w:tcPr>
          <w:p w14:paraId="4BFA8E92"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Cronbach's</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Alpha</w:t>
            </w:r>
            <w:proofErr w:type="spellEnd"/>
          </w:p>
        </w:tc>
        <w:tc>
          <w:tcPr>
            <w:tcW w:w="2600" w:type="dxa"/>
            <w:gridSpan w:val="2"/>
            <w:tcBorders>
              <w:top w:val="single" w:sz="16" w:space="0" w:color="000000"/>
              <w:right w:val="single" w:sz="16" w:space="0" w:color="000000"/>
            </w:tcBorders>
            <w:shd w:val="clear" w:color="auto" w:fill="FFFFFF"/>
            <w:vAlign w:val="bottom"/>
          </w:tcPr>
          <w:p w14:paraId="663C62DC"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Variance</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Accounted</w:t>
            </w:r>
            <w:proofErr w:type="spellEnd"/>
            <w:r w:rsidRPr="00F15DD4">
              <w:rPr>
                <w:rFonts w:ascii="Arial" w:eastAsiaTheme="minorEastAsia" w:hAnsi="Arial" w:cs="Arial"/>
                <w:color w:val="000000"/>
                <w:sz w:val="18"/>
                <w:szCs w:val="18"/>
                <w:lang w:val="es-CO" w:eastAsia="ja-JP"/>
              </w:rPr>
              <w:t xml:space="preserve"> </w:t>
            </w:r>
            <w:proofErr w:type="spellStart"/>
            <w:r w:rsidRPr="00F15DD4">
              <w:rPr>
                <w:rFonts w:ascii="Arial" w:eastAsiaTheme="minorEastAsia" w:hAnsi="Arial" w:cs="Arial"/>
                <w:color w:val="000000"/>
                <w:sz w:val="18"/>
                <w:szCs w:val="18"/>
                <w:lang w:val="es-CO" w:eastAsia="ja-JP"/>
              </w:rPr>
              <w:t>For</w:t>
            </w:r>
            <w:proofErr w:type="spellEnd"/>
          </w:p>
        </w:tc>
      </w:tr>
      <w:tr w:rsidR="00F15DD4" w:rsidRPr="00F15DD4" w14:paraId="5DC6E349" w14:textId="77777777" w:rsidTr="00000DA2">
        <w:tblPrEx>
          <w:tblCellMar>
            <w:top w:w="0" w:type="dxa"/>
            <w:bottom w:w="0" w:type="dxa"/>
          </w:tblCellMar>
        </w:tblPrEx>
        <w:trPr>
          <w:cantSplit/>
          <w:jc w:val="center"/>
        </w:trPr>
        <w:tc>
          <w:tcPr>
            <w:tcW w:w="1223" w:type="dxa"/>
            <w:vMerge/>
            <w:tcBorders>
              <w:top w:val="single" w:sz="16" w:space="0" w:color="000000"/>
              <w:left w:val="single" w:sz="16" w:space="0" w:color="000000"/>
              <w:bottom w:val="nil"/>
              <w:right w:val="single" w:sz="16" w:space="0" w:color="000000"/>
            </w:tcBorders>
            <w:shd w:val="clear" w:color="auto" w:fill="FFFFFF"/>
            <w:vAlign w:val="bottom"/>
          </w:tcPr>
          <w:p w14:paraId="41C8704B"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vMerge/>
            <w:tcBorders>
              <w:top w:val="single" w:sz="16" w:space="0" w:color="000000"/>
              <w:left w:val="single" w:sz="16" w:space="0" w:color="000000"/>
            </w:tcBorders>
            <w:shd w:val="clear" w:color="auto" w:fill="FFFFFF"/>
            <w:vAlign w:val="bottom"/>
          </w:tcPr>
          <w:p w14:paraId="4188C8A9" w14:textId="77777777" w:rsidR="00F15DD4" w:rsidRPr="00F15DD4" w:rsidRDefault="00F15DD4" w:rsidP="00F15DD4">
            <w:pPr>
              <w:autoSpaceDE w:val="0"/>
              <w:autoSpaceDN w:val="0"/>
              <w:adjustRightInd w:val="0"/>
              <w:rPr>
                <w:rFonts w:ascii="Arial" w:eastAsiaTheme="minorEastAsia" w:hAnsi="Arial" w:cs="Arial"/>
                <w:color w:val="000000"/>
                <w:sz w:val="18"/>
                <w:szCs w:val="18"/>
                <w:lang w:val="es-CO" w:eastAsia="ja-JP"/>
              </w:rPr>
            </w:pPr>
          </w:p>
        </w:tc>
        <w:tc>
          <w:tcPr>
            <w:tcW w:w="1469" w:type="dxa"/>
            <w:tcBorders>
              <w:bottom w:val="single" w:sz="16" w:space="0" w:color="000000"/>
            </w:tcBorders>
            <w:shd w:val="clear" w:color="auto" w:fill="FFFFFF"/>
            <w:vAlign w:val="bottom"/>
          </w:tcPr>
          <w:p w14:paraId="3786C5F3"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Total (</w:t>
            </w:r>
            <w:proofErr w:type="spellStart"/>
            <w:r w:rsidRPr="00F15DD4">
              <w:rPr>
                <w:rFonts w:ascii="Arial" w:eastAsiaTheme="minorEastAsia" w:hAnsi="Arial" w:cs="Arial"/>
                <w:color w:val="000000"/>
                <w:sz w:val="18"/>
                <w:szCs w:val="18"/>
                <w:lang w:val="es-CO" w:eastAsia="ja-JP"/>
              </w:rPr>
              <w:t>Eigenvalue</w:t>
            </w:r>
            <w:proofErr w:type="spellEnd"/>
            <w:r w:rsidRPr="00F15DD4">
              <w:rPr>
                <w:rFonts w:ascii="Arial" w:eastAsiaTheme="minorEastAsia" w:hAnsi="Arial" w:cs="Arial"/>
                <w:color w:val="000000"/>
                <w:sz w:val="18"/>
                <w:szCs w:val="18"/>
                <w:lang w:val="es-CO" w:eastAsia="ja-JP"/>
              </w:rPr>
              <w:t>)</w:t>
            </w:r>
          </w:p>
        </w:tc>
        <w:tc>
          <w:tcPr>
            <w:tcW w:w="1131" w:type="dxa"/>
            <w:tcBorders>
              <w:bottom w:val="single" w:sz="16" w:space="0" w:color="000000"/>
              <w:right w:val="single" w:sz="16" w:space="0" w:color="000000"/>
            </w:tcBorders>
            <w:shd w:val="clear" w:color="auto" w:fill="FFFFFF"/>
            <w:vAlign w:val="bottom"/>
          </w:tcPr>
          <w:p w14:paraId="4864CADA" w14:textId="77777777" w:rsidR="00F15DD4" w:rsidRPr="00F15DD4" w:rsidRDefault="00F15DD4" w:rsidP="00F15DD4">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F15DD4">
              <w:rPr>
                <w:rFonts w:ascii="Arial" w:eastAsiaTheme="minorEastAsia" w:hAnsi="Arial" w:cs="Arial"/>
                <w:color w:val="000000"/>
                <w:sz w:val="18"/>
                <w:szCs w:val="18"/>
                <w:lang w:val="es-CO" w:eastAsia="ja-JP"/>
              </w:rPr>
              <w:t>Inertia</w:t>
            </w:r>
            <w:proofErr w:type="spellEnd"/>
          </w:p>
        </w:tc>
      </w:tr>
      <w:tr w:rsidR="00F15DD4" w:rsidRPr="00F15DD4" w14:paraId="6D4F6303" w14:textId="77777777" w:rsidTr="00000DA2">
        <w:tblPrEx>
          <w:tblCellMar>
            <w:top w:w="0" w:type="dxa"/>
            <w:bottom w:w="0" w:type="dxa"/>
          </w:tblCellMar>
        </w:tblPrEx>
        <w:trPr>
          <w:cantSplit/>
          <w:jc w:val="center"/>
        </w:trPr>
        <w:tc>
          <w:tcPr>
            <w:tcW w:w="1223" w:type="dxa"/>
            <w:tcBorders>
              <w:top w:val="single" w:sz="16" w:space="0" w:color="000000"/>
              <w:left w:val="single" w:sz="16" w:space="0" w:color="000000"/>
              <w:bottom w:val="nil"/>
              <w:right w:val="single" w:sz="16" w:space="0" w:color="000000"/>
            </w:tcBorders>
            <w:shd w:val="clear" w:color="auto" w:fill="FFFFFF"/>
          </w:tcPr>
          <w:p w14:paraId="320A5C69"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1</w:t>
            </w:r>
          </w:p>
        </w:tc>
        <w:tc>
          <w:tcPr>
            <w:tcW w:w="1469" w:type="dxa"/>
            <w:tcBorders>
              <w:top w:val="single" w:sz="16" w:space="0" w:color="000000"/>
              <w:left w:val="single" w:sz="16" w:space="0" w:color="000000"/>
              <w:bottom w:val="nil"/>
            </w:tcBorders>
            <w:shd w:val="clear" w:color="auto" w:fill="FFFFFF"/>
            <w:vAlign w:val="center"/>
          </w:tcPr>
          <w:p w14:paraId="5287E968"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.907</w:t>
            </w:r>
          </w:p>
        </w:tc>
        <w:tc>
          <w:tcPr>
            <w:tcW w:w="1469" w:type="dxa"/>
            <w:tcBorders>
              <w:top w:val="single" w:sz="16" w:space="0" w:color="000000"/>
              <w:bottom w:val="nil"/>
            </w:tcBorders>
            <w:shd w:val="clear" w:color="auto" w:fill="FFFFFF"/>
            <w:vAlign w:val="center"/>
          </w:tcPr>
          <w:p w14:paraId="43121CA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5.438</w:t>
            </w:r>
          </w:p>
        </w:tc>
        <w:tc>
          <w:tcPr>
            <w:tcW w:w="1131" w:type="dxa"/>
            <w:tcBorders>
              <w:top w:val="single" w:sz="16" w:space="0" w:color="000000"/>
              <w:bottom w:val="nil"/>
              <w:right w:val="single" w:sz="16" w:space="0" w:color="000000"/>
            </w:tcBorders>
            <w:shd w:val="clear" w:color="auto" w:fill="FFFFFF"/>
            <w:vAlign w:val="center"/>
          </w:tcPr>
          <w:p w14:paraId="28E17B99"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.544</w:t>
            </w:r>
          </w:p>
        </w:tc>
      </w:tr>
      <w:tr w:rsidR="00F15DD4" w:rsidRPr="00F15DD4" w14:paraId="1822866D" w14:textId="77777777" w:rsidTr="00000DA2">
        <w:tblPrEx>
          <w:tblCellMar>
            <w:top w:w="0" w:type="dxa"/>
            <w:bottom w:w="0" w:type="dxa"/>
          </w:tblCellMar>
        </w:tblPrEx>
        <w:trPr>
          <w:cantSplit/>
          <w:jc w:val="center"/>
        </w:trPr>
        <w:tc>
          <w:tcPr>
            <w:tcW w:w="1223" w:type="dxa"/>
            <w:tcBorders>
              <w:top w:val="nil"/>
              <w:left w:val="single" w:sz="16" w:space="0" w:color="000000"/>
              <w:bottom w:val="nil"/>
              <w:right w:val="single" w:sz="16" w:space="0" w:color="000000"/>
            </w:tcBorders>
            <w:shd w:val="clear" w:color="auto" w:fill="FFFFFF"/>
          </w:tcPr>
          <w:p w14:paraId="1996606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2</w:t>
            </w:r>
          </w:p>
        </w:tc>
        <w:tc>
          <w:tcPr>
            <w:tcW w:w="1469" w:type="dxa"/>
            <w:tcBorders>
              <w:top w:val="nil"/>
              <w:left w:val="single" w:sz="16" w:space="0" w:color="000000"/>
              <w:bottom w:val="nil"/>
            </w:tcBorders>
            <w:shd w:val="clear" w:color="auto" w:fill="FFFFFF"/>
            <w:vAlign w:val="center"/>
          </w:tcPr>
          <w:p w14:paraId="38FD221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.815</w:t>
            </w:r>
          </w:p>
        </w:tc>
        <w:tc>
          <w:tcPr>
            <w:tcW w:w="1469" w:type="dxa"/>
            <w:tcBorders>
              <w:top w:val="nil"/>
              <w:bottom w:val="nil"/>
            </w:tcBorders>
            <w:shd w:val="clear" w:color="auto" w:fill="FFFFFF"/>
            <w:vAlign w:val="center"/>
          </w:tcPr>
          <w:p w14:paraId="6210A710"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3.753</w:t>
            </w:r>
          </w:p>
        </w:tc>
        <w:tc>
          <w:tcPr>
            <w:tcW w:w="1131" w:type="dxa"/>
            <w:tcBorders>
              <w:top w:val="nil"/>
              <w:bottom w:val="nil"/>
              <w:right w:val="single" w:sz="16" w:space="0" w:color="000000"/>
            </w:tcBorders>
            <w:shd w:val="clear" w:color="auto" w:fill="FFFFFF"/>
            <w:vAlign w:val="center"/>
          </w:tcPr>
          <w:p w14:paraId="33E5F631"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.375</w:t>
            </w:r>
          </w:p>
        </w:tc>
      </w:tr>
      <w:tr w:rsidR="00F15DD4" w:rsidRPr="00F15DD4" w14:paraId="6FBA0E1F" w14:textId="77777777" w:rsidTr="00000DA2">
        <w:tblPrEx>
          <w:tblCellMar>
            <w:top w:w="0" w:type="dxa"/>
            <w:bottom w:w="0" w:type="dxa"/>
          </w:tblCellMar>
        </w:tblPrEx>
        <w:trPr>
          <w:cantSplit/>
          <w:jc w:val="center"/>
        </w:trPr>
        <w:tc>
          <w:tcPr>
            <w:tcW w:w="1223" w:type="dxa"/>
            <w:tcBorders>
              <w:top w:val="nil"/>
              <w:left w:val="single" w:sz="16" w:space="0" w:color="000000"/>
              <w:bottom w:val="nil"/>
              <w:right w:val="single" w:sz="16" w:space="0" w:color="000000"/>
            </w:tcBorders>
            <w:shd w:val="clear" w:color="auto" w:fill="FFFFFF"/>
          </w:tcPr>
          <w:p w14:paraId="7F8BC827"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lastRenderedPageBreak/>
              <w:t>Total</w:t>
            </w:r>
          </w:p>
        </w:tc>
        <w:tc>
          <w:tcPr>
            <w:tcW w:w="1469" w:type="dxa"/>
            <w:tcBorders>
              <w:top w:val="nil"/>
              <w:left w:val="single" w:sz="16" w:space="0" w:color="000000"/>
              <w:bottom w:val="nil"/>
            </w:tcBorders>
            <w:shd w:val="clear" w:color="auto" w:fill="FFFFFF"/>
            <w:vAlign w:val="center"/>
          </w:tcPr>
          <w:p w14:paraId="308A8817" w14:textId="77777777" w:rsidR="00F15DD4" w:rsidRPr="00F15DD4" w:rsidRDefault="00F15DD4" w:rsidP="00F15DD4">
            <w:pPr>
              <w:autoSpaceDE w:val="0"/>
              <w:autoSpaceDN w:val="0"/>
              <w:adjustRightInd w:val="0"/>
              <w:rPr>
                <w:rFonts w:eastAsiaTheme="minorEastAsia"/>
                <w:lang w:val="es-CO" w:eastAsia="ja-JP"/>
              </w:rPr>
            </w:pPr>
          </w:p>
        </w:tc>
        <w:tc>
          <w:tcPr>
            <w:tcW w:w="1469" w:type="dxa"/>
            <w:tcBorders>
              <w:top w:val="nil"/>
              <w:bottom w:val="nil"/>
            </w:tcBorders>
            <w:shd w:val="clear" w:color="auto" w:fill="FFFFFF"/>
            <w:vAlign w:val="center"/>
          </w:tcPr>
          <w:p w14:paraId="4D93A103"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9.190</w:t>
            </w:r>
          </w:p>
        </w:tc>
        <w:tc>
          <w:tcPr>
            <w:tcW w:w="1131" w:type="dxa"/>
            <w:tcBorders>
              <w:top w:val="nil"/>
              <w:bottom w:val="nil"/>
              <w:right w:val="single" w:sz="16" w:space="0" w:color="000000"/>
            </w:tcBorders>
            <w:shd w:val="clear" w:color="auto" w:fill="FFFFFF"/>
            <w:vAlign w:val="center"/>
          </w:tcPr>
          <w:p w14:paraId="3394D4F2"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highlight w:val="green"/>
                <w:lang w:val="es-CO" w:eastAsia="ja-JP"/>
              </w:rPr>
              <w:t>.919</w:t>
            </w:r>
          </w:p>
        </w:tc>
      </w:tr>
      <w:tr w:rsidR="00F15DD4" w:rsidRPr="00F15DD4" w14:paraId="56FC7744" w14:textId="77777777" w:rsidTr="00000DA2">
        <w:tblPrEx>
          <w:tblCellMar>
            <w:top w:w="0" w:type="dxa"/>
            <w:bottom w:w="0" w:type="dxa"/>
          </w:tblCellMar>
        </w:tblPrEx>
        <w:trPr>
          <w:cantSplit/>
          <w:jc w:val="center"/>
        </w:trPr>
        <w:tc>
          <w:tcPr>
            <w:tcW w:w="1223" w:type="dxa"/>
            <w:tcBorders>
              <w:top w:val="nil"/>
              <w:left w:val="single" w:sz="16" w:space="0" w:color="000000"/>
              <w:bottom w:val="single" w:sz="16" w:space="0" w:color="000000"/>
              <w:right w:val="single" w:sz="16" w:space="0" w:color="000000"/>
            </w:tcBorders>
            <w:shd w:val="clear" w:color="auto" w:fill="FFFFFF"/>
          </w:tcPr>
          <w:p w14:paraId="4FBC9CAB"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Mean</w:t>
            </w:r>
          </w:p>
        </w:tc>
        <w:tc>
          <w:tcPr>
            <w:tcW w:w="1469" w:type="dxa"/>
            <w:tcBorders>
              <w:top w:val="nil"/>
              <w:left w:val="single" w:sz="16" w:space="0" w:color="000000"/>
              <w:bottom w:val="single" w:sz="16" w:space="0" w:color="000000"/>
            </w:tcBorders>
            <w:shd w:val="clear" w:color="auto" w:fill="FFFFFF"/>
            <w:vAlign w:val="center"/>
          </w:tcPr>
          <w:p w14:paraId="11D32B0F"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.869</w:t>
            </w:r>
            <w:r w:rsidRPr="00F15DD4">
              <w:rPr>
                <w:rFonts w:ascii="Arial" w:eastAsiaTheme="minorEastAsia" w:hAnsi="Arial" w:cs="Arial"/>
                <w:color w:val="000000"/>
                <w:sz w:val="18"/>
                <w:szCs w:val="18"/>
                <w:vertAlign w:val="superscript"/>
                <w:lang w:val="es-CO" w:eastAsia="ja-JP"/>
              </w:rPr>
              <w:t>a</w:t>
            </w:r>
          </w:p>
        </w:tc>
        <w:tc>
          <w:tcPr>
            <w:tcW w:w="1469" w:type="dxa"/>
            <w:tcBorders>
              <w:top w:val="nil"/>
              <w:bottom w:val="single" w:sz="16" w:space="0" w:color="000000"/>
            </w:tcBorders>
            <w:shd w:val="clear" w:color="auto" w:fill="FFFFFF"/>
            <w:vAlign w:val="center"/>
          </w:tcPr>
          <w:p w14:paraId="6D27973E"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4.595</w:t>
            </w:r>
          </w:p>
        </w:tc>
        <w:tc>
          <w:tcPr>
            <w:tcW w:w="1131" w:type="dxa"/>
            <w:tcBorders>
              <w:top w:val="nil"/>
              <w:bottom w:val="single" w:sz="16" w:space="0" w:color="000000"/>
              <w:right w:val="single" w:sz="16" w:space="0" w:color="000000"/>
            </w:tcBorders>
            <w:shd w:val="clear" w:color="auto" w:fill="FFFFFF"/>
            <w:vAlign w:val="center"/>
          </w:tcPr>
          <w:p w14:paraId="22E21997" w14:textId="77777777" w:rsidR="00F15DD4" w:rsidRPr="00F15DD4" w:rsidRDefault="00F15DD4" w:rsidP="00F15DD4">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F15DD4">
              <w:rPr>
                <w:rFonts w:ascii="Arial" w:eastAsiaTheme="minorEastAsia" w:hAnsi="Arial" w:cs="Arial"/>
                <w:color w:val="000000"/>
                <w:sz w:val="18"/>
                <w:szCs w:val="18"/>
                <w:lang w:val="es-CO" w:eastAsia="ja-JP"/>
              </w:rPr>
              <w:t>.460</w:t>
            </w:r>
          </w:p>
        </w:tc>
      </w:tr>
      <w:tr w:rsidR="00F15DD4" w:rsidRPr="00F15DD4" w14:paraId="5A5AF146" w14:textId="77777777" w:rsidTr="00000DA2">
        <w:tblPrEx>
          <w:tblCellMar>
            <w:top w:w="0" w:type="dxa"/>
            <w:bottom w:w="0" w:type="dxa"/>
          </w:tblCellMar>
        </w:tblPrEx>
        <w:trPr>
          <w:cantSplit/>
          <w:jc w:val="center"/>
        </w:trPr>
        <w:tc>
          <w:tcPr>
            <w:tcW w:w="5292" w:type="dxa"/>
            <w:gridSpan w:val="4"/>
            <w:tcBorders>
              <w:top w:val="nil"/>
              <w:left w:val="nil"/>
              <w:bottom w:val="nil"/>
              <w:right w:val="nil"/>
            </w:tcBorders>
            <w:shd w:val="clear" w:color="auto" w:fill="FFFFFF"/>
          </w:tcPr>
          <w:p w14:paraId="2E785B7F" w14:textId="77777777" w:rsidR="00F15DD4" w:rsidRPr="00F15DD4" w:rsidRDefault="00F15DD4" w:rsidP="00F15DD4">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F15DD4">
              <w:rPr>
                <w:rFonts w:ascii="Arial" w:eastAsiaTheme="minorEastAsia" w:hAnsi="Arial" w:cs="Arial"/>
                <w:color w:val="000000"/>
                <w:sz w:val="18"/>
                <w:szCs w:val="18"/>
                <w:lang w:val="en-US" w:eastAsia="ja-JP"/>
              </w:rPr>
              <w:t xml:space="preserve">a. Mean Cronbach's Alpha </w:t>
            </w:r>
            <w:proofErr w:type="gramStart"/>
            <w:r w:rsidRPr="00F15DD4">
              <w:rPr>
                <w:rFonts w:ascii="Arial" w:eastAsiaTheme="minorEastAsia" w:hAnsi="Arial" w:cs="Arial"/>
                <w:color w:val="000000"/>
                <w:sz w:val="18"/>
                <w:szCs w:val="18"/>
                <w:lang w:val="en-US" w:eastAsia="ja-JP"/>
              </w:rPr>
              <w:t>is based</w:t>
            </w:r>
            <w:proofErr w:type="gramEnd"/>
            <w:r w:rsidRPr="00F15DD4">
              <w:rPr>
                <w:rFonts w:ascii="Arial" w:eastAsiaTheme="minorEastAsia" w:hAnsi="Arial" w:cs="Arial"/>
                <w:color w:val="000000"/>
                <w:sz w:val="18"/>
                <w:szCs w:val="18"/>
                <w:lang w:val="en-US" w:eastAsia="ja-JP"/>
              </w:rPr>
              <w:t xml:space="preserve"> on the mean Eigenvalue.</w:t>
            </w:r>
          </w:p>
        </w:tc>
      </w:tr>
    </w:tbl>
    <w:p w14:paraId="6DE6F7F9" w14:textId="77777777" w:rsidR="00F15DD4" w:rsidRPr="00F15DD4" w:rsidRDefault="00F15DD4" w:rsidP="00F15DD4">
      <w:pPr>
        <w:autoSpaceDE w:val="0"/>
        <w:autoSpaceDN w:val="0"/>
        <w:adjustRightInd w:val="0"/>
        <w:spacing w:line="400" w:lineRule="atLeast"/>
        <w:rPr>
          <w:rFonts w:eastAsiaTheme="minorEastAsia"/>
          <w:lang w:val="en-US" w:eastAsia="ja-JP"/>
        </w:rPr>
      </w:pPr>
    </w:p>
    <w:p w14:paraId="2D72C388" w14:textId="3544CDD6" w:rsidR="00F15DD4" w:rsidRPr="00000DA2" w:rsidRDefault="00000DA2"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t>Como se puede observar en la Tabla 7</w:t>
      </w:r>
      <w:r>
        <w:rPr>
          <w:rFonts w:eastAsiaTheme="minorEastAsia"/>
          <w:lang w:val="es-CO" w:eastAsia="ja-JP"/>
        </w:rPr>
        <w:t>, la variabilidad explicada por la primera componente corresponde a 54.4%, mientras la segunda componente discrimina un 37.5% del total. Esto indica que por medio de estas dos dimensiones se logra explicar los patrones de comportamiento implícitos</w:t>
      </w:r>
      <w:r w:rsidR="002610B2">
        <w:rPr>
          <w:rFonts w:eastAsiaTheme="minorEastAsia"/>
          <w:lang w:val="es-CO" w:eastAsia="ja-JP"/>
        </w:rPr>
        <w:t xml:space="preserve"> u ocultos</w:t>
      </w:r>
      <w:r>
        <w:rPr>
          <w:rFonts w:eastAsiaTheme="minorEastAsia"/>
          <w:lang w:val="es-CO" w:eastAsia="ja-JP"/>
        </w:rPr>
        <w:t xml:space="preserve"> en la totalidad de la tabla.</w:t>
      </w:r>
    </w:p>
    <w:p w14:paraId="737DEB99" w14:textId="77777777" w:rsidR="00000DA2" w:rsidRDefault="00000DA2" w:rsidP="005343AF">
      <w:pPr>
        <w:autoSpaceDE w:val="0"/>
        <w:autoSpaceDN w:val="0"/>
        <w:adjustRightInd w:val="0"/>
        <w:spacing w:line="400" w:lineRule="atLeast"/>
        <w:jc w:val="both"/>
        <w:rPr>
          <w:rFonts w:eastAsiaTheme="minorEastAsia"/>
          <w:lang w:val="es-CO" w:eastAsia="ja-JP"/>
        </w:rPr>
      </w:pPr>
    </w:p>
    <w:p w14:paraId="706C53C4" w14:textId="77777777" w:rsidR="006D413B" w:rsidRDefault="00000DA2" w:rsidP="006D413B">
      <w:pPr>
        <w:keepNext/>
        <w:autoSpaceDE w:val="0"/>
        <w:autoSpaceDN w:val="0"/>
        <w:adjustRightInd w:val="0"/>
      </w:pPr>
      <w:r>
        <w:rPr>
          <w:rFonts w:eastAsiaTheme="minorEastAsia"/>
          <w:noProof/>
          <w:lang w:val="es-CO" w:eastAsia="es-CO"/>
        </w:rPr>
        <w:drawing>
          <wp:inline distT="0" distB="0" distL="0" distR="0" wp14:anchorId="2B5C8895" wp14:editId="43F1DAE8">
            <wp:extent cx="5943600" cy="456319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3992"/>
                    <a:stretch/>
                  </pic:blipFill>
                  <pic:spPr bwMode="auto">
                    <a:xfrm>
                      <a:off x="0" y="0"/>
                      <a:ext cx="5943600" cy="4563194"/>
                    </a:xfrm>
                    <a:prstGeom prst="rect">
                      <a:avLst/>
                    </a:prstGeom>
                    <a:noFill/>
                    <a:ln>
                      <a:noFill/>
                    </a:ln>
                    <a:extLst>
                      <a:ext uri="{53640926-AAD7-44D8-BBD7-CCE9431645EC}">
                        <a14:shadowObscured xmlns:a14="http://schemas.microsoft.com/office/drawing/2010/main"/>
                      </a:ext>
                    </a:extLst>
                  </pic:spPr>
                </pic:pic>
              </a:graphicData>
            </a:graphic>
          </wp:inline>
        </w:drawing>
      </w:r>
    </w:p>
    <w:p w14:paraId="17F09958" w14:textId="7785B1FF" w:rsidR="00000DA2" w:rsidRDefault="006D413B" w:rsidP="006D413B">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6</w:t>
      </w:r>
      <w:r>
        <w:fldChar w:fldCharType="end"/>
      </w:r>
      <w:r>
        <w:t>. Nube de individuos sobre las dos componentes principales calculadas</w:t>
      </w:r>
    </w:p>
    <w:p w14:paraId="458ECF18" w14:textId="4CA6E685" w:rsidR="00000DA2" w:rsidRDefault="006D413B"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En la Figura 6, se presenta la nube de individuos etiquetada por el respectivo consecutivo </w:t>
      </w:r>
      <w:r w:rsidR="002610B2">
        <w:rPr>
          <w:rFonts w:eastAsiaTheme="minorEastAsia"/>
          <w:lang w:val="es-CO" w:eastAsia="ja-JP"/>
        </w:rPr>
        <w:t>de</w:t>
      </w:r>
      <w:r>
        <w:rPr>
          <w:rFonts w:eastAsiaTheme="minorEastAsia"/>
          <w:lang w:val="es-CO" w:eastAsia="ja-JP"/>
        </w:rPr>
        <w:t xml:space="preserve"> la encuesta. Aquí l</w:t>
      </w:r>
      <w:r w:rsidR="00000DA2">
        <w:rPr>
          <w:rFonts w:eastAsiaTheme="minorEastAsia"/>
          <w:lang w:val="es-CO" w:eastAsia="ja-JP"/>
        </w:rPr>
        <w:t xml:space="preserve">a distancia de un individuo al origen (punto 0,0) refleja la variación del patrón de respuesta común, es decir, del patrón de respuesta que asumen la mayoría de los encuestados. </w:t>
      </w:r>
      <w:r>
        <w:rPr>
          <w:rFonts w:eastAsiaTheme="minorEastAsia"/>
          <w:lang w:val="es-CO" w:eastAsia="ja-JP"/>
        </w:rPr>
        <w:t>El patrón de respuesta común o promedio corresponde a la categoría más frecuente para cada variable.</w:t>
      </w:r>
      <w:r w:rsidR="002610B2">
        <w:rPr>
          <w:rFonts w:eastAsiaTheme="minorEastAsia"/>
          <w:lang w:val="es-CO" w:eastAsia="ja-JP"/>
        </w:rPr>
        <w:t xml:space="preserve"> No obstante, como se observa en la Figura 6 se presentan variaciones de individuos en las diferentes direcciones del gráfico.</w:t>
      </w:r>
      <w:bookmarkStart w:id="3" w:name="_GoBack"/>
      <w:bookmarkEnd w:id="3"/>
    </w:p>
    <w:p w14:paraId="15D6FB93" w14:textId="77777777" w:rsidR="00000DA2" w:rsidRPr="00000DA2" w:rsidRDefault="00000DA2" w:rsidP="005343AF">
      <w:pPr>
        <w:autoSpaceDE w:val="0"/>
        <w:autoSpaceDN w:val="0"/>
        <w:adjustRightInd w:val="0"/>
        <w:spacing w:line="400" w:lineRule="atLeast"/>
        <w:jc w:val="both"/>
        <w:rPr>
          <w:rFonts w:eastAsiaTheme="minorEastAsia"/>
          <w:lang w:val="es-CO" w:eastAsia="ja-JP"/>
        </w:rPr>
      </w:pPr>
    </w:p>
    <w:p w14:paraId="488EDF48" w14:textId="4548D3CB" w:rsidR="007E4887" w:rsidRDefault="008C6FEC" w:rsidP="005343AF">
      <w:pPr>
        <w:autoSpaceDE w:val="0"/>
        <w:autoSpaceDN w:val="0"/>
        <w:adjustRightInd w:val="0"/>
        <w:spacing w:line="400" w:lineRule="atLeast"/>
        <w:jc w:val="both"/>
        <w:rPr>
          <w:rFonts w:eastAsiaTheme="minorEastAsia"/>
          <w:lang w:val="es-CO" w:eastAsia="ja-JP"/>
        </w:rPr>
      </w:pPr>
      <w:r w:rsidRPr="00000DA2">
        <w:rPr>
          <w:rFonts w:eastAsiaTheme="minorEastAsia"/>
          <w:lang w:val="es-CO" w:eastAsia="ja-JP"/>
        </w:rPr>
        <w:lastRenderedPageBreak/>
        <w:t xml:space="preserve"> </w:t>
      </w:r>
      <w:proofErr w:type="gramStart"/>
      <w:r>
        <w:rPr>
          <w:rFonts w:eastAsiaTheme="minorEastAsia"/>
          <w:lang w:val="es-CO" w:eastAsia="ja-JP"/>
        </w:rPr>
        <w:t>son</w:t>
      </w:r>
      <w:proofErr w:type="gramEnd"/>
      <w:r>
        <w:rPr>
          <w:rFonts w:eastAsiaTheme="minorEastAsia"/>
          <w:lang w:val="es-CO" w:eastAsia="ja-JP"/>
        </w:rPr>
        <w:t xml:space="preserve"> preliminares con mejoras en la clasificación de las variables y son resultados</w:t>
      </w:r>
      <w:r w:rsidR="005343AF">
        <w:rPr>
          <w:rFonts w:eastAsiaTheme="minorEastAsia"/>
          <w:lang w:val="es-CO" w:eastAsia="ja-JP"/>
        </w:rPr>
        <w:t xml:space="preserve"> obtenidos</w:t>
      </w:r>
      <w:r>
        <w:rPr>
          <w:rFonts w:eastAsiaTheme="minorEastAsia"/>
          <w:lang w:val="es-CO" w:eastAsia="ja-JP"/>
        </w:rPr>
        <w:t xml:space="preserve"> en el software estad</w:t>
      </w:r>
      <w:r w:rsidR="005343AF">
        <w:rPr>
          <w:rFonts w:eastAsiaTheme="minorEastAsia"/>
          <w:lang w:val="es-CO" w:eastAsia="ja-JP"/>
        </w:rPr>
        <w:t>ístico R. En el momento ya he realizado corridas en SPSS del mismo análisis y he encontrado resultados similares. No obstante me gusta tener los dos resultados como punto de comparación.</w:t>
      </w:r>
    </w:p>
    <w:p w14:paraId="352B1684" w14:textId="77777777" w:rsidR="00E34712" w:rsidRDefault="00E34712" w:rsidP="005343AF">
      <w:pPr>
        <w:autoSpaceDE w:val="0"/>
        <w:autoSpaceDN w:val="0"/>
        <w:adjustRightInd w:val="0"/>
        <w:spacing w:line="400" w:lineRule="atLeast"/>
        <w:jc w:val="both"/>
        <w:rPr>
          <w:rFonts w:eastAsiaTheme="minorEastAsia"/>
          <w:lang w:val="es-CO" w:eastAsia="ja-JP"/>
        </w:rPr>
      </w:pPr>
    </w:p>
    <w:p w14:paraId="510B96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448E10F9"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92DF042" w14:textId="77777777" w:rsidR="00E34712" w:rsidRDefault="00E34712" w:rsidP="005343AF">
      <w:pPr>
        <w:autoSpaceDE w:val="0"/>
        <w:autoSpaceDN w:val="0"/>
        <w:adjustRightInd w:val="0"/>
        <w:spacing w:line="400" w:lineRule="atLeast"/>
        <w:jc w:val="both"/>
        <w:rPr>
          <w:rFonts w:eastAsiaTheme="minorEastAsia"/>
          <w:lang w:val="es-CO" w:eastAsia="ja-JP"/>
        </w:rPr>
      </w:pPr>
    </w:p>
    <w:p w14:paraId="1266D89D" w14:textId="77777777" w:rsidR="00E34712" w:rsidRDefault="00E34712" w:rsidP="005343AF">
      <w:pPr>
        <w:autoSpaceDE w:val="0"/>
        <w:autoSpaceDN w:val="0"/>
        <w:adjustRightInd w:val="0"/>
        <w:spacing w:line="400" w:lineRule="atLeast"/>
        <w:jc w:val="both"/>
        <w:rPr>
          <w:rFonts w:eastAsiaTheme="minorEastAsia"/>
          <w:lang w:val="es-CO" w:eastAsia="ja-JP"/>
        </w:rPr>
      </w:pPr>
    </w:p>
    <w:p w14:paraId="0E90C133" w14:textId="77777777" w:rsidR="00E34712" w:rsidRDefault="00E34712" w:rsidP="005343AF">
      <w:pPr>
        <w:autoSpaceDE w:val="0"/>
        <w:autoSpaceDN w:val="0"/>
        <w:adjustRightInd w:val="0"/>
        <w:spacing w:line="400" w:lineRule="atLeast"/>
        <w:jc w:val="both"/>
        <w:rPr>
          <w:rFonts w:eastAsiaTheme="minorEastAsia"/>
          <w:lang w:val="es-CO" w:eastAsia="ja-JP"/>
        </w:rPr>
      </w:pPr>
    </w:p>
    <w:p w14:paraId="76DD77E6" w14:textId="44A0D163"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w:t>
      </w:r>
      <w:r>
        <w:rPr>
          <w:rFonts w:eastAsiaTheme="minorEastAsia"/>
          <w:lang w:val="es-CO" w:eastAsia="ja-JP"/>
        </w:rPr>
        <w:t>. Los puntos que se alejan del centro de la nube corresponden a los casos con puntajes AUDIT más elevados y son los casos de interés a explicar en los análisis posteriores.</w:t>
      </w:r>
    </w:p>
    <w:p w14:paraId="625083E9" w14:textId="294DA4F9"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66F6AD5" w14:textId="77C5E41D" w:rsidR="005343AF" w:rsidRDefault="00E34712" w:rsidP="005343AF">
      <w:pPr>
        <w:autoSpaceDE w:val="0"/>
        <w:autoSpaceDN w:val="0"/>
        <w:adjustRightInd w:val="0"/>
        <w:spacing w:line="400" w:lineRule="atLeast"/>
        <w:jc w:val="both"/>
        <w:rPr>
          <w:rFonts w:eastAsiaTheme="minorEastAsia"/>
          <w:lang w:val="es-CO" w:eastAsia="ja-JP"/>
        </w:rPr>
      </w:pPr>
      <w:r>
        <w:rPr>
          <w:noProof/>
          <w:lang w:val="es-CO" w:eastAsia="es-CO"/>
        </w:rPr>
        <w:drawing>
          <wp:inline distT="0" distB="0" distL="0" distR="0" wp14:anchorId="7DCD2DDC" wp14:editId="684188D4">
            <wp:extent cx="5727700" cy="34848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484880"/>
                    </a:xfrm>
                    <a:prstGeom prst="rect">
                      <a:avLst/>
                    </a:prstGeom>
                  </pic:spPr>
                </pic:pic>
              </a:graphicData>
            </a:graphic>
          </wp:inline>
        </w:drawing>
      </w:r>
    </w:p>
    <w:p w14:paraId="3F69BBBA" w14:textId="4329728D" w:rsidR="00E34712" w:rsidRDefault="00E34712" w:rsidP="005343AF">
      <w:pPr>
        <w:autoSpaceDE w:val="0"/>
        <w:autoSpaceDN w:val="0"/>
        <w:adjustRightInd w:val="0"/>
        <w:spacing w:line="400" w:lineRule="atLeast"/>
        <w:jc w:val="both"/>
        <w:rPr>
          <w:rFonts w:eastAsiaTheme="minorEastAsia"/>
          <w:lang w:val="es-CO" w:eastAsia="ja-JP"/>
        </w:rPr>
      </w:pPr>
      <w:r w:rsidRPr="00E34712">
        <w:rPr>
          <w:rFonts w:eastAsiaTheme="minorEastAsia"/>
          <w:b/>
          <w:lang w:val="es-CO" w:eastAsia="ja-JP"/>
        </w:rPr>
        <w:t>Nube de individuos y variables</w:t>
      </w:r>
      <w:r>
        <w:rPr>
          <w:rFonts w:eastAsiaTheme="minorEastAsia"/>
          <w:lang w:val="es-CO" w:eastAsia="ja-JP"/>
        </w:rPr>
        <w:t>. En el presente gráfico se muestran los individuos (puntos azules), categorías de las variables (puntos rojos) y categorías de variables suplementarias en el análisis (puntos verdes). Aquí, las categorías que se encuentran en la misma dirección de los individuos son las que los describen.</w:t>
      </w:r>
    </w:p>
    <w:p w14:paraId="688DAB30" w14:textId="565395C0" w:rsidR="00E34712" w:rsidRDefault="00E34712" w:rsidP="005343AF">
      <w:pPr>
        <w:autoSpaceDE w:val="0"/>
        <w:autoSpaceDN w:val="0"/>
        <w:adjustRightInd w:val="0"/>
        <w:spacing w:line="400" w:lineRule="atLeast"/>
        <w:jc w:val="both"/>
        <w:rPr>
          <w:rFonts w:eastAsiaTheme="minorEastAsia"/>
          <w:lang w:val="es-CO" w:eastAsia="ja-JP"/>
        </w:rPr>
      </w:pPr>
      <w:r>
        <w:rPr>
          <w:rFonts w:eastAsiaTheme="minorEastAsia"/>
          <w:lang w:val="es-CO" w:eastAsia="ja-JP"/>
        </w:rPr>
        <w:t xml:space="preserve"> </w:t>
      </w:r>
    </w:p>
    <w:p w14:paraId="675DFDF7" w14:textId="7F37E44E" w:rsidR="005343AF" w:rsidRPr="007E4887" w:rsidRDefault="00EE65B1" w:rsidP="005343AF">
      <w:pPr>
        <w:autoSpaceDE w:val="0"/>
        <w:autoSpaceDN w:val="0"/>
        <w:adjustRightInd w:val="0"/>
        <w:spacing w:line="400" w:lineRule="atLeast"/>
        <w:jc w:val="both"/>
        <w:rPr>
          <w:rFonts w:eastAsiaTheme="minorEastAsia"/>
          <w:lang w:val="es-CO" w:eastAsia="ja-JP"/>
        </w:rPr>
      </w:pPr>
      <w:r>
        <w:rPr>
          <w:noProof/>
          <w:lang w:val="es-CO" w:eastAsia="es-CO"/>
        </w:rPr>
        <w:lastRenderedPageBreak/>
        <w:drawing>
          <wp:inline distT="0" distB="0" distL="0" distR="0" wp14:anchorId="1E3E7F25" wp14:editId="6501C6FF">
            <wp:extent cx="5727700" cy="348488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3484880"/>
                    </a:xfrm>
                    <a:prstGeom prst="rect">
                      <a:avLst/>
                    </a:prstGeom>
                  </pic:spPr>
                </pic:pic>
              </a:graphicData>
            </a:graphic>
          </wp:inline>
        </w:drawing>
      </w:r>
    </w:p>
    <w:p w14:paraId="49F741A4" w14:textId="77777777" w:rsidR="005F1981" w:rsidRDefault="005F1981" w:rsidP="005F1981">
      <w:pPr>
        <w:autoSpaceDE w:val="0"/>
        <w:autoSpaceDN w:val="0"/>
        <w:adjustRightInd w:val="0"/>
        <w:spacing w:line="400" w:lineRule="atLeast"/>
        <w:rPr>
          <w:rFonts w:eastAsiaTheme="minorEastAsia"/>
          <w:lang w:val="es-CO" w:eastAsia="ja-JP"/>
        </w:rPr>
      </w:pPr>
    </w:p>
    <w:p w14:paraId="2DD3C9B6" w14:textId="77777777" w:rsidR="007E4887" w:rsidRDefault="007E4887" w:rsidP="005F1981">
      <w:pPr>
        <w:autoSpaceDE w:val="0"/>
        <w:autoSpaceDN w:val="0"/>
        <w:adjustRightInd w:val="0"/>
        <w:spacing w:line="400" w:lineRule="atLeast"/>
        <w:rPr>
          <w:rFonts w:eastAsiaTheme="minorEastAsia"/>
          <w:lang w:val="es-CO" w:eastAsia="ja-JP"/>
        </w:rPr>
      </w:pPr>
    </w:p>
    <w:p w14:paraId="7FB181D5" w14:textId="77777777" w:rsidR="005343AF" w:rsidRPr="007E4887" w:rsidRDefault="005343AF" w:rsidP="005F1981">
      <w:pPr>
        <w:autoSpaceDE w:val="0"/>
        <w:autoSpaceDN w:val="0"/>
        <w:adjustRightInd w:val="0"/>
        <w:spacing w:line="400" w:lineRule="atLeast"/>
        <w:rPr>
          <w:rFonts w:eastAsiaTheme="minorEastAsia"/>
          <w:lang w:val="es-CO" w:eastAsia="ja-JP"/>
        </w:rPr>
      </w:pPr>
    </w:p>
    <w:p w14:paraId="4D9B4F15" w14:textId="77777777" w:rsidR="005F1981" w:rsidRPr="007E4887" w:rsidRDefault="005F1981" w:rsidP="00CA6A43">
      <w:pPr>
        <w:spacing w:line="480" w:lineRule="auto"/>
        <w:jc w:val="both"/>
        <w:rPr>
          <w:color w:val="000000" w:themeColor="text1"/>
          <w:lang w:val="es-CO"/>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w:t>
      </w:r>
      <w:r w:rsidRPr="00CA6A43">
        <w:rPr>
          <w:color w:val="000000" w:themeColor="text1"/>
        </w:rPr>
        <w:lastRenderedPageBreak/>
        <w:t xml:space="preserve">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w:t>
      </w:r>
      <w:r w:rsidRPr="00CA6A43">
        <w:rPr>
          <w:color w:val="000000" w:themeColor="text1"/>
        </w:rPr>
        <w:lastRenderedPageBreak/>
        <w:t>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proofErr w:type="spellStart"/>
      <w:r w:rsidRPr="00F15DD4">
        <w:rPr>
          <w:lang w:val="es-CO"/>
        </w:rPr>
        <w:t>Daley</w:t>
      </w:r>
      <w:proofErr w:type="spellEnd"/>
      <w:r w:rsidRPr="00F15DD4">
        <w:rPr>
          <w:lang w:val="es-CO"/>
        </w:rPr>
        <w:t xml:space="preserve">, D.C., &amp; </w:t>
      </w:r>
      <w:proofErr w:type="spellStart"/>
      <w:r w:rsidRPr="00F15DD4">
        <w:rPr>
          <w:lang w:val="es-CO"/>
        </w:rPr>
        <w:t>Moss</w:t>
      </w:r>
      <w:proofErr w:type="spellEnd"/>
      <w:r w:rsidRPr="00F15DD4">
        <w:rPr>
          <w:lang w:val="es-CO"/>
        </w:rPr>
        <w:t xml:space="preserve">,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F15DD4">
        <w:rPr>
          <w:lang w:val="es-CO"/>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43C3B9C5" w14:textId="5CD2C95D" w:rsidR="00C9678C" w:rsidRDefault="001D1ABA" w:rsidP="005676C8">
      <w:pPr>
        <w:spacing w:line="276" w:lineRule="auto"/>
        <w:ind w:left="709" w:hanging="709"/>
        <w:contextualSpacing/>
        <w:jc w:val="both"/>
      </w:pPr>
      <w:proofErr w:type="spellStart"/>
      <w:r w:rsidRPr="00581F14">
        <w:rPr>
          <w:lang w:val="en-US"/>
        </w:rPr>
        <w:lastRenderedPageBreak/>
        <w:t>Gantiva</w:t>
      </w:r>
      <w:proofErr w:type="spellEnd"/>
      <w:r w:rsidRPr="00581F14">
        <w:rPr>
          <w:lang w:val="en-US"/>
        </w:rPr>
        <w:t xml:space="preserve">, C.A., Bello, J., </w:t>
      </w:r>
      <w:proofErr w:type="spellStart"/>
      <w:r w:rsidRPr="00581F14">
        <w:rPr>
          <w:lang w:val="en-US"/>
        </w:rPr>
        <w:t>Vanegas</w:t>
      </w:r>
      <w:proofErr w:type="spellEnd"/>
      <w:r w:rsidRPr="00581F14">
        <w:rPr>
          <w:lang w:val="en-US"/>
        </w:rPr>
        <w:t xml:space="preserve">, E. &amp; </w:t>
      </w:r>
      <w:proofErr w:type="spellStart"/>
      <w:r w:rsidRPr="00581F14">
        <w:rPr>
          <w:lang w:val="en-US"/>
        </w:rPr>
        <w:t>Sastoque</w:t>
      </w:r>
      <w:proofErr w:type="spellEnd"/>
      <w:r w:rsidRPr="00581F14">
        <w:rPr>
          <w:lang w:val="en-US"/>
        </w:rPr>
        <w:t>, Y.</w:t>
      </w:r>
      <w:r w:rsidR="00C9678C" w:rsidRPr="00581F14">
        <w:rPr>
          <w:lang w:val="en-US"/>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001C86BB" w14:textId="77777777" w:rsidR="00C87790" w:rsidRDefault="00C87790" w:rsidP="005676C8">
      <w:pPr>
        <w:spacing w:line="276" w:lineRule="auto"/>
        <w:ind w:left="709" w:hanging="709"/>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0F1ED3A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Abril, F. G. M., &amp; Riaño, N. E. A.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proofErr w:type="spellStart"/>
      <w:r>
        <w:rPr>
          <w:rFonts w:eastAsiaTheme="minorEastAsia"/>
          <w:color w:val="1A1A1A"/>
          <w:lang w:eastAsia="ja-JP"/>
        </w:rPr>
        <w:t>Rodriguez</w:t>
      </w:r>
      <w:proofErr w:type="spellEnd"/>
      <w:r>
        <w:rPr>
          <w:rFonts w:eastAsiaTheme="minorEastAsia"/>
          <w:color w:val="1A1A1A"/>
          <w:lang w:eastAsia="ja-JP"/>
        </w:rPr>
        <w:t xml:space="preserve">,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7FBB8D62" w14:textId="33D8E1F9" w:rsidR="004D3C1A" w:rsidRPr="00581F14" w:rsidRDefault="004D3C1A" w:rsidP="005676C8">
      <w:pPr>
        <w:spacing w:line="276" w:lineRule="auto"/>
        <w:ind w:left="709" w:hanging="709"/>
        <w:contextualSpacing/>
        <w:jc w:val="both"/>
        <w:rPr>
          <w:lang w:val="en-US"/>
        </w:rPr>
      </w:pPr>
      <w:proofErr w:type="spellStart"/>
      <w:r w:rsidRPr="00581F14">
        <w:rPr>
          <w:lang w:val="en-US"/>
        </w:rPr>
        <w:lastRenderedPageBreak/>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hicanoy Estrella, Harold Armando (CIAT)" w:date="2016-03-11T14:23:00Z" w:initials="AEHA(">
    <w:p w14:paraId="7CDD209B" w14:textId="58356934" w:rsidR="00F15DD4" w:rsidRDefault="00F15DD4">
      <w:pPr>
        <w:pStyle w:val="CommentText"/>
      </w:pPr>
      <w:r>
        <w:rPr>
          <w:rStyle w:val="CommentReference"/>
        </w:rPr>
        <w:annotationRef/>
      </w:r>
      <w:r>
        <w:t>Identificar patrones de consumo en base a las combinaciones de respuestas del cuestionario mediante un análisis multivariado y realizar su respectiva caracterización, puede ser con estadísticas descriptivas. Incluso se puede plantear un modelo PLS-PM en R para identificar cómo afecta cada variable y/o constructo a los patrones de consumo.</w:t>
      </w:r>
    </w:p>
  </w:comment>
  <w:comment w:id="1" w:author="Achicanoy Estrella, Harold Armando (CIAT)" w:date="2016-03-11T14:26:00Z" w:initials="AEHA(">
    <w:p w14:paraId="430C949F" w14:textId="1B8DEFFA" w:rsidR="00F15DD4" w:rsidRDefault="00F15DD4">
      <w:pPr>
        <w:pStyle w:val="CommentText"/>
      </w:pPr>
      <w:r>
        <w:rPr>
          <w:rStyle w:val="CommentReference"/>
        </w:rPr>
        <w:annotationRef/>
      </w:r>
      <w:r>
        <w:t>Se podría dar respuesta con los resultados del apartado anterior o mediante test de hipótesis, no obstante, consultar método de muestreo usado.</w:t>
      </w:r>
    </w:p>
  </w:comment>
  <w:comment w:id="2" w:author="Achicanoy Estrella, Harold Armando (CIAT)" w:date="2016-03-12T18:11:00Z" w:initials="AEHA(">
    <w:p w14:paraId="1411E2C2" w14:textId="6278C3DC" w:rsidR="00F15DD4" w:rsidRDefault="00F15DD4">
      <w:pPr>
        <w:pStyle w:val="CommentText"/>
      </w:pPr>
      <w:r>
        <w:rPr>
          <w:rStyle w:val="CommentReference"/>
        </w:rPr>
        <w:annotationRef/>
      </w:r>
      <w:r>
        <w:t>Tal vez se encuentra un poco ambiguo, no obstante, no estoy seguro sobre sí se encuentra bien formulada la hipótesis.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D209B" w15:done="0"/>
  <w15:commentEx w15:paraId="430C949F" w15:done="0"/>
  <w15:commentEx w15:paraId="1411E2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A7777" w14:textId="77777777" w:rsidR="009A732E" w:rsidRDefault="009A732E" w:rsidP="00757E9C">
      <w:r>
        <w:separator/>
      </w:r>
    </w:p>
  </w:endnote>
  <w:endnote w:type="continuationSeparator" w:id="0">
    <w:p w14:paraId="59948109" w14:textId="77777777" w:rsidR="009A732E" w:rsidRDefault="009A732E"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15DD4" w:rsidRDefault="00F15DD4"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15DD4" w:rsidRDefault="00F15DD4"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15DD4" w:rsidRDefault="00F15DD4"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610B2">
      <w:rPr>
        <w:rStyle w:val="PageNumber"/>
        <w:noProof/>
      </w:rPr>
      <w:t>32</w:t>
    </w:r>
    <w:r>
      <w:rPr>
        <w:rStyle w:val="PageNumber"/>
      </w:rPr>
      <w:fldChar w:fldCharType="end"/>
    </w:r>
  </w:p>
  <w:p w14:paraId="6F77EF52" w14:textId="77777777" w:rsidR="00F15DD4" w:rsidRDefault="00F15DD4"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1C6B3" w14:textId="77777777" w:rsidR="009A732E" w:rsidRDefault="009A732E" w:rsidP="00757E9C">
      <w:r>
        <w:separator/>
      </w:r>
    </w:p>
  </w:footnote>
  <w:footnote w:type="continuationSeparator" w:id="0">
    <w:p w14:paraId="24C9D66F" w14:textId="77777777" w:rsidR="009A732E" w:rsidRDefault="009A732E"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2"/>
  </w:num>
  <w:num w:numId="5">
    <w:abstractNumId w:val="9"/>
  </w:num>
  <w:num w:numId="6">
    <w:abstractNumId w:val="4"/>
  </w:num>
  <w:num w:numId="7">
    <w:abstractNumId w:val="12"/>
  </w:num>
  <w:num w:numId="8">
    <w:abstractNumId w:val="7"/>
  </w:num>
  <w:num w:numId="9">
    <w:abstractNumId w:val="10"/>
  </w:num>
  <w:num w:numId="10">
    <w:abstractNumId w:val="5"/>
  </w:num>
  <w:num w:numId="11">
    <w:abstractNumId w:val="0"/>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hicanoy Estrella, Harold Armando (CIAT)">
    <w15:presenceInfo w15:providerId="AD" w15:userId="S-1-5-21-1606980848-162531612-839522115-32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0DA2"/>
    <w:rsid w:val="00002CEE"/>
    <w:rsid w:val="00004CA2"/>
    <w:rsid w:val="00052835"/>
    <w:rsid w:val="00063762"/>
    <w:rsid w:val="00063C8A"/>
    <w:rsid w:val="00076336"/>
    <w:rsid w:val="0008088E"/>
    <w:rsid w:val="0009260E"/>
    <w:rsid w:val="000953CF"/>
    <w:rsid w:val="000B00D5"/>
    <w:rsid w:val="000D4B2E"/>
    <w:rsid w:val="000E584E"/>
    <w:rsid w:val="00107ACA"/>
    <w:rsid w:val="001110D8"/>
    <w:rsid w:val="00135922"/>
    <w:rsid w:val="00146551"/>
    <w:rsid w:val="001715D0"/>
    <w:rsid w:val="001C1BEA"/>
    <w:rsid w:val="001C51E5"/>
    <w:rsid w:val="001D1ABA"/>
    <w:rsid w:val="001D2098"/>
    <w:rsid w:val="001D3FC7"/>
    <w:rsid w:val="001E0E83"/>
    <w:rsid w:val="001E7A8A"/>
    <w:rsid w:val="00204673"/>
    <w:rsid w:val="0022171A"/>
    <w:rsid w:val="00222C9D"/>
    <w:rsid w:val="00226697"/>
    <w:rsid w:val="00231624"/>
    <w:rsid w:val="002368CB"/>
    <w:rsid w:val="00245908"/>
    <w:rsid w:val="002464F2"/>
    <w:rsid w:val="00252241"/>
    <w:rsid w:val="00255BD6"/>
    <w:rsid w:val="002610B2"/>
    <w:rsid w:val="0028000D"/>
    <w:rsid w:val="002B0C6B"/>
    <w:rsid w:val="002B2DC8"/>
    <w:rsid w:val="002B3CD7"/>
    <w:rsid w:val="002B458C"/>
    <w:rsid w:val="002B4FFD"/>
    <w:rsid w:val="002C7584"/>
    <w:rsid w:val="002E4CAD"/>
    <w:rsid w:val="002F38C4"/>
    <w:rsid w:val="002F4C58"/>
    <w:rsid w:val="002F4EFA"/>
    <w:rsid w:val="002F73C0"/>
    <w:rsid w:val="00311C37"/>
    <w:rsid w:val="003565C8"/>
    <w:rsid w:val="00384C55"/>
    <w:rsid w:val="00384F6E"/>
    <w:rsid w:val="003A4F73"/>
    <w:rsid w:val="003A7CA2"/>
    <w:rsid w:val="003B15E0"/>
    <w:rsid w:val="003B6A32"/>
    <w:rsid w:val="003C6F34"/>
    <w:rsid w:val="003E2E9E"/>
    <w:rsid w:val="003F1C77"/>
    <w:rsid w:val="0040194E"/>
    <w:rsid w:val="00402BE5"/>
    <w:rsid w:val="00403A5E"/>
    <w:rsid w:val="00404D20"/>
    <w:rsid w:val="004160A9"/>
    <w:rsid w:val="0042556E"/>
    <w:rsid w:val="00431B24"/>
    <w:rsid w:val="00436F5D"/>
    <w:rsid w:val="0044279C"/>
    <w:rsid w:val="00456D05"/>
    <w:rsid w:val="0046030B"/>
    <w:rsid w:val="00471DC3"/>
    <w:rsid w:val="00493A73"/>
    <w:rsid w:val="00494DBB"/>
    <w:rsid w:val="004C3B65"/>
    <w:rsid w:val="004C4946"/>
    <w:rsid w:val="004D3C1A"/>
    <w:rsid w:val="004F1666"/>
    <w:rsid w:val="00501509"/>
    <w:rsid w:val="00503664"/>
    <w:rsid w:val="0050723B"/>
    <w:rsid w:val="00526DC1"/>
    <w:rsid w:val="00527DC1"/>
    <w:rsid w:val="005343AF"/>
    <w:rsid w:val="00552E53"/>
    <w:rsid w:val="005554FD"/>
    <w:rsid w:val="00561BB6"/>
    <w:rsid w:val="00566D0D"/>
    <w:rsid w:val="005676C8"/>
    <w:rsid w:val="005731DE"/>
    <w:rsid w:val="00574BC3"/>
    <w:rsid w:val="00581F14"/>
    <w:rsid w:val="00596E11"/>
    <w:rsid w:val="005A0121"/>
    <w:rsid w:val="005B2060"/>
    <w:rsid w:val="005C5838"/>
    <w:rsid w:val="005D524F"/>
    <w:rsid w:val="005D79F2"/>
    <w:rsid w:val="005E5FB4"/>
    <w:rsid w:val="005F1981"/>
    <w:rsid w:val="005F255F"/>
    <w:rsid w:val="006013C5"/>
    <w:rsid w:val="0060693C"/>
    <w:rsid w:val="00617551"/>
    <w:rsid w:val="00653075"/>
    <w:rsid w:val="006641CA"/>
    <w:rsid w:val="00676F3F"/>
    <w:rsid w:val="00686CB6"/>
    <w:rsid w:val="006C4311"/>
    <w:rsid w:val="006C4AB7"/>
    <w:rsid w:val="006D0B9D"/>
    <w:rsid w:val="006D413B"/>
    <w:rsid w:val="006D5C9D"/>
    <w:rsid w:val="006D727C"/>
    <w:rsid w:val="007149A2"/>
    <w:rsid w:val="00721BC1"/>
    <w:rsid w:val="0072295B"/>
    <w:rsid w:val="0072356F"/>
    <w:rsid w:val="0073272C"/>
    <w:rsid w:val="007379C9"/>
    <w:rsid w:val="00755973"/>
    <w:rsid w:val="00757E9C"/>
    <w:rsid w:val="00764CBF"/>
    <w:rsid w:val="00767E92"/>
    <w:rsid w:val="00770CC7"/>
    <w:rsid w:val="007800CC"/>
    <w:rsid w:val="00783970"/>
    <w:rsid w:val="007913F6"/>
    <w:rsid w:val="00793C72"/>
    <w:rsid w:val="007A3982"/>
    <w:rsid w:val="007A6E01"/>
    <w:rsid w:val="007B49DA"/>
    <w:rsid w:val="007B6AC4"/>
    <w:rsid w:val="007C334E"/>
    <w:rsid w:val="007C7A5B"/>
    <w:rsid w:val="007C7AC1"/>
    <w:rsid w:val="007D7469"/>
    <w:rsid w:val="007E3C06"/>
    <w:rsid w:val="007E4887"/>
    <w:rsid w:val="007F3C9F"/>
    <w:rsid w:val="007F62ED"/>
    <w:rsid w:val="0080085C"/>
    <w:rsid w:val="00801CFC"/>
    <w:rsid w:val="00821489"/>
    <w:rsid w:val="00822673"/>
    <w:rsid w:val="0083041F"/>
    <w:rsid w:val="00837A1C"/>
    <w:rsid w:val="00840699"/>
    <w:rsid w:val="008427EA"/>
    <w:rsid w:val="00850DDC"/>
    <w:rsid w:val="00854074"/>
    <w:rsid w:val="0086404E"/>
    <w:rsid w:val="00865C70"/>
    <w:rsid w:val="008665F5"/>
    <w:rsid w:val="00870316"/>
    <w:rsid w:val="0088195B"/>
    <w:rsid w:val="00895582"/>
    <w:rsid w:val="008955F6"/>
    <w:rsid w:val="00895D15"/>
    <w:rsid w:val="008A44B3"/>
    <w:rsid w:val="008A6ACF"/>
    <w:rsid w:val="008B5905"/>
    <w:rsid w:val="008C0792"/>
    <w:rsid w:val="008C6FEC"/>
    <w:rsid w:val="008D6D5E"/>
    <w:rsid w:val="008E02F8"/>
    <w:rsid w:val="008E0FC9"/>
    <w:rsid w:val="008F3E9B"/>
    <w:rsid w:val="008F46D6"/>
    <w:rsid w:val="00900D9C"/>
    <w:rsid w:val="00927C25"/>
    <w:rsid w:val="00933D5F"/>
    <w:rsid w:val="009362A2"/>
    <w:rsid w:val="00936E7E"/>
    <w:rsid w:val="00941081"/>
    <w:rsid w:val="00952014"/>
    <w:rsid w:val="00967765"/>
    <w:rsid w:val="00970E0C"/>
    <w:rsid w:val="009739A3"/>
    <w:rsid w:val="00977A2C"/>
    <w:rsid w:val="00983E2D"/>
    <w:rsid w:val="00996D2B"/>
    <w:rsid w:val="009A732E"/>
    <w:rsid w:val="009A7D23"/>
    <w:rsid w:val="009C1F83"/>
    <w:rsid w:val="009C57E9"/>
    <w:rsid w:val="009E4F5E"/>
    <w:rsid w:val="009F15DF"/>
    <w:rsid w:val="00A00FB4"/>
    <w:rsid w:val="00A248BF"/>
    <w:rsid w:val="00A336A6"/>
    <w:rsid w:val="00A65D43"/>
    <w:rsid w:val="00A70808"/>
    <w:rsid w:val="00A80871"/>
    <w:rsid w:val="00A85606"/>
    <w:rsid w:val="00A9493A"/>
    <w:rsid w:val="00A97DE4"/>
    <w:rsid w:val="00AA055D"/>
    <w:rsid w:val="00AA0A42"/>
    <w:rsid w:val="00AA6AC9"/>
    <w:rsid w:val="00AB2DAC"/>
    <w:rsid w:val="00AC635D"/>
    <w:rsid w:val="00AD2558"/>
    <w:rsid w:val="00AD35DC"/>
    <w:rsid w:val="00AD5AD4"/>
    <w:rsid w:val="00AE138A"/>
    <w:rsid w:val="00AE343A"/>
    <w:rsid w:val="00AF3650"/>
    <w:rsid w:val="00B17F7D"/>
    <w:rsid w:val="00B22452"/>
    <w:rsid w:val="00B25C5F"/>
    <w:rsid w:val="00B62BD0"/>
    <w:rsid w:val="00B73040"/>
    <w:rsid w:val="00B7379A"/>
    <w:rsid w:val="00B816C7"/>
    <w:rsid w:val="00BA25B8"/>
    <w:rsid w:val="00BB2F29"/>
    <w:rsid w:val="00BC2C9A"/>
    <w:rsid w:val="00BC4A07"/>
    <w:rsid w:val="00BE3176"/>
    <w:rsid w:val="00BE7FEE"/>
    <w:rsid w:val="00BF4A0E"/>
    <w:rsid w:val="00C172B6"/>
    <w:rsid w:val="00C20F71"/>
    <w:rsid w:val="00C22FA6"/>
    <w:rsid w:val="00C24FD8"/>
    <w:rsid w:val="00C260FC"/>
    <w:rsid w:val="00C31D77"/>
    <w:rsid w:val="00C32C02"/>
    <w:rsid w:val="00C477E9"/>
    <w:rsid w:val="00C73FB0"/>
    <w:rsid w:val="00C7662E"/>
    <w:rsid w:val="00C82503"/>
    <w:rsid w:val="00C85AB8"/>
    <w:rsid w:val="00C87790"/>
    <w:rsid w:val="00C91D65"/>
    <w:rsid w:val="00C94A09"/>
    <w:rsid w:val="00C9678C"/>
    <w:rsid w:val="00C970CB"/>
    <w:rsid w:val="00CA253B"/>
    <w:rsid w:val="00CA6A43"/>
    <w:rsid w:val="00CC277C"/>
    <w:rsid w:val="00CD26B6"/>
    <w:rsid w:val="00CF3A77"/>
    <w:rsid w:val="00CF3F69"/>
    <w:rsid w:val="00D05F15"/>
    <w:rsid w:val="00D11443"/>
    <w:rsid w:val="00D13441"/>
    <w:rsid w:val="00D23FBD"/>
    <w:rsid w:val="00D26D81"/>
    <w:rsid w:val="00D32AC3"/>
    <w:rsid w:val="00D36C56"/>
    <w:rsid w:val="00D44B75"/>
    <w:rsid w:val="00D53ED7"/>
    <w:rsid w:val="00D66A1D"/>
    <w:rsid w:val="00D66BFC"/>
    <w:rsid w:val="00D77A20"/>
    <w:rsid w:val="00D869A3"/>
    <w:rsid w:val="00D94EF4"/>
    <w:rsid w:val="00D95A5E"/>
    <w:rsid w:val="00D97548"/>
    <w:rsid w:val="00DA1872"/>
    <w:rsid w:val="00DA2E9E"/>
    <w:rsid w:val="00DA380D"/>
    <w:rsid w:val="00DB0AC4"/>
    <w:rsid w:val="00DD14EF"/>
    <w:rsid w:val="00DD1CE8"/>
    <w:rsid w:val="00DD492B"/>
    <w:rsid w:val="00DE1636"/>
    <w:rsid w:val="00DE2339"/>
    <w:rsid w:val="00E00CFD"/>
    <w:rsid w:val="00E02213"/>
    <w:rsid w:val="00E07B6D"/>
    <w:rsid w:val="00E2125A"/>
    <w:rsid w:val="00E26E5A"/>
    <w:rsid w:val="00E3227A"/>
    <w:rsid w:val="00E34712"/>
    <w:rsid w:val="00E37C33"/>
    <w:rsid w:val="00E51847"/>
    <w:rsid w:val="00E54C4C"/>
    <w:rsid w:val="00E56E16"/>
    <w:rsid w:val="00E63DC1"/>
    <w:rsid w:val="00E71731"/>
    <w:rsid w:val="00E7394E"/>
    <w:rsid w:val="00E8032F"/>
    <w:rsid w:val="00E82F34"/>
    <w:rsid w:val="00E95A48"/>
    <w:rsid w:val="00EA32D9"/>
    <w:rsid w:val="00EB15B4"/>
    <w:rsid w:val="00EB1C36"/>
    <w:rsid w:val="00EB2709"/>
    <w:rsid w:val="00EB2B41"/>
    <w:rsid w:val="00EB4E82"/>
    <w:rsid w:val="00EE18BD"/>
    <w:rsid w:val="00EE2747"/>
    <w:rsid w:val="00EE56E1"/>
    <w:rsid w:val="00EE65B1"/>
    <w:rsid w:val="00EF3BDB"/>
    <w:rsid w:val="00F048BF"/>
    <w:rsid w:val="00F07C42"/>
    <w:rsid w:val="00F10EC3"/>
    <w:rsid w:val="00F12AAD"/>
    <w:rsid w:val="00F15DD4"/>
    <w:rsid w:val="00F23724"/>
    <w:rsid w:val="00F24CEB"/>
    <w:rsid w:val="00F26AD9"/>
    <w:rsid w:val="00F43A47"/>
    <w:rsid w:val="00F456C9"/>
    <w:rsid w:val="00F56E1C"/>
    <w:rsid w:val="00F74323"/>
    <w:rsid w:val="00F769AE"/>
    <w:rsid w:val="00F821ED"/>
    <w:rsid w:val="00F868CF"/>
    <w:rsid w:val="00FA0B1C"/>
    <w:rsid w:val="00FA5010"/>
    <w:rsid w:val="00FA6FA1"/>
    <w:rsid w:val="00FA710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character" w:styleId="SubtleEmphasis">
    <w:name w:val="Subtle Emphasis"/>
    <w:basedOn w:val="DefaultParagraphFont"/>
    <w:uiPriority w:val="19"/>
    <w:qFormat/>
    <w:rsid w:val="00D66A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F51CBA8-5C75-41E4-AD51-4CF48706E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Pages>
  <Words>8735</Words>
  <Characters>48047</Characters>
  <Application>Microsoft Office Word</Application>
  <DocSecurity>0</DocSecurity>
  <Lines>400</Lines>
  <Paragraphs>113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Andrea Cuello Kafury</dc:creator>
  <cp:lastModifiedBy>Achicanoy Estrella, Harold Armando (CIAT)</cp:lastModifiedBy>
  <cp:revision>96</cp:revision>
  <dcterms:created xsi:type="dcterms:W3CDTF">2015-11-25T15:12:00Z</dcterms:created>
  <dcterms:modified xsi:type="dcterms:W3CDTF">2016-03-22T23:56:00Z</dcterms:modified>
</cp:coreProperties>
</file>