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xml:space="preserve">. Sin embargo otro estudio realizado por Avellaneda, Pérez y Font-Mayolas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xml:space="preserve">, 2009). Según Villatoro et al. (citados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097DED3"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 xml:space="preserve">étodos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w:t>
      </w:r>
      <w:r w:rsidR="005F150F">
        <w:t xml:space="preserve"> con</w:t>
      </w:r>
      <w:r w:rsidR="005F150F">
        <w:t xml:space="preserve"> la edad, el género y la carrera</w:t>
      </w:r>
      <w:r w:rsidR="005F150F">
        <w:t>,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77777777" w:rsidR="00D752B6" w:rsidRDefault="0028000D" w:rsidP="00C970CB">
      <w:pPr>
        <w:spacing w:line="480" w:lineRule="auto"/>
        <w:jc w:val="both"/>
        <w:rPr>
          <w:lang w:val="es-CO"/>
        </w:rPr>
      </w:pPr>
      <w:r w:rsidRPr="00E02213">
        <w:rPr>
          <w:b/>
          <w:lang w:val="es-CO"/>
        </w:rPr>
        <w:lastRenderedPageBreak/>
        <w:t>Test no paramétricos para el contraste de dos poblaciones independientes</w:t>
      </w:r>
    </w:p>
    <w:p w14:paraId="791FD587" w14:textId="77777777"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Pr>
          <w:lang w:val="es-CO"/>
        </w:rPr>
        <w:t>, se hace uso de los test de no paramétricos para el contraste de dos poblaciones independientes.</w:t>
      </w:r>
      <w:r w:rsidR="00423A78">
        <w:rPr>
          <w:lang w:val="es-CO"/>
        </w:rPr>
        <w:t xml:space="preserve"> </w:t>
      </w:r>
      <w:r w:rsidR="00423A78">
        <w:rPr>
          <w:lang w:val="es-CO"/>
        </w:rPr>
        <w:t>Entre las bondades de usar test no paramétricos para la verificación de la presente hipótesis, se tiene que</w:t>
      </w:r>
      <w:r w:rsidR="00423A78">
        <w:rPr>
          <w:lang w:val="es-CO"/>
        </w:rPr>
        <w:t>:</w:t>
      </w:r>
    </w:p>
    <w:p w14:paraId="78591C96"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A13751"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A13751"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A13751"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Pr>
          <w:lang w:val="es-CO"/>
        </w:rPr>
        <w:t>: Hipótesis nula</w:t>
      </w:r>
    </w:p>
    <w:p w14:paraId="69D7FCAE" w14:textId="091C109C" w:rsidR="00A13751" w:rsidRDefault="00A13751"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Pr>
          <w:lang w:val="es-CO"/>
        </w:rPr>
        <w:t xml:space="preserve">: Hipótesis </w:t>
      </w:r>
      <w:r>
        <w:rPr>
          <w:lang w:val="es-CO"/>
        </w:rPr>
        <w:t>alterna</w:t>
      </w:r>
    </w:p>
    <w:p w14:paraId="6A2DF5DC" w14:textId="266BEF58" w:rsidR="00A13751" w:rsidRDefault="00A13751" w:rsidP="00C970CB">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verifica la hipótesis alterna, rechazando la nula, se comprueba que existe suficiente evidencia </w:t>
      </w:r>
      <w:r w:rsidR="00EF4E8F">
        <w:rPr>
          <w:lang w:val="es-CO"/>
        </w:rPr>
        <w:t xml:space="preserve">mostrando diferencias significativas en las dos poblaciones. El valor utilizado para verificar la aceptación o rechazo de las hipótesis en contraste corresponde al nivel de significancia estadístico (α), el cual se define como el nivel </w:t>
      </w:r>
      <w:r w:rsidR="00EF4E8F">
        <w:rPr>
          <w:lang w:val="es-CO"/>
        </w:rPr>
        <w:lastRenderedPageBreak/>
        <w:t xml:space="preserve">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77777777" w:rsidR="00533249" w:rsidRDefault="00D752B6" w:rsidP="00D752B6">
      <w:pPr>
        <w:spacing w:line="480" w:lineRule="auto"/>
        <w:jc w:val="both"/>
      </w:pPr>
      <w:r w:rsidRPr="00E02213">
        <w:rPr>
          <w:b/>
        </w:rPr>
        <w:t>Coeficientes de correlación no paramétricos</w:t>
      </w:r>
    </w:p>
    <w:p w14:paraId="7DD2C13F" w14:textId="63AA1E3E" w:rsidR="00533249" w:rsidRDefault="00EC6A76" w:rsidP="00533249">
      <w:pPr>
        <w:spacing w:line="480" w:lineRule="auto"/>
        <w:jc w:val="both"/>
        <w:rPr>
          <w:lang w:val="es-CO"/>
        </w:rPr>
      </w:pPr>
      <w:r>
        <w:rPr>
          <w:lang w:val="es-CO"/>
        </w:rPr>
        <w:t>C</w:t>
      </w:r>
      <w:r w:rsidR="00EF4E8F">
        <w:rPr>
          <w:lang w:val="es-CO"/>
        </w:rPr>
        <w:t>uando el interés está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 y la edad ambas variables son de naturaleza numérica, por ende se hizo uso de los coeficientes de correlación no param</w:t>
      </w:r>
      <w:r>
        <w:rPr>
          <w:lang w:val="es-CO"/>
        </w:rPr>
        <w:t xml:space="preserve">étricos. 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 1 una relación positiva perfecta y 0 falta de relación o independencia entre las variables en estudio.</w:t>
      </w:r>
    </w:p>
    <w:p w14:paraId="279B8954" w14:textId="6EE3DD5E"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 xml:space="preserve">de tipo no lineal en los datos. Los coeficientes de </w:t>
      </w:r>
      <w:r w:rsidR="00766932">
        <w:t>correlación</w:t>
      </w:r>
      <w:r w:rsidR="00D752B6">
        <w:t xml:space="preserve"> </w:t>
      </w:r>
      <w:r w:rsidR="00766932">
        <w:t>no paramétricos utilizados en el presente estudio son: correlación de</w:t>
      </w:r>
      <w:r w:rsidR="00D752B6">
        <w:t xml:space="preserve"> Spearman y </w:t>
      </w:r>
      <w:r w:rsidR="00766932">
        <w:t>c</w:t>
      </w:r>
      <w:r w:rsidR="00D752B6">
        <w:t>orrelación de Kendall</w:t>
      </w:r>
      <w:r w:rsidR="00766932">
        <w:t>.</w:t>
      </w:r>
      <w:r w:rsidR="00F934F1">
        <w:t xml:space="preserve">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F934F1"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t>
                </m:r>
                <m:r>
                  <w:rPr>
                    <w:rFonts w:ascii="Cambria Math" w:hAnsi="Cambria Math"/>
                  </w:rPr>
                  <m:t>0</m:t>
                </m:r>
              </m:oMath>
            </m:oMathPara>
          </w:p>
        </w:tc>
        <w:tc>
          <w:tcPr>
            <w:tcW w:w="3430" w:type="dxa"/>
            <w:vAlign w:val="center"/>
          </w:tcPr>
          <w:p w14:paraId="004703B7" w14:textId="019EE910" w:rsidR="00F934F1" w:rsidRDefault="0098449D"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τ</m:t>
                </m:r>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m:t>
                </m:r>
                <m:r>
                  <w:rPr>
                    <w:rFonts w:ascii="Cambria Math" w:hAnsi="Cambria Math"/>
                  </w:rPr>
                  <m:t>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98449D"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Hipótesis nula</w:t>
      </w:r>
    </w:p>
    <w:p w14:paraId="7628AD79" w14:textId="49AE425E" w:rsidR="0098449D" w:rsidRDefault="0098449D"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Hipótesis </w:t>
      </w:r>
      <w:r>
        <w:t>alterna</w:t>
      </w:r>
    </w:p>
    <w:p w14:paraId="32F89576" w14:textId="3CEC7706" w:rsidR="0098449D" w:rsidRDefault="0098449D"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t xml:space="preserve">: </w:t>
      </w:r>
      <w:r>
        <w:t>Coeficiente de correlación de Spearman</w:t>
      </w:r>
    </w:p>
    <w:p w14:paraId="0C65185B" w14:textId="0A7974D0" w:rsidR="0098449D" w:rsidRDefault="0098449D" w:rsidP="0098449D">
      <w:pPr>
        <w:spacing w:line="480" w:lineRule="auto"/>
        <w:jc w:val="both"/>
      </w:pPr>
      <m:oMath>
        <m:r>
          <w:rPr>
            <w:rFonts w:ascii="Cambria Math" w:hAnsi="Cambria Math"/>
          </w:rPr>
          <w:lastRenderedPageBreak/>
          <m:t>τ</m:t>
        </m:r>
      </m:oMath>
      <w:r>
        <w:t>: Coeficiente de correlación de Kendall</w:t>
      </w:r>
    </w:p>
    <w:p w14:paraId="3D34F06F" w14:textId="71F41AF4" w:rsidR="0098449D" w:rsidRDefault="00672941" w:rsidP="0098449D">
      <w:pPr>
        <w:spacing w:line="480" w:lineRule="auto"/>
        <w:jc w:val="both"/>
      </w:pPr>
      <w:r>
        <w:t>Aquí si se logra rechazar la hipótesis nula en ambos casos, se verifica que existe una relación estadística significativa entre las dos variables en estudio, bien sea esta del orden positivo o negativo, sujeta al nivel de significancia escogido.</w:t>
      </w:r>
    </w:p>
    <w:p w14:paraId="5EE12BDD" w14:textId="77777777" w:rsidR="00D752B6" w:rsidRPr="00D752B6" w:rsidRDefault="00D752B6" w:rsidP="00C970CB">
      <w:pPr>
        <w:spacing w:line="480" w:lineRule="auto"/>
        <w:jc w:val="both"/>
        <w:rPr>
          <w:lang w:val="es-CO"/>
        </w:rPr>
      </w:pPr>
    </w:p>
    <w:p w14:paraId="5C80D3A9" w14:textId="77777777" w:rsidR="00553C77" w:rsidRDefault="00E02213" w:rsidP="00C970CB">
      <w:pPr>
        <w:spacing w:line="480" w:lineRule="auto"/>
        <w:jc w:val="both"/>
        <w:rPr>
          <w:lang w:val="es-CO"/>
        </w:rPr>
      </w:pPr>
      <w:r w:rsidRPr="00E02213">
        <w:rPr>
          <w:b/>
          <w:lang w:val="es-CO"/>
        </w:rPr>
        <w:t>Test no paramétricos para el contraste de más de dos poblaciones independientes</w:t>
      </w:r>
    </w:p>
    <w:p w14:paraId="67A43B41" w14:textId="4BEA90D2" w:rsidR="00E02213" w:rsidRDefault="00553C77" w:rsidP="00C970CB">
      <w:pPr>
        <w:spacing w:line="480" w:lineRule="auto"/>
        <w:jc w:val="both"/>
        <w:rPr>
          <w:lang w:val="es-CO"/>
        </w:rPr>
      </w:pPr>
      <w:r>
        <w:rPr>
          <w:lang w:val="es-CO"/>
        </w:rPr>
        <w:t>Finalmente,</w:t>
      </w:r>
      <w:r>
        <w:rPr>
          <w:lang w:val="es-CO"/>
        </w:rPr>
        <w:t xml:space="preserve"> cuando se intenta verificar la incidencia de la carrera sobre el patrón de consumo, se</w:t>
      </w:r>
      <w:r>
        <w:rPr>
          <w:lang w:val="es-CO"/>
        </w:rPr>
        <w:t xml:space="preserv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p>
    <w:p w14:paraId="6A3D6E40" w14:textId="41F6A1C5" w:rsidR="00D752B6" w:rsidRDefault="003711F0" w:rsidP="00C970CB">
      <w:pPr>
        <w:spacing w:line="480" w:lineRule="auto"/>
        <w:jc w:val="both"/>
        <w:rPr>
          <w:lang w:val="es-CO"/>
        </w:rPr>
      </w:pPr>
      <w:r>
        <w:rPr>
          <w:lang w:val="es-CO"/>
        </w:rPr>
        <w:t>Aquí las hipótesis estadísticas a contrastar son:</w:t>
      </w:r>
    </w:p>
    <w:p w14:paraId="6CF27DA3" w14:textId="02177CAF" w:rsidR="00873353" w:rsidRPr="00A13751" w:rsidRDefault="00873353"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 xml:space="preserve">Carrera </m:t>
              </m:r>
              <m:r>
                <w:rPr>
                  <w:rFonts w:ascii="Cambria Math" w:hAnsi="Cambria Math"/>
                  <w:lang w:val="es-CO"/>
                </w:rPr>
                <m:t>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A13751" w:rsidRDefault="00873353"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5C1672CD" w14:textId="77777777" w:rsidR="001D6811" w:rsidRDefault="001D6811" w:rsidP="00C970CB">
      <w:pPr>
        <w:spacing w:line="480" w:lineRule="auto"/>
        <w:jc w:val="both"/>
        <w:rPr>
          <w:lang w:val="es-CO"/>
        </w:rPr>
      </w:pPr>
    </w:p>
    <w:p w14:paraId="2DA8E1CD" w14:textId="6F7F8F88" w:rsidR="003711F0" w:rsidRDefault="001D6811" w:rsidP="00C970CB">
      <w:pPr>
        <w:spacing w:line="480" w:lineRule="auto"/>
        <w:jc w:val="both"/>
        <w:rPr>
          <w:lang w:val="es-CO"/>
        </w:rPr>
      </w:pPr>
      <w:r>
        <w:rPr>
          <w:lang w:val="es-CO"/>
        </w:rPr>
        <w:t>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w:t>
      </w:r>
    </w:p>
    <w:p w14:paraId="5457B6AB" w14:textId="77777777" w:rsidR="00D752B6" w:rsidRPr="0028000D" w:rsidRDefault="00D752B6" w:rsidP="00C970CB">
      <w:pPr>
        <w:spacing w:line="480" w:lineRule="auto"/>
        <w:jc w:val="both"/>
        <w:rPr>
          <w:lang w:val="es-CO"/>
        </w:rPr>
      </w:pPr>
    </w:p>
    <w:p w14:paraId="03584F4F" w14:textId="38B8C010" w:rsidR="00EB1C36" w:rsidRDefault="0028000D" w:rsidP="00C970CB">
      <w:pPr>
        <w:spacing w:line="480" w:lineRule="auto"/>
        <w:jc w:val="both"/>
        <w:rPr>
          <w:b/>
        </w:rPr>
      </w:pPr>
      <w:r w:rsidRPr="00E02213">
        <w:rPr>
          <w:b/>
        </w:rPr>
        <w:t xml:space="preserve">Análisis </w:t>
      </w:r>
      <w:r w:rsidR="00224401">
        <w:rPr>
          <w:b/>
        </w:rPr>
        <w:t xml:space="preserve">de correspondencias múltiples (MCA, </w:t>
      </w:r>
      <w:r w:rsidR="00224401" w:rsidRPr="00224401">
        <w:rPr>
          <w:b/>
          <w:i/>
        </w:rPr>
        <w:t>multiple correspondence analysis</w:t>
      </w:r>
      <w:r w:rsidR="00224401">
        <w:rPr>
          <w:b/>
        </w:rPr>
        <w:t>)</w:t>
      </w:r>
    </w:p>
    <w:p w14:paraId="0BB23451" w14:textId="0F53C19B" w:rsidR="001D6811" w:rsidRDefault="001D6811" w:rsidP="00C970CB">
      <w:pPr>
        <w:spacing w:line="480" w:lineRule="auto"/>
        <w:jc w:val="both"/>
      </w:pPr>
      <w:r>
        <w:t xml:space="preserve">Finalmente, </w:t>
      </w:r>
      <w:r w:rsidR="00046FDE">
        <w:t>para entrar a estudiar más a fondo</w:t>
      </w:r>
      <w:r w:rsidR="00997D8D">
        <w:t xml:space="preserve"> las complejas relaciones entre las preguntas formuladas en el instrumento AUDIT, se realizó un Análisis de correspondencias múltiples cuyo objetivo principal es reducir la dimensionalidad de los datos.</w:t>
      </w:r>
      <w:bookmarkStart w:id="0" w:name="_GoBack"/>
      <w:bookmarkEnd w:id="0"/>
    </w:p>
    <w:p w14:paraId="6D4456FD" w14:textId="61C45C3E" w:rsidR="00224401" w:rsidRDefault="00224401" w:rsidP="00C970CB">
      <w:pPr>
        <w:spacing w:line="480" w:lineRule="auto"/>
        <w:jc w:val="both"/>
      </w:pPr>
      <w:r>
        <w:lastRenderedPageBreak/>
        <w:t>Objetivo del MCA</w:t>
      </w: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w:t>
      </w:r>
      <w:r w:rsidRPr="00CA6A43">
        <w:lastRenderedPageBreak/>
        <w:t xml:space="preserve">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xml:space="preserve">. Como se observa en el siguiente histograma, el comportamiento del puntaje AUDIT para el grupo de estudiantes encuestados </w:t>
      </w:r>
      <w:r w:rsidR="0040194E">
        <w:rPr>
          <w:color w:val="000000" w:themeColor="text1"/>
        </w:rPr>
        <w:lastRenderedPageBreak/>
        <w:t>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 xml:space="preserve">Para esto se trabajó directamente con el puntaje AUDIT sin categorizar y se estudió la incidencia de cada variable sobre el score de riesgo. Los análisis realizados corresponden a </w:t>
      </w:r>
      <w:r>
        <w:rPr>
          <w:color w:val="000000" w:themeColor="text1"/>
        </w:rPr>
        <w:lastRenderedPageBreak/>
        <w:t>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4D7D5A"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lastRenderedPageBreak/>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4D7D5A"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4D7D5A"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4D7D5A"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b/>
                <w:bCs/>
                <w:color w:val="000000"/>
                <w:sz w:val="18"/>
                <w:szCs w:val="18"/>
                <w:lang w:val="es-CO" w:eastAsia="ja-JP"/>
              </w:rPr>
              <w:t>Model Summary</w:t>
            </w:r>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Dimension</w:t>
            </w:r>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Cronbach's Alpha</w:t>
            </w:r>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Variance Accounted For</w:t>
            </w:r>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(Eigenvalue)</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Inertia</w:t>
            </w:r>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4D7D5A"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a. Mean Cronbach's Alpha is based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r>
        <w:rPr>
          <w:rFonts w:eastAsiaTheme="minorEastAsia"/>
          <w:lang w:val="es-CO" w:eastAsia="ja-JP"/>
        </w:rPr>
        <w:t>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D7D5A">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D7D5A">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2344B" w14:textId="77777777" w:rsidR="007C69A6" w:rsidRDefault="007C69A6" w:rsidP="00757E9C">
      <w:r>
        <w:separator/>
      </w:r>
    </w:p>
  </w:endnote>
  <w:endnote w:type="continuationSeparator" w:id="0">
    <w:p w14:paraId="7FFB9B59" w14:textId="77777777" w:rsidR="007C69A6" w:rsidRDefault="007C69A6"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4D7D5A" w:rsidRDefault="004D7D5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4D7D5A" w:rsidRDefault="004D7D5A"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4D7D5A" w:rsidRDefault="004D7D5A"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97D8D">
      <w:rPr>
        <w:rStyle w:val="PageNumber"/>
        <w:noProof/>
      </w:rPr>
      <w:t>23</w:t>
    </w:r>
    <w:r>
      <w:rPr>
        <w:rStyle w:val="PageNumber"/>
      </w:rPr>
      <w:fldChar w:fldCharType="end"/>
    </w:r>
  </w:p>
  <w:p w14:paraId="6F77EF52" w14:textId="77777777" w:rsidR="004D7D5A" w:rsidRDefault="004D7D5A"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CE62F" w14:textId="77777777" w:rsidR="007C69A6" w:rsidRDefault="007C69A6" w:rsidP="00757E9C">
      <w:r>
        <w:separator/>
      </w:r>
    </w:p>
  </w:footnote>
  <w:footnote w:type="continuationSeparator" w:id="0">
    <w:p w14:paraId="445CF06E" w14:textId="77777777" w:rsidR="007C69A6" w:rsidRDefault="007C69A6"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46FDE"/>
    <w:rsid w:val="00052835"/>
    <w:rsid w:val="00063762"/>
    <w:rsid w:val="00063C8A"/>
    <w:rsid w:val="00073418"/>
    <w:rsid w:val="00076336"/>
    <w:rsid w:val="0008088E"/>
    <w:rsid w:val="0009260E"/>
    <w:rsid w:val="000953CF"/>
    <w:rsid w:val="000B00D5"/>
    <w:rsid w:val="000D4B2E"/>
    <w:rsid w:val="000E584E"/>
    <w:rsid w:val="00107ACA"/>
    <w:rsid w:val="001110D8"/>
    <w:rsid w:val="00135922"/>
    <w:rsid w:val="00146551"/>
    <w:rsid w:val="001569CD"/>
    <w:rsid w:val="001715D0"/>
    <w:rsid w:val="001C1BEA"/>
    <w:rsid w:val="001C51E5"/>
    <w:rsid w:val="001D1ABA"/>
    <w:rsid w:val="001D2098"/>
    <w:rsid w:val="001D3FC7"/>
    <w:rsid w:val="001D6811"/>
    <w:rsid w:val="001E0E83"/>
    <w:rsid w:val="001E7A8A"/>
    <w:rsid w:val="00204673"/>
    <w:rsid w:val="0022171A"/>
    <w:rsid w:val="00222C9D"/>
    <w:rsid w:val="00224401"/>
    <w:rsid w:val="00226697"/>
    <w:rsid w:val="00231624"/>
    <w:rsid w:val="002368CB"/>
    <w:rsid w:val="00245908"/>
    <w:rsid w:val="002464F2"/>
    <w:rsid w:val="00252241"/>
    <w:rsid w:val="00255BD6"/>
    <w:rsid w:val="002610B2"/>
    <w:rsid w:val="0028000D"/>
    <w:rsid w:val="002B0C6B"/>
    <w:rsid w:val="002B2DC8"/>
    <w:rsid w:val="002B3CD7"/>
    <w:rsid w:val="002B458C"/>
    <w:rsid w:val="002B4FFD"/>
    <w:rsid w:val="002C7584"/>
    <w:rsid w:val="002E4CAD"/>
    <w:rsid w:val="002F38C4"/>
    <w:rsid w:val="002F4C58"/>
    <w:rsid w:val="002F4EFA"/>
    <w:rsid w:val="002F73C0"/>
    <w:rsid w:val="00311C37"/>
    <w:rsid w:val="003565C8"/>
    <w:rsid w:val="0036080E"/>
    <w:rsid w:val="003711F0"/>
    <w:rsid w:val="00384C55"/>
    <w:rsid w:val="00384F6E"/>
    <w:rsid w:val="003A4F73"/>
    <w:rsid w:val="003A7CA2"/>
    <w:rsid w:val="003B15E0"/>
    <w:rsid w:val="003B6A32"/>
    <w:rsid w:val="003C6F34"/>
    <w:rsid w:val="003E2E9E"/>
    <w:rsid w:val="003F1C77"/>
    <w:rsid w:val="0040194E"/>
    <w:rsid w:val="00402BE5"/>
    <w:rsid w:val="00403A5E"/>
    <w:rsid w:val="00404D20"/>
    <w:rsid w:val="004160A9"/>
    <w:rsid w:val="00423A78"/>
    <w:rsid w:val="0042556E"/>
    <w:rsid w:val="00431B24"/>
    <w:rsid w:val="00436F5D"/>
    <w:rsid w:val="0044279C"/>
    <w:rsid w:val="00442FD2"/>
    <w:rsid w:val="00456D05"/>
    <w:rsid w:val="0046030B"/>
    <w:rsid w:val="00471DC3"/>
    <w:rsid w:val="0048324A"/>
    <w:rsid w:val="00493A73"/>
    <w:rsid w:val="00494DBB"/>
    <w:rsid w:val="004A3E15"/>
    <w:rsid w:val="004B6C6D"/>
    <w:rsid w:val="004C3B65"/>
    <w:rsid w:val="004C4946"/>
    <w:rsid w:val="004D3C1A"/>
    <w:rsid w:val="004D7D5A"/>
    <w:rsid w:val="004F1666"/>
    <w:rsid w:val="00501509"/>
    <w:rsid w:val="00503664"/>
    <w:rsid w:val="0050723B"/>
    <w:rsid w:val="00526DC1"/>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53075"/>
    <w:rsid w:val="006641CA"/>
    <w:rsid w:val="00672941"/>
    <w:rsid w:val="00676F3F"/>
    <w:rsid w:val="00686CB6"/>
    <w:rsid w:val="006C4311"/>
    <w:rsid w:val="006C4AB7"/>
    <w:rsid w:val="006D0B9D"/>
    <w:rsid w:val="006D413B"/>
    <w:rsid w:val="006D5C9D"/>
    <w:rsid w:val="006D727C"/>
    <w:rsid w:val="007149A2"/>
    <w:rsid w:val="00721BC1"/>
    <w:rsid w:val="0072295B"/>
    <w:rsid w:val="0072356F"/>
    <w:rsid w:val="0073272C"/>
    <w:rsid w:val="007379C9"/>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F05"/>
    <w:rsid w:val="00821489"/>
    <w:rsid w:val="00822673"/>
    <w:rsid w:val="0083041F"/>
    <w:rsid w:val="00837A1C"/>
    <w:rsid w:val="00840699"/>
    <w:rsid w:val="008427EA"/>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556DD"/>
    <w:rsid w:val="00967765"/>
    <w:rsid w:val="00970E0C"/>
    <w:rsid w:val="009739A3"/>
    <w:rsid w:val="00977A2C"/>
    <w:rsid w:val="00983E2D"/>
    <w:rsid w:val="0098449D"/>
    <w:rsid w:val="00986B7A"/>
    <w:rsid w:val="00996D2B"/>
    <w:rsid w:val="00997D8D"/>
    <w:rsid w:val="009A732E"/>
    <w:rsid w:val="009A7D23"/>
    <w:rsid w:val="009C1F83"/>
    <w:rsid w:val="009C57E9"/>
    <w:rsid w:val="009E4F5E"/>
    <w:rsid w:val="009F15DF"/>
    <w:rsid w:val="00A00FB4"/>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05F15"/>
    <w:rsid w:val="00D11443"/>
    <w:rsid w:val="00D13441"/>
    <w:rsid w:val="00D23FBD"/>
    <w:rsid w:val="00D26D81"/>
    <w:rsid w:val="00D32AC3"/>
    <w:rsid w:val="00D36C56"/>
    <w:rsid w:val="00D44B75"/>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2213"/>
    <w:rsid w:val="00E07B6D"/>
    <w:rsid w:val="00E2125A"/>
    <w:rsid w:val="00E26E5A"/>
    <w:rsid w:val="00E3227A"/>
    <w:rsid w:val="00E34712"/>
    <w:rsid w:val="00E37C33"/>
    <w:rsid w:val="00E45956"/>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C6A76"/>
    <w:rsid w:val="00EE18BD"/>
    <w:rsid w:val="00EE2747"/>
    <w:rsid w:val="00EE56E1"/>
    <w:rsid w:val="00EE65B1"/>
    <w:rsid w:val="00EF3BDB"/>
    <w:rsid w:val="00EF4E8F"/>
    <w:rsid w:val="00F048BF"/>
    <w:rsid w:val="00F07C42"/>
    <w:rsid w:val="00F10EC3"/>
    <w:rsid w:val="00F12AAD"/>
    <w:rsid w:val="00F15DD4"/>
    <w:rsid w:val="00F23724"/>
    <w:rsid w:val="00F24CEB"/>
    <w:rsid w:val="00F26AD9"/>
    <w:rsid w:val="00F43A47"/>
    <w:rsid w:val="00F456C9"/>
    <w:rsid w:val="00F56E1C"/>
    <w:rsid w:val="00F74323"/>
    <w:rsid w:val="00F769AE"/>
    <w:rsid w:val="00F821ED"/>
    <w:rsid w:val="00F868CF"/>
    <w:rsid w:val="00F934F1"/>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00498FE-06E3-46D6-ABE8-9A0C0FBD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42</Pages>
  <Words>9861</Words>
  <Characters>54241</Characters>
  <Application>Microsoft Office Word</Application>
  <DocSecurity>0</DocSecurity>
  <Lines>452</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117</cp:revision>
  <dcterms:created xsi:type="dcterms:W3CDTF">2015-11-25T15:12:00Z</dcterms:created>
  <dcterms:modified xsi:type="dcterms:W3CDTF">2016-03-23T23:42:00Z</dcterms:modified>
</cp:coreProperties>
</file>