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r w:rsidR="00581F14">
        <w:rPr>
          <w:rStyle w:val="CommentReference"/>
        </w:rPr>
        <w:commentReference w:id="0"/>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r w:rsidR="00581F14">
        <w:rPr>
          <w:rStyle w:val="CommentReference"/>
        </w:rPr>
        <w:commentReference w:id="1"/>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r w:rsidR="004160A9">
        <w:rPr>
          <w:rStyle w:val="CommentReference"/>
        </w:rPr>
        <w:commentReference w:id="2"/>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2B458C">
        <w:rPr>
          <w:highlight w:val="green"/>
        </w:rPr>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6D5C9D">
        <w:rPr>
          <w:highlight w:val="green"/>
        </w:rPr>
        <w:t>factores de riesgo se encuentra pertenecer al género masculino</w:t>
      </w:r>
      <w:r w:rsidR="00783970" w:rsidRPr="00CA6A43">
        <w:t xml:space="preserve">. Sin embargo otro estudio realizado por Avellaneda, Pérez y Font-Mayolas (2010) </w:t>
      </w:r>
      <w:r w:rsidR="00783970" w:rsidRPr="006D5C9D">
        <w:rPr>
          <w:highlight w:val="green"/>
        </w:rPr>
        <w:t xml:space="preserve">menciona que la brecha entre el consumo de hombres y mujeres cada vez es más pequeña y que el consumo de alcohol va en crecimiento </w:t>
      </w:r>
      <w:r w:rsidR="00D32AC3" w:rsidRPr="006D5C9D">
        <w:rPr>
          <w:highlight w:val="green"/>
        </w:rPr>
        <w:t xml:space="preserve">paralelo a </w:t>
      </w:r>
      <w:r w:rsidR="00783970" w:rsidRPr="006D5C9D">
        <w:rPr>
          <w:highlight w:val="green"/>
        </w:rPr>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la </w:t>
      </w:r>
      <w:r w:rsidRPr="00E54C4C">
        <w:rPr>
          <w:highlight w:val="green"/>
        </w:rPr>
        <w:t xml:space="preserve">Facultad de </w:t>
      </w:r>
      <w:r w:rsidRPr="00E54C4C">
        <w:rPr>
          <w:highlight w:val="green"/>
        </w:rPr>
        <w:lastRenderedPageBreak/>
        <w:t>Ingeniería en donde prima el consumo de alto riesgo</w:t>
      </w:r>
      <w:r w:rsidRPr="00CA6A43">
        <w:t xml:space="preserve">. </w:t>
      </w:r>
      <w:r w:rsidRPr="00E54C4C">
        <w:rPr>
          <w:highlight w:val="green"/>
        </w:rPr>
        <w:t xml:space="preserve">Las carreras de Psicología y Filosofía tienen los </w:t>
      </w:r>
      <w:r w:rsidR="00E54C4C" w:rsidRPr="00E54C4C">
        <w:rPr>
          <w:highlight w:val="green"/>
        </w:rPr>
        <w:t>más</w:t>
      </w:r>
      <w:r w:rsidRPr="00E54C4C">
        <w:rPr>
          <w:highlight w:val="green"/>
        </w:rPr>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una </w:t>
      </w:r>
      <w:r w:rsidR="00D77A20" w:rsidRPr="00C24FD8">
        <w:rPr>
          <w:highlight w:val="green"/>
        </w:rPr>
        <w:t>correlación entre la edad de inicio del consumo de alcohol y el riesgo de ser dependient</w:t>
      </w:r>
      <w:r w:rsidR="00DA2E9E" w:rsidRPr="00C24FD8">
        <w:rPr>
          <w:highlight w:val="green"/>
        </w:rPr>
        <w:t>e al alcohol en la edad adulta</w:t>
      </w:r>
      <w:r w:rsidR="00DA2E9E" w:rsidRPr="00CA6A43">
        <w:t xml:space="preserve">, y en Colombia la </w:t>
      </w:r>
      <w:r w:rsidR="00DA2E9E" w:rsidRPr="00C24FD8">
        <w:rPr>
          <w:highlight w:val="green"/>
        </w:rPr>
        <w:t>edad pro</w:t>
      </w:r>
      <w:r w:rsidR="00764CBF" w:rsidRPr="00C24FD8">
        <w:rPr>
          <w:highlight w:val="green"/>
        </w:rPr>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diseñado para que los individuos contesten </w:t>
      </w:r>
      <w:r w:rsidRPr="007913F6">
        <w:rPr>
          <w:highlight w:val="green"/>
        </w:rPr>
        <w:t>10 preguntas</w:t>
      </w:r>
      <w:r w:rsidRPr="00CA6A43">
        <w:t xml:space="preserve"> relacionadas a </w:t>
      </w:r>
      <w:r w:rsidRPr="007913F6">
        <w:rPr>
          <w:highlight w:val="green"/>
        </w:rPr>
        <w:t>frecuencia</w:t>
      </w:r>
      <w:r w:rsidRPr="00CA6A43">
        <w:t xml:space="preserve">, </w:t>
      </w:r>
      <w:r w:rsidRPr="007913F6">
        <w:rPr>
          <w:highlight w:val="green"/>
        </w:rPr>
        <w:t>cantidad e impacto negativo del consumo de alcohol en la vida del individuo encuestado</w:t>
      </w:r>
      <w:r w:rsidRPr="00CA6A43">
        <w:t xml:space="preserve">. El puntaje total del AUDIT le permitirá al evaluador clasificar el consumo de alcohol del sujeto en: </w:t>
      </w:r>
      <w:r w:rsidRPr="007913F6">
        <w:rPr>
          <w:highlight w:val="green"/>
        </w:rPr>
        <w:t>consumo de riesgo</w:t>
      </w:r>
      <w:r w:rsidRPr="00CA6A43">
        <w:t xml:space="preserve">, </w:t>
      </w:r>
      <w:r w:rsidRPr="007913F6">
        <w:rPr>
          <w:highlight w:val="green"/>
        </w:rPr>
        <w:t>consumo perjudicial</w:t>
      </w:r>
      <w:r w:rsidRPr="00CA6A43">
        <w:t xml:space="preserve"> y la </w:t>
      </w:r>
      <w:r w:rsidRPr="007913F6">
        <w:rPr>
          <w:highlight w:val="green"/>
        </w:rPr>
        <w:t>dependencia al alcohol</w:t>
      </w:r>
      <w:r w:rsidR="00B17F7D">
        <w:t xml:space="preserve"> (OMS, 2001).</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Higgins-Biddle, Saunders y Monteiro, 2001), el </w:t>
      </w:r>
      <w:r w:rsidRPr="00B17F7D">
        <w:rPr>
          <w:highlight w:val="green"/>
        </w:rPr>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B17F7D">
        <w:rPr>
          <w:highlight w:val="cyan"/>
        </w:rPr>
        <w:t>consumo perjudicial está definido como “aquel que conlleva consecuencias para la salud física y mental”</w:t>
      </w:r>
      <w:r w:rsidRPr="00CA6A43">
        <w:t xml:space="preserve"> (p. 5) y la </w:t>
      </w:r>
      <w:r w:rsidRPr="00B17F7D">
        <w:rPr>
          <w:highlight w:val="yellow"/>
        </w:rPr>
        <w:t>dependencia está definida como “un conjunto de fenómenos conductuales, cognitivos, y fisiológicos que pueden aparecer después del consumo repetido de alcohol”</w:t>
      </w:r>
      <w:r w:rsidRPr="00CA6A43">
        <w:t xml:space="preserve">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xml:space="preserve">, 2009). Según Villatoro et al. (citados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F048BF">
        <w:rPr>
          <w:highlight w:val="green"/>
        </w:rPr>
        <w:t>comunicación oral y escrita II</w:t>
      </w:r>
      <w:r w:rsidRPr="00CA6A43">
        <w:t xml:space="preserve"> son considerados estudiantes en transición a la vida universitaria ya que generalmente debe ser cursada en </w:t>
      </w:r>
      <w:r w:rsidRPr="00F048BF">
        <w:rPr>
          <w:highlight w:val="green"/>
        </w:rPr>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El instrumento utilizado es el AUDIT, cuyas siglas en inglés significan “Alcohol Use Disorders Identification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77777777"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(Statistical Package for the Social Sciences).</w:t>
      </w:r>
    </w:p>
    <w:p w14:paraId="67368DFD" w14:textId="77777777" w:rsidR="00C970CB" w:rsidRDefault="00C970CB" w:rsidP="00A9493A">
      <w:pPr>
        <w:spacing w:line="480" w:lineRule="auto"/>
        <w:ind w:firstLine="709"/>
        <w:contextualSpacing/>
        <w:jc w:val="both"/>
      </w:pPr>
    </w:p>
    <w:p w14:paraId="32F20B70" w14:textId="09939D08" w:rsidR="00C970CB" w:rsidRDefault="00C970CB" w:rsidP="00C970CB">
      <w:pPr>
        <w:pStyle w:val="ListParagraph"/>
        <w:numPr>
          <w:ilvl w:val="1"/>
          <w:numId w:val="13"/>
        </w:numPr>
        <w:spacing w:line="480" w:lineRule="auto"/>
        <w:jc w:val="both"/>
        <w:rPr>
          <w:b/>
        </w:rPr>
      </w:pPr>
      <w:r w:rsidRPr="00C970CB">
        <w:rPr>
          <w:b/>
        </w:rPr>
        <w:t>ANÁLISIS DE DATOS: Contrastes Estadísticos utilizados</w:t>
      </w:r>
    </w:p>
    <w:p w14:paraId="2D2E5079" w14:textId="0A789ABA" w:rsidR="00C970CB" w:rsidRDefault="0028000D" w:rsidP="00C970CB">
      <w:pPr>
        <w:spacing w:line="480" w:lineRule="auto"/>
        <w:jc w:val="both"/>
      </w:pPr>
      <w:r>
        <w:t>Mostrar un listado con los pasos a desarrollarse en la investigación, descripción de técnicas o métodos utilizados con el fin de dar respuesta a los objetivos planteados en la investigación.</w:t>
      </w:r>
    </w:p>
    <w:p w14:paraId="3658DF3B" w14:textId="056E9465" w:rsidR="0028000D" w:rsidRDefault="0028000D" w:rsidP="00C970CB">
      <w:pPr>
        <w:spacing w:line="480" w:lineRule="auto"/>
        <w:jc w:val="both"/>
        <w:rPr>
          <w:lang w:val="es-CO"/>
        </w:rPr>
      </w:pPr>
      <w:r w:rsidRPr="00E02213">
        <w:rPr>
          <w:b/>
          <w:lang w:val="es-CO"/>
        </w:rPr>
        <w:t>Test no paramétricos para el contraste de dos poblaciones independientes</w:t>
      </w:r>
      <w:r>
        <w:rPr>
          <w:lang w:val="es-CO"/>
        </w:rPr>
        <w:t>:</w:t>
      </w:r>
      <w:r w:rsidRPr="0028000D">
        <w:rPr>
          <w:lang w:val="es-CO"/>
        </w:rPr>
        <w:t xml:space="preserve"> Test U de Mann Whitney</w:t>
      </w:r>
      <w:r>
        <w:rPr>
          <w:lang w:val="es-CO"/>
        </w:rPr>
        <w:t xml:space="preserve"> y Test de Wilcoxon</w:t>
      </w:r>
    </w:p>
    <w:p w14:paraId="67A43B41" w14:textId="53AA0FE1" w:rsidR="00E02213" w:rsidRPr="0028000D" w:rsidRDefault="00E02213" w:rsidP="00C970CB">
      <w:pPr>
        <w:spacing w:line="480" w:lineRule="auto"/>
        <w:jc w:val="both"/>
        <w:rPr>
          <w:lang w:val="es-CO"/>
        </w:rPr>
      </w:pPr>
      <w:r w:rsidRPr="00E02213">
        <w:rPr>
          <w:b/>
          <w:lang w:val="es-CO"/>
        </w:rPr>
        <w:t>Test no paramétricos para el contraste de más de dos poblaciones independientes</w:t>
      </w:r>
      <w:r>
        <w:rPr>
          <w:lang w:val="es-CO"/>
        </w:rPr>
        <w:t>: Test de Kruskal-Wallis</w:t>
      </w:r>
    </w:p>
    <w:p w14:paraId="24E8C505" w14:textId="0775C596" w:rsidR="0028000D" w:rsidRDefault="0028000D" w:rsidP="00C970CB">
      <w:pPr>
        <w:spacing w:line="480" w:lineRule="auto"/>
        <w:jc w:val="both"/>
      </w:pPr>
      <w:r w:rsidRPr="00E02213">
        <w:rPr>
          <w:b/>
        </w:rPr>
        <w:t>Coeficientes de correlación no paramétricos</w:t>
      </w:r>
      <w:r>
        <w:t>: Correlación de Spearman y Correlación de Kendall</w:t>
      </w:r>
    </w:p>
    <w:p w14:paraId="52973A5E" w14:textId="57500F64" w:rsidR="0028000D" w:rsidRPr="00E02213" w:rsidRDefault="0028000D" w:rsidP="00C970CB">
      <w:pPr>
        <w:spacing w:line="480" w:lineRule="auto"/>
        <w:jc w:val="both"/>
        <w:rPr>
          <w:b/>
        </w:rPr>
      </w:pPr>
      <w:r w:rsidRPr="00E02213">
        <w:rPr>
          <w:b/>
        </w:rPr>
        <w:t>Análisis de correspondencias múltiples o Análisis de componentes principales categórico</w:t>
      </w:r>
    </w:p>
    <w:p w14:paraId="0E9EF637" w14:textId="53EFEAA4" w:rsidR="00EB1C36" w:rsidRPr="00E02213" w:rsidRDefault="00E02213" w:rsidP="00C970CB">
      <w:pPr>
        <w:spacing w:line="480" w:lineRule="auto"/>
        <w:jc w:val="both"/>
        <w:rPr>
          <w:color w:val="FF0000"/>
        </w:rPr>
      </w:pPr>
      <w:r>
        <w:rPr>
          <w:color w:val="FF0000"/>
        </w:rPr>
        <w:lastRenderedPageBreak/>
        <w:t>Utilizar mi tesis</w:t>
      </w:r>
    </w:p>
    <w:p w14:paraId="03584F4F" w14:textId="77777777" w:rsidR="00EB1C36" w:rsidRPr="00E02213" w:rsidRDefault="00EB1C36" w:rsidP="00C970CB">
      <w:pPr>
        <w:spacing w:line="480" w:lineRule="auto"/>
        <w:jc w:val="both"/>
      </w:pPr>
    </w:p>
    <w:p w14:paraId="6DE74D6F" w14:textId="77777777" w:rsidR="00EB1C36" w:rsidRPr="00E02213" w:rsidRDefault="00EB1C36"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lastRenderedPageBreak/>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personas )41,1%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lastRenderedPageBreak/>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Como se observa en el siguiente histograma, el comportamiento del puntaje AUDIT para el grupo de estudiantes encuestados muestra un comportamiento asimétrico positivo, lo que indica que la mayoría de los casos 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lastRenderedPageBreak/>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28000D"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lastRenderedPageBreak/>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28000D"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28000D"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7345F">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7345F">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7345F">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28000D"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lastRenderedPageBreak/>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r w:rsidRPr="00CA0301">
        <w:t>Boxplot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Resultados del test Kruskal-Wallis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4A168251"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primera propuesta: Análisis de correspondencias múltiple</w:t>
      </w:r>
    </w:p>
    <w:p w14:paraId="488EDF48" w14:textId="5B625B86" w:rsidR="007E4887"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 son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w:t>
      </w:r>
      <w:bookmarkStart w:id="3" w:name="_GoBack"/>
      <w:bookmarkEnd w:id="3"/>
      <w:r>
        <w:rPr>
          <w:rFonts w:eastAsiaTheme="minorEastAsia"/>
          <w:lang w:val="es-CO" w:eastAsia="ja-JP"/>
        </w:rPr>
        <w:t xml:space="preserve">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w:t>
      </w:r>
      <w:r w:rsidRPr="00CA6A43">
        <w:rPr>
          <w:color w:val="000000" w:themeColor="text1"/>
        </w:rPr>
        <w:lastRenderedPageBreak/>
        <w:t>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4160A9">
        <w:rPr>
          <w:lang w:val="en-US"/>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4160A9">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r w:rsidRPr="00581F14">
        <w:rPr>
          <w:lang w:val="en-US"/>
        </w:rPr>
        <w:lastRenderedPageBreak/>
        <w:t>Gantiva, C.A., Bello, J., Vanegas, E. &amp; Sastoque, Y.</w:t>
      </w:r>
      <w:r w:rsidR="00C9678C" w:rsidRPr="00581F14">
        <w:rPr>
          <w:lang w:val="en-US"/>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8"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r w:rsidRPr="00581F14">
        <w:rPr>
          <w:lang w:val="en-US"/>
        </w:rPr>
        <w:lastRenderedPageBreak/>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19"/>
      <w:footerReference w:type="default" r:id="rId20"/>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hicanoy Estrella, Harold Armando (CIAT)" w:date="2016-03-11T14:23:00Z" w:initials="AEHA(">
    <w:p w14:paraId="7CDD209B" w14:textId="58356934" w:rsidR="00574BC3" w:rsidRDefault="00574BC3">
      <w:pPr>
        <w:pStyle w:val="CommentText"/>
      </w:pPr>
      <w:r>
        <w:rPr>
          <w:rStyle w:val="CommentReference"/>
        </w:rPr>
        <w:annotationRef/>
      </w:r>
      <w:r>
        <w:t>Identificar patrones de consumo en base a las combinaciones de respuestas del cuestionario mediante un análisis multivariado y realizar su respectiva caracterización, puede ser con estadísticas descriptivas. Incluso se puede plantear un modelo PLS-PM en R para identificar cómo afecta cada variable y/o constructo a los patrones de consumo.</w:t>
      </w:r>
    </w:p>
  </w:comment>
  <w:comment w:id="1" w:author="Achicanoy Estrella, Harold Armando (CIAT)" w:date="2016-03-11T14:26:00Z" w:initials="AEHA(">
    <w:p w14:paraId="430C949F" w14:textId="1B8DEFFA" w:rsidR="00574BC3" w:rsidRDefault="00574BC3">
      <w:pPr>
        <w:pStyle w:val="CommentText"/>
      </w:pPr>
      <w:r>
        <w:rPr>
          <w:rStyle w:val="CommentReference"/>
        </w:rPr>
        <w:annotationRef/>
      </w:r>
      <w:r>
        <w:t>Se podría dar respuesta con los resultados del apartado anterior o mediante test de hipótesis, no obstante, consultar método de muestreo usado.</w:t>
      </w:r>
    </w:p>
  </w:comment>
  <w:comment w:id="2" w:author="Achicanoy Estrella, Harold Armando (CIAT)" w:date="2016-03-12T18:11:00Z" w:initials="AEHA(">
    <w:p w14:paraId="1411E2C2" w14:textId="6278C3DC" w:rsidR="00574BC3" w:rsidRDefault="00574BC3">
      <w:pPr>
        <w:pStyle w:val="CommentText"/>
      </w:pPr>
      <w:r>
        <w:rPr>
          <w:rStyle w:val="CommentReference"/>
        </w:rPr>
        <w:annotationRef/>
      </w:r>
      <w:r>
        <w:t>Tal vez se encuentra un poco ambiguo, no obstante, no estoy seguro sobre sí se encuentra bien formulada la hipótesis.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D209B" w15:done="0"/>
  <w15:commentEx w15:paraId="430C949F" w15:done="0"/>
  <w15:commentEx w15:paraId="1411E2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EA5D5" w14:textId="77777777" w:rsidR="00D05F15" w:rsidRDefault="00D05F15" w:rsidP="00757E9C">
      <w:r>
        <w:separator/>
      </w:r>
    </w:p>
  </w:endnote>
  <w:endnote w:type="continuationSeparator" w:id="0">
    <w:p w14:paraId="0418129D" w14:textId="77777777" w:rsidR="00D05F15" w:rsidRDefault="00D05F15"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574BC3" w:rsidRDefault="00574BC3"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574BC3" w:rsidRDefault="00574BC3"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574BC3" w:rsidRDefault="00574BC3"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66A1D">
      <w:rPr>
        <w:rStyle w:val="PageNumber"/>
        <w:noProof/>
      </w:rPr>
      <w:t>31</w:t>
    </w:r>
    <w:r>
      <w:rPr>
        <w:rStyle w:val="PageNumber"/>
      </w:rPr>
      <w:fldChar w:fldCharType="end"/>
    </w:r>
  </w:p>
  <w:p w14:paraId="6F77EF52" w14:textId="77777777" w:rsidR="00574BC3" w:rsidRDefault="00574BC3"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D8132" w14:textId="77777777" w:rsidR="00D05F15" w:rsidRDefault="00D05F15" w:rsidP="00757E9C">
      <w:r>
        <w:separator/>
      </w:r>
    </w:p>
  </w:footnote>
  <w:footnote w:type="continuationSeparator" w:id="0">
    <w:p w14:paraId="6A08DAD8" w14:textId="77777777" w:rsidR="00D05F15" w:rsidRDefault="00D05F15"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52835"/>
    <w:rsid w:val="00063762"/>
    <w:rsid w:val="00063C8A"/>
    <w:rsid w:val="00076336"/>
    <w:rsid w:val="0008088E"/>
    <w:rsid w:val="0009260E"/>
    <w:rsid w:val="000953CF"/>
    <w:rsid w:val="000B00D5"/>
    <w:rsid w:val="000D4B2E"/>
    <w:rsid w:val="000E584E"/>
    <w:rsid w:val="00107ACA"/>
    <w:rsid w:val="001110D8"/>
    <w:rsid w:val="00135922"/>
    <w:rsid w:val="00146551"/>
    <w:rsid w:val="001715D0"/>
    <w:rsid w:val="001C1BEA"/>
    <w:rsid w:val="001C51E5"/>
    <w:rsid w:val="001D1ABA"/>
    <w:rsid w:val="001D2098"/>
    <w:rsid w:val="001D3FC7"/>
    <w:rsid w:val="001E0E83"/>
    <w:rsid w:val="001E7A8A"/>
    <w:rsid w:val="00204673"/>
    <w:rsid w:val="0022171A"/>
    <w:rsid w:val="00222C9D"/>
    <w:rsid w:val="00226697"/>
    <w:rsid w:val="00231624"/>
    <w:rsid w:val="002368CB"/>
    <w:rsid w:val="00245908"/>
    <w:rsid w:val="002464F2"/>
    <w:rsid w:val="00252241"/>
    <w:rsid w:val="00255BD6"/>
    <w:rsid w:val="0028000D"/>
    <w:rsid w:val="002B0C6B"/>
    <w:rsid w:val="002B2DC8"/>
    <w:rsid w:val="002B3CD7"/>
    <w:rsid w:val="002B458C"/>
    <w:rsid w:val="002B4FFD"/>
    <w:rsid w:val="002C7584"/>
    <w:rsid w:val="002E4CAD"/>
    <w:rsid w:val="002F38C4"/>
    <w:rsid w:val="002F4C58"/>
    <w:rsid w:val="002F4EFA"/>
    <w:rsid w:val="002F73C0"/>
    <w:rsid w:val="00311C37"/>
    <w:rsid w:val="003565C8"/>
    <w:rsid w:val="00384C55"/>
    <w:rsid w:val="00384F6E"/>
    <w:rsid w:val="003A4F73"/>
    <w:rsid w:val="003A7CA2"/>
    <w:rsid w:val="003B15E0"/>
    <w:rsid w:val="003B6A32"/>
    <w:rsid w:val="003C6F34"/>
    <w:rsid w:val="003E2E9E"/>
    <w:rsid w:val="003F1C77"/>
    <w:rsid w:val="0040194E"/>
    <w:rsid w:val="00402BE5"/>
    <w:rsid w:val="00403A5E"/>
    <w:rsid w:val="00404D20"/>
    <w:rsid w:val="004160A9"/>
    <w:rsid w:val="0042556E"/>
    <w:rsid w:val="00431B24"/>
    <w:rsid w:val="00436F5D"/>
    <w:rsid w:val="0044279C"/>
    <w:rsid w:val="00456D05"/>
    <w:rsid w:val="0046030B"/>
    <w:rsid w:val="00471DC3"/>
    <w:rsid w:val="00493A73"/>
    <w:rsid w:val="00494DBB"/>
    <w:rsid w:val="004C3B65"/>
    <w:rsid w:val="004C4946"/>
    <w:rsid w:val="004D3C1A"/>
    <w:rsid w:val="004F1666"/>
    <w:rsid w:val="00501509"/>
    <w:rsid w:val="00503664"/>
    <w:rsid w:val="0050723B"/>
    <w:rsid w:val="00526DC1"/>
    <w:rsid w:val="00527DC1"/>
    <w:rsid w:val="005343AF"/>
    <w:rsid w:val="00552E53"/>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981"/>
    <w:rsid w:val="005F255F"/>
    <w:rsid w:val="006013C5"/>
    <w:rsid w:val="0060693C"/>
    <w:rsid w:val="00617551"/>
    <w:rsid w:val="00653075"/>
    <w:rsid w:val="006641CA"/>
    <w:rsid w:val="00676F3F"/>
    <w:rsid w:val="00686CB6"/>
    <w:rsid w:val="006C4311"/>
    <w:rsid w:val="006C4AB7"/>
    <w:rsid w:val="006D0B9D"/>
    <w:rsid w:val="006D5C9D"/>
    <w:rsid w:val="006D727C"/>
    <w:rsid w:val="007149A2"/>
    <w:rsid w:val="00721BC1"/>
    <w:rsid w:val="0072295B"/>
    <w:rsid w:val="0072356F"/>
    <w:rsid w:val="0073272C"/>
    <w:rsid w:val="007379C9"/>
    <w:rsid w:val="00755973"/>
    <w:rsid w:val="00757E9C"/>
    <w:rsid w:val="00764CBF"/>
    <w:rsid w:val="00767E92"/>
    <w:rsid w:val="00770CC7"/>
    <w:rsid w:val="007800CC"/>
    <w:rsid w:val="00783970"/>
    <w:rsid w:val="007913F6"/>
    <w:rsid w:val="00793C72"/>
    <w:rsid w:val="007A3982"/>
    <w:rsid w:val="007A6E01"/>
    <w:rsid w:val="007B49DA"/>
    <w:rsid w:val="007B6AC4"/>
    <w:rsid w:val="007C334E"/>
    <w:rsid w:val="007C7A5B"/>
    <w:rsid w:val="007C7AC1"/>
    <w:rsid w:val="007D7469"/>
    <w:rsid w:val="007E3C06"/>
    <w:rsid w:val="007E4887"/>
    <w:rsid w:val="007F3C9F"/>
    <w:rsid w:val="007F62ED"/>
    <w:rsid w:val="0080085C"/>
    <w:rsid w:val="00801CFC"/>
    <w:rsid w:val="00821489"/>
    <w:rsid w:val="00822673"/>
    <w:rsid w:val="0083041F"/>
    <w:rsid w:val="00837A1C"/>
    <w:rsid w:val="00840699"/>
    <w:rsid w:val="008427EA"/>
    <w:rsid w:val="00850DDC"/>
    <w:rsid w:val="00854074"/>
    <w:rsid w:val="0086404E"/>
    <w:rsid w:val="00865C70"/>
    <w:rsid w:val="008665F5"/>
    <w:rsid w:val="00870316"/>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27C25"/>
    <w:rsid w:val="00933D5F"/>
    <w:rsid w:val="009362A2"/>
    <w:rsid w:val="00936E7E"/>
    <w:rsid w:val="00941081"/>
    <w:rsid w:val="00952014"/>
    <w:rsid w:val="00967765"/>
    <w:rsid w:val="00970E0C"/>
    <w:rsid w:val="009739A3"/>
    <w:rsid w:val="00977A2C"/>
    <w:rsid w:val="00983E2D"/>
    <w:rsid w:val="00996D2B"/>
    <w:rsid w:val="009A7D23"/>
    <w:rsid w:val="009C1F83"/>
    <w:rsid w:val="009C57E9"/>
    <w:rsid w:val="009E4F5E"/>
    <w:rsid w:val="009F15DF"/>
    <w:rsid w:val="00A00FB4"/>
    <w:rsid w:val="00A248BF"/>
    <w:rsid w:val="00A336A6"/>
    <w:rsid w:val="00A65D43"/>
    <w:rsid w:val="00A70808"/>
    <w:rsid w:val="00A80871"/>
    <w:rsid w:val="00A85606"/>
    <w:rsid w:val="00A9493A"/>
    <w:rsid w:val="00A97DE4"/>
    <w:rsid w:val="00AA055D"/>
    <w:rsid w:val="00AA0A42"/>
    <w:rsid w:val="00AA6AC9"/>
    <w:rsid w:val="00AB2DAC"/>
    <w:rsid w:val="00AC635D"/>
    <w:rsid w:val="00AD2558"/>
    <w:rsid w:val="00AD35DC"/>
    <w:rsid w:val="00AD5AD4"/>
    <w:rsid w:val="00AE138A"/>
    <w:rsid w:val="00AE343A"/>
    <w:rsid w:val="00AF3650"/>
    <w:rsid w:val="00B17F7D"/>
    <w:rsid w:val="00B22452"/>
    <w:rsid w:val="00B25C5F"/>
    <w:rsid w:val="00B62BD0"/>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05F15"/>
    <w:rsid w:val="00D11443"/>
    <w:rsid w:val="00D13441"/>
    <w:rsid w:val="00D23FBD"/>
    <w:rsid w:val="00D26D81"/>
    <w:rsid w:val="00D32AC3"/>
    <w:rsid w:val="00D36C56"/>
    <w:rsid w:val="00D44B75"/>
    <w:rsid w:val="00D53ED7"/>
    <w:rsid w:val="00D66A1D"/>
    <w:rsid w:val="00D66BFC"/>
    <w:rsid w:val="00D77A20"/>
    <w:rsid w:val="00D869A3"/>
    <w:rsid w:val="00D94EF4"/>
    <w:rsid w:val="00D95A5E"/>
    <w:rsid w:val="00D97548"/>
    <w:rsid w:val="00DA1872"/>
    <w:rsid w:val="00DA2E9E"/>
    <w:rsid w:val="00DA380D"/>
    <w:rsid w:val="00DB0AC4"/>
    <w:rsid w:val="00DD14EF"/>
    <w:rsid w:val="00DD1CE8"/>
    <w:rsid w:val="00DD492B"/>
    <w:rsid w:val="00DE1636"/>
    <w:rsid w:val="00DE2339"/>
    <w:rsid w:val="00E00CFD"/>
    <w:rsid w:val="00E02213"/>
    <w:rsid w:val="00E07B6D"/>
    <w:rsid w:val="00E2125A"/>
    <w:rsid w:val="00E26E5A"/>
    <w:rsid w:val="00E3227A"/>
    <w:rsid w:val="00E34712"/>
    <w:rsid w:val="00E37C33"/>
    <w:rsid w:val="00E51847"/>
    <w:rsid w:val="00E54C4C"/>
    <w:rsid w:val="00E56E16"/>
    <w:rsid w:val="00E63DC1"/>
    <w:rsid w:val="00E71731"/>
    <w:rsid w:val="00E7394E"/>
    <w:rsid w:val="00E8032F"/>
    <w:rsid w:val="00E82F34"/>
    <w:rsid w:val="00E95A48"/>
    <w:rsid w:val="00EA32D9"/>
    <w:rsid w:val="00EB15B4"/>
    <w:rsid w:val="00EB1C36"/>
    <w:rsid w:val="00EB2709"/>
    <w:rsid w:val="00EB2B41"/>
    <w:rsid w:val="00EB4E82"/>
    <w:rsid w:val="00EE18BD"/>
    <w:rsid w:val="00EE2747"/>
    <w:rsid w:val="00EE56E1"/>
    <w:rsid w:val="00EE65B1"/>
    <w:rsid w:val="00EF3BDB"/>
    <w:rsid w:val="00F048BF"/>
    <w:rsid w:val="00F07C42"/>
    <w:rsid w:val="00F10EC3"/>
    <w:rsid w:val="00F12AAD"/>
    <w:rsid w:val="00F23724"/>
    <w:rsid w:val="00F24CEB"/>
    <w:rsid w:val="00F26AD9"/>
    <w:rsid w:val="00F43A47"/>
    <w:rsid w:val="00F456C9"/>
    <w:rsid w:val="00F56E1C"/>
    <w:rsid w:val="00F74323"/>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cursos.infodrogas.gub.uy/CIPA/Ponencias/301106-MMonteiro-Presidenc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158FB63-E07A-4295-93AE-18E5764B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Pages>
  <Words>8496</Words>
  <Characters>46730</Characters>
  <Application>Microsoft Office Word</Application>
  <DocSecurity>0</DocSecurity>
  <Lines>389</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93</cp:revision>
  <dcterms:created xsi:type="dcterms:W3CDTF">2015-11-25T15:12:00Z</dcterms:created>
  <dcterms:modified xsi:type="dcterms:W3CDTF">2016-03-22T19:41:00Z</dcterms:modified>
</cp:coreProperties>
</file>