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761940">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5B4ED06B"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r w:rsidR="00761940" w:rsidRPr="00CA6A43">
        <w:t>encontró</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E45956">
        <w:t>factores de riesgo se encuentra pertenecer al género masculino</w:t>
      </w:r>
      <w:r w:rsidR="00783970" w:rsidRPr="00CA6A43">
        <w:t>. Sin embargo otro estudio realizado por Avellaneda, Pérez y Font-</w:t>
      </w:r>
      <w:proofErr w:type="spellStart"/>
      <w:r w:rsidR="00783970" w:rsidRPr="00CA6A43">
        <w:t>Mayolas</w:t>
      </w:r>
      <w:proofErr w:type="spellEnd"/>
      <w:r w:rsidR="00783970" w:rsidRPr="00CA6A43">
        <w:t xml:space="preserve"> (2010) </w:t>
      </w:r>
      <w:r w:rsidR="00783970" w:rsidRPr="00E45956">
        <w:t xml:space="preserve">menciona que la brecha entre el consumo de hombres y mujeres cada vez es más pequeña y que el consumo de alcohol va en crecimiento </w:t>
      </w:r>
      <w:r w:rsidR="00D32AC3" w:rsidRPr="00E45956">
        <w:t xml:space="preserve">paralelo a </w:t>
      </w:r>
      <w:r w:rsidR="00783970" w:rsidRPr="00E45956">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la </w:t>
      </w:r>
      <w:r w:rsidRPr="00E45956">
        <w:t xml:space="preserve">Facultad de </w:t>
      </w:r>
      <w:r w:rsidRPr="00E45956">
        <w:lastRenderedPageBreak/>
        <w:t xml:space="preserve">Ingeniería en donde prima el consumo de alto riesgo. Las carreras de Psicología y Filosofía tienen los </w:t>
      </w:r>
      <w:r w:rsidR="00E54C4C" w:rsidRPr="00E45956">
        <w:t>más</w:t>
      </w:r>
      <w:r w:rsidRPr="00E45956">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 xml:space="preserve">Por ejemplo si un individuo es diagnosticado con un trastorno por consumo de sustancias y tiene un trastorno mental coexistente pero éste no es detectado, una vez suspenda el consumo de sustancias (las cuales probablemente le estaban “sirviendo” para </w:t>
      </w:r>
      <w:proofErr w:type="spellStart"/>
      <w:r w:rsidR="008E02F8" w:rsidRPr="00CA6A43">
        <w:t>automedicar</w:t>
      </w:r>
      <w:proofErr w:type="spellEnd"/>
      <w:r w:rsidR="008E02F8" w:rsidRPr="00CA6A43">
        <w:t xml:space="preserve">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Rodriguez,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una </w:t>
      </w:r>
      <w:r w:rsidR="00D77A20" w:rsidRPr="00E45956">
        <w:t>correlación entre la edad de inicio del consumo de alcohol y el riesgo de ser dependient</w:t>
      </w:r>
      <w:r w:rsidR="00DA2E9E" w:rsidRPr="00E45956">
        <w:t>e al alcohol en la edad adulta</w:t>
      </w:r>
      <w:r w:rsidR="00DA2E9E" w:rsidRPr="00CA6A43">
        <w:t xml:space="preserve">, y en Colombia la </w:t>
      </w:r>
      <w:r w:rsidR="00DA2E9E" w:rsidRPr="00E45956">
        <w:t>edad pro</w:t>
      </w:r>
      <w:r w:rsidR="00764CBF" w:rsidRPr="00E45956">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w:t>
      </w:r>
      <w:proofErr w:type="spellStart"/>
      <w:r w:rsidRPr="00CA6A43">
        <w:rPr>
          <w:highlight w:val="yellow"/>
        </w:rPr>
        <w:t>precontemplación</w:t>
      </w:r>
      <w:proofErr w:type="spellEnd"/>
      <w:r w:rsidRPr="00CA6A43">
        <w:rPr>
          <w:highlight w:val="yellow"/>
        </w:rPr>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diseñado para que los individuos contesten </w:t>
      </w:r>
      <w:r w:rsidRPr="004A3E15">
        <w:t>10 preguntas</w:t>
      </w:r>
      <w:r w:rsidRPr="00CA6A43">
        <w:t xml:space="preserve"> relacionadas a </w:t>
      </w:r>
      <w:r w:rsidRPr="004A3E15">
        <w:t>frecuencia, cantidad e impacto negativo del consumo de alcohol en la vida del individuo encuestado</w:t>
      </w:r>
      <w:r w:rsidRPr="00CA6A43">
        <w:t>. El puntaje total del AUDIT le permitirá al evaluador clasificar el consumo de alcohol del sujeto e</w:t>
      </w:r>
      <w:r w:rsidRPr="004A3E15">
        <w:t>n: consumo de riesgo, consumo perjudicial y la dependencia al alcohol</w:t>
      </w:r>
      <w:r w:rsidR="00B17F7D" w:rsidRPr="004A3E15">
        <w:t xml:space="preserve"> (OMS, 2001</w:t>
      </w:r>
      <w:r w:rsidR="00B17F7D">
        <w:t>).</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w:t>
      </w:r>
      <w:proofErr w:type="spellStart"/>
      <w:r w:rsidRPr="00CA6A43">
        <w:t>Higgins-Biddle</w:t>
      </w:r>
      <w:proofErr w:type="spellEnd"/>
      <w:r w:rsidRPr="00CA6A43">
        <w:t xml:space="preserve">, Saunders y </w:t>
      </w:r>
      <w:proofErr w:type="spellStart"/>
      <w:r w:rsidRPr="00CA6A43">
        <w:t>Monteiro</w:t>
      </w:r>
      <w:proofErr w:type="spellEnd"/>
      <w:r w:rsidRPr="00CA6A43">
        <w:t xml:space="preserve">, 2001), el </w:t>
      </w:r>
      <w:r w:rsidRPr="004A3E15">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4A3E15">
        <w:t>consumo perjudicial está definido como “aquel que conlleva consecuencias para la salud física y mental”</w:t>
      </w:r>
      <w:r w:rsidRPr="00CA6A43">
        <w:t xml:space="preserve"> (p. 5) y la </w:t>
      </w:r>
      <w:r w:rsidRPr="004A3E15">
        <w:t>dependencia está definida como “un conjunto de fenómenos conductuales, cognitivos, y fisiológicos que pueden aparecer después del consumo repetido de alcohol” (</w:t>
      </w:r>
      <w:r w:rsidRPr="00CA6A43">
        <w:t xml:space="preserve">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36080E">
        <w:t>comunicación oral y escrita II</w:t>
      </w:r>
      <w:r w:rsidRPr="00CA6A43">
        <w:t xml:space="preserve"> son considerados estudiantes en transición a la vida universitaria ya que generalmente debe ser cursada en </w:t>
      </w:r>
      <w:r w:rsidRPr="0036080E">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 xml:space="preserve">El instrumento utilizado es el AUDIT, cuyas siglas en inglés significan “Alcohol Use </w:t>
      </w:r>
      <w:proofErr w:type="spellStart"/>
      <w:r w:rsidRPr="00CA6A43">
        <w:t>Disorders</w:t>
      </w:r>
      <w:proofErr w:type="spellEnd"/>
      <w:r w:rsidRPr="00CA6A43">
        <w:t xml:space="preserve"> </w:t>
      </w:r>
      <w:proofErr w:type="spellStart"/>
      <w:r w:rsidRPr="00CA6A43">
        <w:t>Identification</w:t>
      </w:r>
      <w:proofErr w:type="spellEnd"/>
      <w:r w:rsidRPr="00CA6A43">
        <w:t xml:space="preserve">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62394195"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w:t>
      </w:r>
      <w:proofErr w:type="spellStart"/>
      <w:r w:rsidRPr="00CA6A43">
        <w:t>Statistical</w:t>
      </w:r>
      <w:proofErr w:type="spellEnd"/>
      <w:r w:rsidRPr="00CA6A43">
        <w:t xml:space="preserve"> </w:t>
      </w:r>
      <w:proofErr w:type="spellStart"/>
      <w:r w:rsidRPr="00CA6A43">
        <w:t>Package</w:t>
      </w:r>
      <w:proofErr w:type="spellEnd"/>
      <w:r w:rsidRPr="00CA6A43">
        <w:t xml:space="preserve"> </w:t>
      </w:r>
      <w:proofErr w:type="spellStart"/>
      <w:r w:rsidRPr="00CA6A43">
        <w:t>for</w:t>
      </w:r>
      <w:proofErr w:type="spellEnd"/>
      <w:r w:rsidRPr="00CA6A43">
        <w:t xml:space="preserve"> </w:t>
      </w:r>
      <w:proofErr w:type="spellStart"/>
      <w:r w:rsidRPr="00CA6A43">
        <w:t>the</w:t>
      </w:r>
      <w:proofErr w:type="spellEnd"/>
      <w:r w:rsidRPr="00CA6A43">
        <w:t xml:space="preserve"> Social </w:t>
      </w:r>
      <w:proofErr w:type="spellStart"/>
      <w:r w:rsidRPr="00CA6A43">
        <w:t>Sciences</w:t>
      </w:r>
      <w:proofErr w:type="spellEnd"/>
      <w:r w:rsidRPr="00CA6A43">
        <w:t>)</w:t>
      </w:r>
      <w:r w:rsidR="00761940">
        <w:t xml:space="preserve"> que consta de variables como género, edad, carrera, facultad y las respuestas a las 10 preguntas de las cuales consta el AUDIT</w:t>
      </w:r>
      <w:r w:rsidRPr="00CA6A43">
        <w:t>.</w:t>
      </w:r>
    </w:p>
    <w:p w14:paraId="67368DFD" w14:textId="77777777" w:rsidR="00C970CB" w:rsidRDefault="00C970CB" w:rsidP="00A9493A">
      <w:pPr>
        <w:spacing w:line="480" w:lineRule="auto"/>
        <w:ind w:firstLine="709"/>
        <w:contextualSpacing/>
        <w:jc w:val="both"/>
      </w:pPr>
    </w:p>
    <w:p w14:paraId="350632F3" w14:textId="37DA83B0" w:rsidR="00761940" w:rsidRDefault="00761940" w:rsidP="00761940">
      <w:pPr>
        <w:pStyle w:val="ListParagraph"/>
        <w:numPr>
          <w:ilvl w:val="1"/>
          <w:numId w:val="13"/>
        </w:numPr>
        <w:spacing w:line="480" w:lineRule="auto"/>
        <w:jc w:val="both"/>
        <w:rPr>
          <w:b/>
        </w:rPr>
      </w:pPr>
      <w:r>
        <w:rPr>
          <w:b/>
        </w:rPr>
        <w:t>ANÁLISIS DE DATOS</w:t>
      </w:r>
    </w:p>
    <w:p w14:paraId="54FAC35D" w14:textId="77777777" w:rsidR="00761940" w:rsidRPr="00761940" w:rsidRDefault="00761940" w:rsidP="00761940">
      <w:pPr>
        <w:spacing w:line="480" w:lineRule="auto"/>
        <w:jc w:val="both"/>
        <w:rPr>
          <w:b/>
        </w:rPr>
      </w:pPr>
    </w:p>
    <w:p w14:paraId="3EE9ABDB" w14:textId="73D0957A" w:rsidR="005F150F" w:rsidRDefault="00761940" w:rsidP="00C970CB">
      <w:pPr>
        <w:spacing w:line="480" w:lineRule="auto"/>
        <w:jc w:val="both"/>
      </w:pPr>
      <w:r>
        <w:t xml:space="preserve">En función de los objetivos </w:t>
      </w:r>
      <w:r w:rsidR="004B6C6D">
        <w:t>propuestos</w:t>
      </w:r>
      <w:r>
        <w:t xml:space="preserve"> a continuación se describen los m</w:t>
      </w:r>
      <w:r w:rsidR="00D752B6">
        <w:t>étodos</w:t>
      </w:r>
      <w:r w:rsidR="00847C68">
        <w:t xml:space="preserve"> estadísticos</w:t>
      </w:r>
      <w:r w:rsidR="00D752B6">
        <w:t xml:space="preserve"> </w:t>
      </w:r>
      <w:r>
        <w:t xml:space="preserve">utilizados para dar respuesta a las hipótesis </w:t>
      </w:r>
      <w:r w:rsidR="00D752B6">
        <w:t>de la presente investigación</w:t>
      </w:r>
      <w:r>
        <w:t>.</w:t>
      </w:r>
      <w:r w:rsidR="005F150F">
        <w:t xml:space="preserve"> Dado que se busca verificar la </w:t>
      </w:r>
      <w:r w:rsidR="005F150F" w:rsidRPr="00B242A2">
        <w:t>relación</w:t>
      </w:r>
      <w:r w:rsidR="005F150F">
        <w:t xml:space="preserve"> entre los patrones de consumo de alcohol con la edad, el género y la carrera, se hace necesario llevar a cabo diferentes tipos de test para corroborar la incidencia de dichas variables (género, edad y carrera) sobre los patrones de consumo de alcohol</w:t>
      </w:r>
      <w:r w:rsidR="00D752B6">
        <w:t>.</w:t>
      </w:r>
    </w:p>
    <w:p w14:paraId="772589E0" w14:textId="79BF1156" w:rsidR="005F150F" w:rsidRDefault="005F150F" w:rsidP="00C970CB">
      <w:pPr>
        <w:spacing w:line="480" w:lineRule="auto"/>
        <w:jc w:val="both"/>
      </w:pPr>
      <w:r>
        <w:t xml:space="preserve">Para esto, </w:t>
      </w:r>
      <w:r w:rsidR="00D752B6">
        <w:t xml:space="preserve">se debe tener en cuenta la escala de medición de las variables a contrastar con el fin de utilizar el contraste de hipótesis </w:t>
      </w:r>
      <w:r w:rsidR="00533249">
        <w:t>apropiado en cada caso.</w:t>
      </w:r>
    </w:p>
    <w:p w14:paraId="4BA64CA9" w14:textId="77777777" w:rsidR="00D752B6" w:rsidRDefault="0028000D" w:rsidP="00C970CB">
      <w:pPr>
        <w:spacing w:line="480" w:lineRule="auto"/>
        <w:jc w:val="both"/>
        <w:rPr>
          <w:lang w:val="es-CO"/>
        </w:rPr>
      </w:pPr>
      <w:r w:rsidRPr="00E02213">
        <w:rPr>
          <w:b/>
          <w:lang w:val="es-CO"/>
        </w:rPr>
        <w:lastRenderedPageBreak/>
        <w:t>Test no paramétricos para el contraste de dos poblaciones independientes</w:t>
      </w:r>
    </w:p>
    <w:p w14:paraId="791FD587" w14:textId="76F0D681" w:rsidR="00423A78" w:rsidRDefault="00D752B6" w:rsidP="00C970CB">
      <w:pPr>
        <w:spacing w:line="480" w:lineRule="auto"/>
        <w:jc w:val="both"/>
        <w:rPr>
          <w:lang w:val="es-CO"/>
        </w:rPr>
      </w:pPr>
      <w:r w:rsidRPr="00D752B6">
        <w:rPr>
          <w:lang w:val="es-CO"/>
        </w:rPr>
        <w:t>Dado que la variable género consta</w:t>
      </w:r>
      <w:r>
        <w:rPr>
          <w:lang w:val="es-CO"/>
        </w:rPr>
        <w:t xml:space="preserve"> de dos categorías (hombre y mujer), y que</w:t>
      </w:r>
      <w:r w:rsidR="00533249">
        <w:rPr>
          <w:lang w:val="es-CO"/>
        </w:rPr>
        <w:t xml:space="preserve"> estas</w:t>
      </w:r>
      <w:r>
        <w:rPr>
          <w:lang w:val="es-CO"/>
        </w:rPr>
        <w:t xml:space="preserve"> </w:t>
      </w:r>
      <w:r w:rsidR="00533249">
        <w:rPr>
          <w:lang w:val="es-CO"/>
        </w:rPr>
        <w:t>son mutuamente excluyentes</w:t>
      </w:r>
      <w:r w:rsidR="00847C68">
        <w:rPr>
          <w:lang w:val="es-CO"/>
        </w:rPr>
        <w:t xml:space="preserve"> y no depende una de la otra</w:t>
      </w:r>
      <w:r>
        <w:rPr>
          <w:lang w:val="es-CO"/>
        </w:rPr>
        <w:t>, se hace uso de los test de no paramétricos para el contraste de dos poblaciones independientes.</w:t>
      </w:r>
      <w:r w:rsidR="00423A78">
        <w:rPr>
          <w:lang w:val="es-CO"/>
        </w:rPr>
        <w:t xml:space="preserve"> Entre las bondades de usar test no paramétricos para la verificación de la presente hipótesis, se tiene que:</w:t>
      </w:r>
    </w:p>
    <w:p w14:paraId="78591C96" w14:textId="31FD3F16"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distribución de los datos puede ser libre</w:t>
      </w:r>
      <w:r w:rsidR="00847C68">
        <w:rPr>
          <w:lang w:val="es-CO"/>
        </w:rPr>
        <w:t>, no es necesario garantizar la normalidad de la distribución de la variable de interés.</w:t>
      </w:r>
    </w:p>
    <w:p w14:paraId="0697C354" w14:textId="77777777" w:rsidR="00423A78" w:rsidRDefault="00423A78" w:rsidP="00423A78">
      <w:pPr>
        <w:pStyle w:val="ListParagraph"/>
        <w:numPr>
          <w:ilvl w:val="0"/>
          <w:numId w:val="14"/>
        </w:numPr>
        <w:spacing w:line="480" w:lineRule="auto"/>
        <w:jc w:val="both"/>
        <w:rPr>
          <w:lang w:val="es-CO"/>
        </w:rPr>
      </w:pPr>
      <w:r>
        <w:rPr>
          <w:lang w:val="es-CO"/>
        </w:rPr>
        <w:t>L</w:t>
      </w:r>
      <w:r w:rsidRPr="00423A78">
        <w:rPr>
          <w:lang w:val="es-CO"/>
        </w:rPr>
        <w:t>a variable de interés solo requiere ser de escala ordinal.</w:t>
      </w:r>
    </w:p>
    <w:p w14:paraId="3CD7032A" w14:textId="07C2766A" w:rsidR="00D752B6" w:rsidRDefault="00533249" w:rsidP="00C970CB">
      <w:pPr>
        <w:spacing w:line="480" w:lineRule="auto"/>
        <w:jc w:val="both"/>
        <w:rPr>
          <w:lang w:val="es-CO"/>
        </w:rPr>
      </w:pPr>
      <w:r w:rsidRPr="00423A78">
        <w:rPr>
          <w:lang w:val="es-CO"/>
        </w:rPr>
        <w:t>Los métodos utilizados corresponden a los T</w:t>
      </w:r>
      <w:r w:rsidR="0028000D" w:rsidRPr="00423A78">
        <w:rPr>
          <w:lang w:val="es-CO"/>
        </w:rPr>
        <w:t>est U de Mann</w:t>
      </w:r>
      <w:r w:rsidRPr="00423A78">
        <w:rPr>
          <w:lang w:val="es-CO"/>
        </w:rPr>
        <w:t>-</w:t>
      </w:r>
      <w:r w:rsidR="0028000D" w:rsidRPr="00423A78">
        <w:rPr>
          <w:lang w:val="es-CO"/>
        </w:rPr>
        <w:t>Whitney y Test de Wilcoxon</w:t>
      </w:r>
      <w:r w:rsidRPr="00423A78">
        <w:rPr>
          <w:lang w:val="es-CO"/>
        </w:rPr>
        <w:t>.</w:t>
      </w:r>
      <w:r w:rsidR="00A13751">
        <w:rPr>
          <w:lang w:val="es-CO"/>
        </w:rPr>
        <w:t xml:space="preserve"> </w:t>
      </w:r>
      <w:r>
        <w:rPr>
          <w:lang w:val="es-CO"/>
        </w:rPr>
        <w:t>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4A457568" w14:textId="63166411" w:rsidR="00A13751" w:rsidRDefault="00A13751" w:rsidP="00C970CB">
      <w:pPr>
        <w:spacing w:line="480" w:lineRule="auto"/>
        <w:jc w:val="both"/>
        <w:rPr>
          <w:lang w:val="es-CO"/>
        </w:rPr>
      </w:pPr>
      <w:r>
        <w:rPr>
          <w:lang w:val="es-CO"/>
        </w:rPr>
        <w:t>Para esto se deben contrastar las siguientes hipótesis:</w:t>
      </w:r>
    </w:p>
    <w:p w14:paraId="4C974A9E" w14:textId="3D7A239D" w:rsidR="00A13751" w:rsidRPr="00A13751" w:rsidRDefault="00C91EC0" w:rsidP="00C970CB">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02541D" w14:textId="62BCCC5C" w:rsidR="00A13751" w:rsidRDefault="00A13751" w:rsidP="00A13751">
      <w:pPr>
        <w:spacing w:line="480" w:lineRule="auto"/>
        <w:jc w:val="center"/>
        <w:rPr>
          <w:lang w:val="es-CO"/>
        </w:rPr>
      </w:pPr>
      <w:r>
        <w:rPr>
          <w:lang w:val="es-CO"/>
        </w:rPr>
        <w:t>vs</w:t>
      </w:r>
    </w:p>
    <w:p w14:paraId="2506506C" w14:textId="6BCEF921" w:rsidR="00A13751" w:rsidRPr="00A13751" w:rsidRDefault="00C91EC0" w:rsidP="00A13751">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607E606" w14:textId="4C54D154" w:rsidR="00423A78" w:rsidRDefault="00A13751" w:rsidP="00C970CB">
      <w:pPr>
        <w:spacing w:line="480" w:lineRule="auto"/>
        <w:jc w:val="both"/>
        <w:rPr>
          <w:lang w:val="es-CO"/>
        </w:rPr>
      </w:pPr>
      <w:r>
        <w:rPr>
          <w:lang w:val="es-CO"/>
        </w:rPr>
        <w:t>Donde:</w:t>
      </w:r>
    </w:p>
    <w:p w14:paraId="7803FED9" w14:textId="003DFB00" w:rsidR="00A13751" w:rsidRDefault="00C91EC0" w:rsidP="00C970CB">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A13751">
        <w:rPr>
          <w:lang w:val="es-CO"/>
        </w:rPr>
        <w:t>: Hipótesis nula</w:t>
      </w:r>
    </w:p>
    <w:p w14:paraId="69D7FCAE" w14:textId="091C109C" w:rsidR="00A13751" w:rsidRDefault="00C91EC0" w:rsidP="00A13751">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A13751">
        <w:rPr>
          <w:lang w:val="es-CO"/>
        </w:rPr>
        <w:t>: Hipótesis alterna</w:t>
      </w:r>
    </w:p>
    <w:p w14:paraId="6A2DF5DC" w14:textId="1B61D6FD" w:rsidR="00A13751" w:rsidRDefault="00A13751" w:rsidP="00C970CB">
      <w:pPr>
        <w:spacing w:line="480" w:lineRule="auto"/>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w:t>
      </w:r>
      <w:r w:rsidR="00847C68">
        <w:rPr>
          <w:lang w:val="es-CO"/>
        </w:rPr>
        <w:t xml:space="preserve">si se </w:t>
      </w:r>
      <w:r>
        <w:rPr>
          <w:lang w:val="es-CO"/>
        </w:rPr>
        <w:t>rechaza la</w:t>
      </w:r>
      <w:r w:rsidR="00847C68">
        <w:rPr>
          <w:lang w:val="es-CO"/>
        </w:rPr>
        <w:t xml:space="preserve"> hipótesis</w:t>
      </w:r>
      <w:r>
        <w:rPr>
          <w:lang w:val="es-CO"/>
        </w:rPr>
        <w:t xml:space="preserve"> nula, se comprueba que existe</w:t>
      </w:r>
      <w:r w:rsidR="00847C68">
        <w:rPr>
          <w:lang w:val="es-CO"/>
        </w:rPr>
        <w:t>n</w:t>
      </w:r>
      <w:r>
        <w:rPr>
          <w:lang w:val="es-CO"/>
        </w:rPr>
        <w:t xml:space="preserve"> </w:t>
      </w:r>
      <w:r w:rsidR="00EF4E8F">
        <w:rPr>
          <w:lang w:val="es-CO"/>
        </w:rPr>
        <w:t>diferencias</w:t>
      </w:r>
      <w:r w:rsidR="00847C68">
        <w:rPr>
          <w:lang w:val="es-CO"/>
        </w:rPr>
        <w:t xml:space="preserve"> significativas</w:t>
      </w:r>
      <w:r w:rsidR="00EF4E8F">
        <w:rPr>
          <w:lang w:val="es-CO"/>
        </w:rPr>
        <w:t xml:space="preserve"> en</w:t>
      </w:r>
      <w:r w:rsidR="00847C68">
        <w:rPr>
          <w:lang w:val="es-CO"/>
        </w:rPr>
        <w:t>tre</w:t>
      </w:r>
      <w:r w:rsidR="00EF4E8F">
        <w:rPr>
          <w:lang w:val="es-CO"/>
        </w:rPr>
        <w:t xml:space="preserve"> las dos poblaciones. El valor utilizado para verificar la aceptación o rechazo de las hipótesis en contraste corresponde al nivel de significancia </w:t>
      </w:r>
      <w:r w:rsidR="00EF4E8F">
        <w:rPr>
          <w:lang w:val="es-CO"/>
        </w:rPr>
        <w:lastRenderedPageBreak/>
        <w:t xml:space="preserve">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w:t>
      </w:r>
      <w:r w:rsidR="00986B7A">
        <w:rPr>
          <w:lang w:val="es-CO"/>
        </w:rPr>
        <w:t>nivel de error</w:t>
      </w:r>
      <w:r w:rsidR="00EF4E8F">
        <w:rPr>
          <w:lang w:val="es-CO"/>
        </w:rPr>
        <w:t xml:space="preserve"> que esté dispuesto a asumir el investigador.</w:t>
      </w:r>
    </w:p>
    <w:p w14:paraId="56BBA70A" w14:textId="77777777" w:rsidR="00A13751" w:rsidRDefault="00A13751" w:rsidP="00C970CB">
      <w:pPr>
        <w:spacing w:line="480" w:lineRule="auto"/>
        <w:jc w:val="both"/>
        <w:rPr>
          <w:lang w:val="es-CO"/>
        </w:rPr>
      </w:pPr>
    </w:p>
    <w:p w14:paraId="375C919F" w14:textId="77777777" w:rsidR="00533249" w:rsidRDefault="00D752B6" w:rsidP="00D752B6">
      <w:pPr>
        <w:spacing w:line="480" w:lineRule="auto"/>
        <w:jc w:val="both"/>
      </w:pPr>
      <w:r w:rsidRPr="00E02213">
        <w:rPr>
          <w:b/>
        </w:rPr>
        <w:t>Coeficientes de correlación no paramétricos</w:t>
      </w:r>
    </w:p>
    <w:p w14:paraId="7DD2C13F" w14:textId="34C2E5C3" w:rsidR="00533249" w:rsidRDefault="00EC6A76" w:rsidP="00533249">
      <w:pPr>
        <w:spacing w:line="480" w:lineRule="auto"/>
        <w:jc w:val="both"/>
        <w:rPr>
          <w:lang w:val="es-CO"/>
        </w:rPr>
      </w:pPr>
      <w:r>
        <w:rPr>
          <w:lang w:val="es-CO"/>
        </w:rPr>
        <w:t>C</w:t>
      </w:r>
      <w:r w:rsidR="00EF4E8F">
        <w:rPr>
          <w:lang w:val="es-CO"/>
        </w:rPr>
        <w:t xml:space="preserve">uando el interés </w:t>
      </w:r>
      <w:r w:rsidR="00DB2647">
        <w:rPr>
          <w:lang w:val="es-CO"/>
        </w:rPr>
        <w:t>se centra</w:t>
      </w:r>
      <w:r w:rsidR="00EF4E8F">
        <w:rPr>
          <w:lang w:val="es-CO"/>
        </w:rPr>
        <w:t xml:space="preserve"> en</w:t>
      </w:r>
      <w:r w:rsidR="00533249" w:rsidRPr="00D752B6">
        <w:rPr>
          <w:lang w:val="es-CO"/>
        </w:rPr>
        <w:t xml:space="preserve"> verifica</w:t>
      </w:r>
      <w:r w:rsidR="00EF4E8F">
        <w:rPr>
          <w:lang w:val="es-CO"/>
        </w:rPr>
        <w:t>r</w:t>
      </w:r>
      <w:r w:rsidR="00533249" w:rsidRPr="00D752B6">
        <w:rPr>
          <w:lang w:val="es-CO"/>
        </w:rPr>
        <w:t xml:space="preserve"> la relaci</w:t>
      </w:r>
      <w:r w:rsidR="00533249">
        <w:rPr>
          <w:lang w:val="es-CO"/>
        </w:rPr>
        <w:t>ón entre los patrones de consumo</w:t>
      </w:r>
      <w:r w:rsidR="00C91EC0">
        <w:rPr>
          <w:lang w:val="es-CO"/>
        </w:rPr>
        <w:t xml:space="preserve"> (puntaje AUDIT)</w:t>
      </w:r>
      <w:r w:rsidR="00533249">
        <w:rPr>
          <w:lang w:val="es-CO"/>
        </w:rPr>
        <w:t xml:space="preserve"> y la edad</w:t>
      </w:r>
      <w:r w:rsidR="00C91EC0">
        <w:rPr>
          <w:lang w:val="es-CO"/>
        </w:rPr>
        <w:t>,</w:t>
      </w:r>
      <w:r w:rsidR="00533249">
        <w:rPr>
          <w:lang w:val="es-CO"/>
        </w:rPr>
        <w:t xml:space="preserve"> ambas variables </w:t>
      </w:r>
      <w:r w:rsidR="000E373B">
        <w:rPr>
          <w:lang w:val="es-CO"/>
        </w:rPr>
        <w:t xml:space="preserve">de naturaleza numérica, la metodología adecuada para analizar este escenario consiste en estudiar la relación entre las variables a través de los coeficientes de correlación, en este caso específico, los coeficientes de correlación no paramétricos. </w:t>
      </w:r>
      <w:r>
        <w:rPr>
          <w:lang w:val="es-CO"/>
        </w:rPr>
        <w:t xml:space="preserve">El objetivo de este tipo de test es medir la fuerza de </w:t>
      </w:r>
      <w:r w:rsidR="00803F05">
        <w:rPr>
          <w:lang w:val="es-CO"/>
        </w:rPr>
        <w:t>la asociación entre un par de</w:t>
      </w:r>
      <w:r>
        <w:rPr>
          <w:lang w:val="es-CO"/>
        </w:rPr>
        <w:t xml:space="preserve"> variables </w:t>
      </w:r>
      <w:r w:rsidR="00803F05">
        <w:rPr>
          <w:lang w:val="es-CO"/>
        </w:rPr>
        <w:t>y su rango de valores oscila de -1 a 1, siendo -1 una relación negativa perfecta</w:t>
      </w:r>
      <w:r w:rsidR="000E373B">
        <w:rPr>
          <w:lang w:val="es-CO"/>
        </w:rPr>
        <w:t xml:space="preserve"> (esto es, a medida que una variable incrementa la otra decrece de forma lineal)</w:t>
      </w:r>
      <w:r w:rsidR="00803F05">
        <w:rPr>
          <w:lang w:val="es-CO"/>
        </w:rPr>
        <w:t>, 1 una relación positiva perfecta</w:t>
      </w:r>
      <w:r w:rsidR="000E373B">
        <w:rPr>
          <w:lang w:val="es-CO"/>
        </w:rPr>
        <w:t xml:space="preserve"> (a medida que una variable aumenta la otra también lo hace linealmente)</w:t>
      </w:r>
      <w:r w:rsidR="00803F05">
        <w:rPr>
          <w:lang w:val="es-CO"/>
        </w:rPr>
        <w:t xml:space="preserve"> y 0 </w:t>
      </w:r>
      <w:r w:rsidR="00CA7863">
        <w:rPr>
          <w:lang w:val="es-CO"/>
        </w:rPr>
        <w:t xml:space="preserve">que indica una </w:t>
      </w:r>
      <w:r w:rsidR="00803F05">
        <w:rPr>
          <w:lang w:val="es-CO"/>
        </w:rPr>
        <w:t>falta de relación o independencia entre las variables en estudio.</w:t>
      </w:r>
    </w:p>
    <w:p w14:paraId="279B8954" w14:textId="17F264CB" w:rsidR="00D752B6" w:rsidRDefault="00803F05" w:rsidP="00D752B6">
      <w:pPr>
        <w:spacing w:line="480" w:lineRule="auto"/>
        <w:jc w:val="both"/>
      </w:pPr>
      <w:r>
        <w:rPr>
          <w:lang w:val="es-CO"/>
        </w:rPr>
        <w:t xml:space="preserve">La ventaja de utilizar coeficientes de correlación no paramétricos reside en el hecho de poder identificar relaciones </w:t>
      </w:r>
      <w:r w:rsidR="00766932">
        <w:rPr>
          <w:lang w:val="es-CO"/>
        </w:rPr>
        <w:t>de tipo no lineal en los datos</w:t>
      </w:r>
      <w:r w:rsidR="00CA7863">
        <w:rPr>
          <w:lang w:val="es-CO"/>
        </w:rPr>
        <w:t>, como curvaturas en lugar de centrarse únicamente en relaciones lineales absolutas y el hecho de asumir ninguna restricción sobre la distribución de probabilidad sobre las variables en contraste</w:t>
      </w:r>
      <w:r w:rsidR="00766932">
        <w:rPr>
          <w:lang w:val="es-CO"/>
        </w:rPr>
        <w:t xml:space="preserve">. Los coeficientes de </w:t>
      </w:r>
      <w:r w:rsidR="00766932">
        <w:t>correlación</w:t>
      </w:r>
      <w:r w:rsidR="00D752B6">
        <w:t xml:space="preserve"> </w:t>
      </w:r>
      <w:r w:rsidR="00766932">
        <w:t xml:space="preserve">no paramétricos utilizados en el presente estudio son: </w:t>
      </w:r>
      <w:r w:rsidR="00CA7863">
        <w:t xml:space="preserve">el coeficiente de </w:t>
      </w:r>
      <w:r w:rsidR="00766932">
        <w:t>correlación de</w:t>
      </w:r>
      <w:r w:rsidR="00D752B6">
        <w:t xml:space="preserve"> Spearman y </w:t>
      </w:r>
      <w:r w:rsidR="00CA7863">
        <w:t xml:space="preserve">el coeficiente de </w:t>
      </w:r>
      <w:r w:rsidR="00766932">
        <w:t>c</w:t>
      </w:r>
      <w:r w:rsidR="00D752B6">
        <w:t>orrelación de Kendall</w:t>
      </w:r>
      <w:r w:rsidR="00766932">
        <w:t>.</w:t>
      </w:r>
      <w:r w:rsidR="00F934F1">
        <w:t xml:space="preserve"> En ambos test el objetivo consiste en verificar si la correlación estimada es significativamente distinta de cero, esto es:</w:t>
      </w:r>
    </w:p>
    <w:p w14:paraId="491170C0" w14:textId="77777777" w:rsidR="00CA7863" w:rsidRDefault="00CA7863" w:rsidP="00D752B6">
      <w:pPr>
        <w:spacing w:line="480" w:lineRule="auto"/>
        <w:jc w:val="both"/>
      </w:pPr>
    </w:p>
    <w:tbl>
      <w:tblPr>
        <w:tblStyle w:val="TableGrid"/>
        <w:tblW w:w="0" w:type="auto"/>
        <w:jc w:val="center"/>
        <w:tblLook w:val="04A0" w:firstRow="1" w:lastRow="0" w:firstColumn="1" w:lastColumn="0" w:noHBand="0" w:noVBand="1"/>
      </w:tblPr>
      <w:tblGrid>
        <w:gridCol w:w="3666"/>
        <w:gridCol w:w="3430"/>
      </w:tblGrid>
      <w:tr w:rsidR="0098449D" w14:paraId="683481B4" w14:textId="77777777" w:rsidTr="0098449D">
        <w:trPr>
          <w:jc w:val="center"/>
        </w:trPr>
        <w:tc>
          <w:tcPr>
            <w:tcW w:w="3666" w:type="dxa"/>
            <w:vAlign w:val="center"/>
          </w:tcPr>
          <w:p w14:paraId="3E954D38" w14:textId="36D3F35F" w:rsidR="0098449D" w:rsidRPr="00603A8D" w:rsidRDefault="0098449D" w:rsidP="0098449D">
            <w:pPr>
              <w:spacing w:line="480" w:lineRule="auto"/>
              <w:jc w:val="center"/>
            </w:pPr>
            <w:r>
              <w:lastRenderedPageBreak/>
              <w:t>Correlación de Spearman</w:t>
            </w:r>
          </w:p>
        </w:tc>
        <w:tc>
          <w:tcPr>
            <w:tcW w:w="3430" w:type="dxa"/>
            <w:vAlign w:val="center"/>
          </w:tcPr>
          <w:p w14:paraId="00C0316B" w14:textId="4A1AB8FE" w:rsidR="0098449D" w:rsidRDefault="0098449D" w:rsidP="00F934F1">
            <w:pPr>
              <w:spacing w:line="480" w:lineRule="auto"/>
              <w:jc w:val="center"/>
            </w:pPr>
            <w:r>
              <w:t>Correlación de Kendall</w:t>
            </w:r>
          </w:p>
        </w:tc>
      </w:tr>
      <w:tr w:rsidR="00F934F1" w14:paraId="3F662CC4" w14:textId="77777777" w:rsidTr="0098449D">
        <w:trPr>
          <w:jc w:val="center"/>
        </w:trPr>
        <w:tc>
          <w:tcPr>
            <w:tcW w:w="3666" w:type="dxa"/>
            <w:vAlign w:val="center"/>
          </w:tcPr>
          <w:p w14:paraId="7B622C36" w14:textId="00249829" w:rsidR="00F934F1" w:rsidRPr="0098449D" w:rsidRDefault="00C91EC0" w:rsidP="00F934F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004703B7" w14:textId="019EE910" w:rsidR="00F934F1" w:rsidRDefault="00C91EC0" w:rsidP="0098449D">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4CD051ED" w14:textId="77777777" w:rsidR="00F934F1" w:rsidRDefault="00F934F1" w:rsidP="00D752B6">
      <w:pPr>
        <w:spacing w:line="480" w:lineRule="auto"/>
        <w:jc w:val="both"/>
      </w:pPr>
    </w:p>
    <w:p w14:paraId="485FBBBE" w14:textId="1E599229" w:rsidR="0098449D" w:rsidRDefault="0098449D" w:rsidP="00D752B6">
      <w:pPr>
        <w:spacing w:line="480" w:lineRule="auto"/>
        <w:jc w:val="both"/>
      </w:pPr>
      <w:r>
        <w:t>Donde:</w:t>
      </w:r>
    </w:p>
    <w:p w14:paraId="1BB232F5" w14:textId="60AC5466" w:rsidR="0098449D" w:rsidRDefault="00C91EC0" w:rsidP="00D752B6">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8449D">
        <w:t>: Hipótesis nula</w:t>
      </w:r>
    </w:p>
    <w:p w14:paraId="7628AD79" w14:textId="49AE425E" w:rsidR="0098449D" w:rsidRDefault="00C91EC0" w:rsidP="0098449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98449D">
        <w:t>: Hipótesis alterna</w:t>
      </w:r>
    </w:p>
    <w:p w14:paraId="32F89576" w14:textId="3CEC7706" w:rsidR="0098449D" w:rsidRDefault="00C91EC0" w:rsidP="0098449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98449D">
        <w:t>: Coeficiente de correlación de Spearman</w:t>
      </w:r>
    </w:p>
    <w:p w14:paraId="0C65185B" w14:textId="0A7974D0" w:rsidR="0098449D" w:rsidRDefault="0098449D" w:rsidP="0098449D">
      <w:pPr>
        <w:spacing w:line="480" w:lineRule="auto"/>
        <w:jc w:val="both"/>
      </w:pPr>
      <m:oMath>
        <m:r>
          <w:rPr>
            <w:rFonts w:ascii="Cambria Math" w:hAnsi="Cambria Math"/>
          </w:rPr>
          <m:t>τ</m:t>
        </m:r>
      </m:oMath>
      <w:r>
        <w:t>: Coeficiente de correlación de Kendall</w:t>
      </w:r>
    </w:p>
    <w:p w14:paraId="3D34F06F" w14:textId="7B78EF50" w:rsidR="0098449D" w:rsidRDefault="00672941" w:rsidP="0098449D">
      <w:pPr>
        <w:spacing w:line="480" w:lineRule="auto"/>
        <w:jc w:val="both"/>
      </w:pPr>
      <w:r>
        <w:t xml:space="preserve">Aquí si se logra rechazar la hipótesis nula en ambos casos, se verifica que existe una relación estadística significativa entre las dos variables en estudio, bien sea esta </w:t>
      </w:r>
      <w:r w:rsidR="00CA7863">
        <w:t>positiva</w:t>
      </w:r>
      <w:r>
        <w:t xml:space="preserve"> o negativ</w:t>
      </w:r>
      <w:r w:rsidR="00CA7863">
        <w:t>a</w:t>
      </w:r>
      <w:r>
        <w:t>, sujeta al nivel de significancia escogido.</w:t>
      </w:r>
    </w:p>
    <w:p w14:paraId="5EE12BDD" w14:textId="77777777" w:rsidR="00D752B6" w:rsidRPr="00D752B6" w:rsidRDefault="00D752B6" w:rsidP="00C970CB">
      <w:pPr>
        <w:spacing w:line="480" w:lineRule="auto"/>
        <w:jc w:val="both"/>
        <w:rPr>
          <w:lang w:val="es-CO"/>
        </w:rPr>
      </w:pPr>
    </w:p>
    <w:p w14:paraId="5C80D3A9" w14:textId="77777777" w:rsidR="00553C77" w:rsidRDefault="00E02213" w:rsidP="00C970CB">
      <w:pPr>
        <w:spacing w:line="480" w:lineRule="auto"/>
        <w:jc w:val="both"/>
        <w:rPr>
          <w:lang w:val="es-CO"/>
        </w:rPr>
      </w:pPr>
      <w:r w:rsidRPr="00E02213">
        <w:rPr>
          <w:b/>
          <w:lang w:val="es-CO"/>
        </w:rPr>
        <w:t>Test no paramétricos para el contraste de más de dos poblaciones independientes</w:t>
      </w:r>
    </w:p>
    <w:p w14:paraId="6A3D6E40" w14:textId="52762F04" w:rsidR="00D752B6" w:rsidRDefault="00553C77" w:rsidP="00C970CB">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w:t>
      </w:r>
      <w:r w:rsidR="00A806D8">
        <w:rPr>
          <w:lang w:val="es-CO"/>
        </w:rPr>
        <w:t xml:space="preserve"> El objetivo consiste en probar la hipótesis de igualdad de medianas en todas las poblaciones estudiadas, para esto se </w:t>
      </w:r>
      <w:r>
        <w:rPr>
          <w:lang w:val="es-CO"/>
        </w:rPr>
        <w:t>hizo uso de</w:t>
      </w:r>
      <w:r w:rsidR="00A806D8">
        <w:rPr>
          <w:lang w:val="es-CO"/>
        </w:rPr>
        <w:t xml:space="preserve">l </w:t>
      </w:r>
      <w:r w:rsidR="00E02213">
        <w:rPr>
          <w:lang w:val="es-CO"/>
        </w:rPr>
        <w:t>Test de Kruskal-Wallis</w:t>
      </w:r>
      <w:r w:rsidR="00033377">
        <w:rPr>
          <w:lang w:val="es-CO"/>
        </w:rPr>
        <w:t xml:space="preserve">. </w:t>
      </w:r>
      <w:r w:rsidR="003711F0">
        <w:rPr>
          <w:lang w:val="es-CO"/>
        </w:rPr>
        <w:t>Aquí las hipótesis estadísticas a contrastar son:</w:t>
      </w:r>
    </w:p>
    <w:p w14:paraId="6CF27DA3" w14:textId="02177CAF" w:rsidR="00873353" w:rsidRPr="00A13751" w:rsidRDefault="00C91EC0" w:rsidP="00873353">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2DCAB7B3" w14:textId="77777777" w:rsidR="00873353" w:rsidRDefault="00873353" w:rsidP="00873353">
      <w:pPr>
        <w:spacing w:line="480" w:lineRule="auto"/>
        <w:jc w:val="center"/>
        <w:rPr>
          <w:lang w:val="es-CO"/>
        </w:rPr>
      </w:pPr>
      <w:r>
        <w:rPr>
          <w:lang w:val="es-CO"/>
        </w:rPr>
        <w:t>vs</w:t>
      </w:r>
    </w:p>
    <w:p w14:paraId="54F60DA4" w14:textId="0B103E1B" w:rsidR="00873353" w:rsidRPr="00A13751" w:rsidRDefault="00C91EC0" w:rsidP="00873353">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5C1672CD" w14:textId="77777777" w:rsidR="001D6811" w:rsidRDefault="001D6811" w:rsidP="00C970CB">
      <w:pPr>
        <w:spacing w:line="480" w:lineRule="auto"/>
        <w:jc w:val="both"/>
        <w:rPr>
          <w:lang w:val="es-CO"/>
        </w:rPr>
      </w:pPr>
    </w:p>
    <w:p w14:paraId="2DA8E1CD" w14:textId="233D0D55" w:rsidR="003711F0" w:rsidRDefault="001D6811" w:rsidP="00C970CB">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w:t>
      </w:r>
      <w:r>
        <w:rPr>
          <w:lang w:val="es-CO"/>
        </w:rPr>
        <w:lastRenderedPageBreak/>
        <w:t>verifica la hipótesis nula, entonces se tiene que la carrera no tiene ninguna incidencia sobre el patrón de consumo por parte de los estudiantes encuestados</w:t>
      </w:r>
      <w:r w:rsidR="00EF705D">
        <w:rPr>
          <w:lang w:val="es-CO"/>
        </w:rPr>
        <w:t xml:space="preserve"> a partir del </w:t>
      </w:r>
      <w:r w:rsidR="00EF705D">
        <w:t>nivel de significancia escogido</w:t>
      </w:r>
      <w:r>
        <w:rPr>
          <w:lang w:val="es-CO"/>
        </w:rPr>
        <w:t>.</w:t>
      </w:r>
    </w:p>
    <w:p w14:paraId="5457B6AB" w14:textId="77777777" w:rsidR="00D752B6" w:rsidRPr="0028000D" w:rsidRDefault="00D752B6" w:rsidP="00C970CB">
      <w:pPr>
        <w:spacing w:line="480" w:lineRule="auto"/>
        <w:jc w:val="both"/>
        <w:rPr>
          <w:lang w:val="es-CO"/>
        </w:rPr>
      </w:pPr>
    </w:p>
    <w:p w14:paraId="03584F4F" w14:textId="69A32ECA" w:rsidR="00EB1C36" w:rsidRDefault="0028000D" w:rsidP="00C970CB">
      <w:pPr>
        <w:spacing w:line="480" w:lineRule="auto"/>
        <w:jc w:val="both"/>
        <w:rPr>
          <w:b/>
        </w:rPr>
      </w:pPr>
      <w:r w:rsidRPr="00E02213">
        <w:rPr>
          <w:b/>
        </w:rPr>
        <w:t xml:space="preserve">Análisis </w:t>
      </w:r>
      <w:r w:rsidR="00B700F7">
        <w:rPr>
          <w:b/>
        </w:rPr>
        <w:t>de correspondencias múltiple</w:t>
      </w:r>
      <w:r w:rsidR="00224401">
        <w:rPr>
          <w:b/>
        </w:rPr>
        <w:t xml:space="preserve"> (MCA, </w:t>
      </w:r>
      <w:proofErr w:type="spellStart"/>
      <w:r w:rsidR="00224401" w:rsidRPr="00224401">
        <w:rPr>
          <w:b/>
          <w:i/>
        </w:rPr>
        <w:t>multiple</w:t>
      </w:r>
      <w:proofErr w:type="spellEnd"/>
      <w:r w:rsidR="00224401" w:rsidRPr="00224401">
        <w:rPr>
          <w:b/>
          <w:i/>
        </w:rPr>
        <w:t xml:space="preserve"> </w:t>
      </w:r>
      <w:proofErr w:type="spellStart"/>
      <w:r w:rsidR="00224401" w:rsidRPr="00224401">
        <w:rPr>
          <w:b/>
          <w:i/>
        </w:rPr>
        <w:t>correspondence</w:t>
      </w:r>
      <w:proofErr w:type="spellEnd"/>
      <w:r w:rsidR="00224401" w:rsidRPr="00224401">
        <w:rPr>
          <w:b/>
          <w:i/>
        </w:rPr>
        <w:t xml:space="preserve"> </w:t>
      </w:r>
      <w:proofErr w:type="spellStart"/>
      <w:r w:rsidR="00224401" w:rsidRPr="00224401">
        <w:rPr>
          <w:b/>
          <w:i/>
        </w:rPr>
        <w:t>analysis</w:t>
      </w:r>
      <w:proofErr w:type="spellEnd"/>
      <w:r w:rsidR="00224401">
        <w:rPr>
          <w:b/>
        </w:rPr>
        <w:t>)</w:t>
      </w:r>
    </w:p>
    <w:p w14:paraId="1FA9E47A" w14:textId="0165FAC5" w:rsidR="00E349D9" w:rsidRDefault="00E349D9" w:rsidP="00C970CB">
      <w:pPr>
        <w:spacing w:line="480" w:lineRule="auto"/>
        <w:jc w:val="both"/>
      </w:pPr>
      <w:r>
        <w:t>Dado que el punta</w:t>
      </w:r>
      <w:r w:rsidR="003C43D0">
        <w:t>je AUDIT es un acumulado de las respuestas obtenida</w:t>
      </w:r>
      <w:r>
        <w:t xml:space="preserve">s para diferentes preguntas en el instrumento de medición aplicado, para entrar a estudiar más a fondo la estructura subyacente </w:t>
      </w:r>
      <w:r w:rsidR="009A2522">
        <w:t>del patrón de respuesta de los individuos</w:t>
      </w:r>
      <w:r w:rsidR="00B700F7">
        <w:t>,</w:t>
      </w:r>
      <w:r w:rsidR="009A2522">
        <w:t xml:space="preserve"> se hizo uso de un An</w:t>
      </w:r>
      <w:r w:rsidR="00B700F7">
        <w:t>álisis de C</w:t>
      </w:r>
      <w:r w:rsidR="009A2522">
        <w:t xml:space="preserve">orrespondencias </w:t>
      </w:r>
      <w:r w:rsidR="00B700F7">
        <w:t>M</w:t>
      </w:r>
      <w:r w:rsidR="009A2522">
        <w:t>últiple cuyo objetivo principal es representar en una espacio de dimensión menor las relaciones entre individuos y variables.</w:t>
      </w:r>
    </w:p>
    <w:p w14:paraId="65962A11" w14:textId="0FA362B0" w:rsidR="002B43CE" w:rsidRDefault="00EE4D5D" w:rsidP="00C970CB">
      <w:pPr>
        <w:spacing w:line="480" w:lineRule="auto"/>
        <w:jc w:val="both"/>
      </w:pPr>
      <w:r>
        <w:t>En este sentido, las relaciones de proximidad a estudiar se definen del siguiente modo:</w:t>
      </w:r>
    </w:p>
    <w:p w14:paraId="0075F37E" w14:textId="463057CE" w:rsidR="009A2522" w:rsidRDefault="00EE4D5D" w:rsidP="00EE4D5D">
      <w:pPr>
        <w:spacing w:line="480" w:lineRule="auto"/>
        <w:jc w:val="both"/>
      </w:pPr>
      <w:r w:rsidRPr="00EE4D5D">
        <w:rPr>
          <w:b/>
        </w:rPr>
        <w:t>Relaciones entre individuos</w:t>
      </w:r>
      <w:r>
        <w:t xml:space="preserve">. </w:t>
      </w:r>
      <w:r w:rsidR="009A2522">
        <w:t>Individuos cercanos tienden a seleccionar los mismos niveles de las variables.</w:t>
      </w:r>
    </w:p>
    <w:p w14:paraId="707F5E6A" w14:textId="6E8F2F79" w:rsidR="00EE4D5D" w:rsidRDefault="00EE4D5D" w:rsidP="00EE4D5D">
      <w:pPr>
        <w:spacing w:line="480" w:lineRule="auto"/>
        <w:jc w:val="both"/>
      </w:pPr>
      <w:r w:rsidRPr="00EE4D5D">
        <w:rPr>
          <w:b/>
        </w:rPr>
        <w:t>Relaciones entre variables</w:t>
      </w:r>
      <w:r>
        <w:t>. En términos de las variables a analizar se deben distinguir los siguientes escenarios:</w:t>
      </w:r>
      <w:bookmarkStart w:id="0" w:name="_GoBack"/>
      <w:bookmarkEnd w:id="0"/>
    </w:p>
    <w:p w14:paraId="25DDF71C" w14:textId="77777777" w:rsidR="00EE4D5D" w:rsidRDefault="009A2522" w:rsidP="00EE4D5D">
      <w:pPr>
        <w:pStyle w:val="ListParagraph"/>
        <w:numPr>
          <w:ilvl w:val="0"/>
          <w:numId w:val="16"/>
        </w:numPr>
        <w:spacing w:line="480" w:lineRule="auto"/>
        <w:jc w:val="both"/>
      </w:pPr>
      <w:r>
        <w:t>La proximidad entre los niveles de diferentes variables significa que estos niveles tienden a aparecer juntos en las observaciones.</w:t>
      </w:r>
    </w:p>
    <w:p w14:paraId="67FC54BC" w14:textId="4F5DA42B" w:rsidR="0085057F" w:rsidRDefault="0085057F" w:rsidP="00EE4D5D">
      <w:pPr>
        <w:pStyle w:val="ListParagraph"/>
        <w:numPr>
          <w:ilvl w:val="0"/>
          <w:numId w:val="16"/>
        </w:numPr>
        <w:spacing w:line="480" w:lineRule="auto"/>
        <w:jc w:val="both"/>
      </w:pPr>
      <w:r>
        <w:t>Dado que los niveles de la misma variable no pueden aparecer juntos, aquí la proximidad indica que los grupos de individuos asociados con estos dos niveles son en sí mismos similares.</w:t>
      </w:r>
    </w:p>
    <w:p w14:paraId="6AE7A0CA" w14:textId="77777777" w:rsidR="009A2522" w:rsidRDefault="009A2522" w:rsidP="00C970CB">
      <w:pPr>
        <w:spacing w:line="480" w:lineRule="auto"/>
        <w:jc w:val="both"/>
      </w:pPr>
    </w:p>
    <w:p w14:paraId="0BB23451" w14:textId="0F53C19B" w:rsidR="001D6811" w:rsidRDefault="001D6811" w:rsidP="00C970CB">
      <w:pPr>
        <w:spacing w:line="480" w:lineRule="auto"/>
        <w:jc w:val="both"/>
      </w:pPr>
      <w:r>
        <w:t xml:space="preserve">Finalmente, </w:t>
      </w:r>
      <w:r w:rsidR="00046FDE">
        <w:t>para entrar a estudiar más a fondo</w:t>
      </w:r>
      <w:r w:rsidR="00997D8D">
        <w:t xml:space="preserve"> las complejas relaciones entre las preguntas formuladas en el instrumento AUDIT, se realizó un Análisis de correspondencias múltiples cuyo objetivo principal es reducir la </w:t>
      </w:r>
      <w:proofErr w:type="spellStart"/>
      <w:r w:rsidR="00997D8D">
        <w:t>dimensionalidad</w:t>
      </w:r>
      <w:proofErr w:type="spellEnd"/>
      <w:r w:rsidR="00997D8D">
        <w:t xml:space="preserve"> de los datos.</w:t>
      </w:r>
    </w:p>
    <w:p w14:paraId="6D4456FD" w14:textId="61C45C3E" w:rsidR="00224401" w:rsidRDefault="00224401" w:rsidP="00C970CB">
      <w:pPr>
        <w:spacing w:line="480" w:lineRule="auto"/>
        <w:jc w:val="both"/>
      </w:pPr>
      <w:r>
        <w:t>Objetivo del MCA</w:t>
      </w:r>
    </w:p>
    <w:p w14:paraId="22ACFF21" w14:textId="24401D8C" w:rsidR="00224401" w:rsidRPr="00224401" w:rsidRDefault="00224401" w:rsidP="00C970CB">
      <w:pPr>
        <w:spacing w:line="480" w:lineRule="auto"/>
        <w:jc w:val="both"/>
        <w:rPr>
          <w:b/>
        </w:rPr>
      </w:pPr>
      <w:r w:rsidRPr="00224401">
        <w:rPr>
          <w:b/>
        </w:rPr>
        <w:lastRenderedPageBreak/>
        <w:t>Resumen del modelo ajustado</w:t>
      </w:r>
    </w:p>
    <w:p w14:paraId="60C332F9" w14:textId="24D0923D" w:rsidR="00224401" w:rsidRDefault="00224401" w:rsidP="00C970CB">
      <w:pPr>
        <w:spacing w:line="480" w:lineRule="auto"/>
        <w:jc w:val="both"/>
      </w:pPr>
      <w:r>
        <w:t>Porcentaje de inercia explicado</w:t>
      </w:r>
      <w:r w:rsidR="009556DD">
        <w:t>. Reducción de dimensiones</w:t>
      </w:r>
    </w:p>
    <w:p w14:paraId="4513ACC3" w14:textId="26A16E7A" w:rsidR="00224401" w:rsidRPr="00224401" w:rsidRDefault="00224401" w:rsidP="00C970CB">
      <w:pPr>
        <w:spacing w:line="480" w:lineRule="auto"/>
        <w:jc w:val="both"/>
        <w:rPr>
          <w:b/>
        </w:rPr>
      </w:pPr>
      <w:r w:rsidRPr="00224401">
        <w:rPr>
          <w:b/>
        </w:rPr>
        <w:t>Medidas de discriminación</w:t>
      </w:r>
    </w:p>
    <w:p w14:paraId="4ABA5502" w14:textId="41B71627" w:rsidR="00224401" w:rsidRDefault="00224401" w:rsidP="00C970CB">
      <w:pPr>
        <w:spacing w:line="480" w:lineRule="auto"/>
        <w:jc w:val="both"/>
      </w:pPr>
      <w:r w:rsidRPr="00224401">
        <w:t>Para cada variable, una medida de discriminación, que puede considerarse como una carga componente cuadrado, se calcula para cada dimensión. Esta medida es también la varianza de la variable cuantificada en esa dimensión. Tiene un valor máximo de 1, que se consigue si las puntuaciones de los objetos se dividen en grupos mutuamente excluyentes y todas las puntuaciones de los objetos dentro de una categoría son idénticos. (Nota: Esta medida puede tener un valor superior a 1 si hay datos faltantes.)</w:t>
      </w:r>
    </w:p>
    <w:p w14:paraId="32F97244" w14:textId="1AE866FA" w:rsidR="00224401" w:rsidRPr="00224401" w:rsidRDefault="00224401" w:rsidP="00C970CB">
      <w:pPr>
        <w:spacing w:line="480" w:lineRule="auto"/>
        <w:jc w:val="both"/>
      </w:pPr>
      <w:r w:rsidRPr="00224401">
        <w:t>Las medidas de discriminación grandes corresponden a una gran dispersión entre las categorías de la variable y, por lo tanto, indican un alto grado de discriminación entre las categorías de una variable a lo largo de esa dimensión.</w:t>
      </w:r>
    </w:p>
    <w:p w14:paraId="6DE74D6F" w14:textId="6E60BC28" w:rsidR="00EB1C36" w:rsidRPr="009556DD" w:rsidRDefault="009556DD" w:rsidP="00C970CB">
      <w:pPr>
        <w:spacing w:line="480" w:lineRule="auto"/>
        <w:jc w:val="both"/>
        <w:rPr>
          <w:b/>
        </w:rPr>
      </w:pPr>
      <w:r w:rsidRPr="009556DD">
        <w:rPr>
          <w:b/>
        </w:rPr>
        <w:t>Cuantificaciones por categorías</w:t>
      </w:r>
    </w:p>
    <w:p w14:paraId="27D9AFEF" w14:textId="2ED4DF98" w:rsidR="00224401" w:rsidRDefault="009556DD" w:rsidP="00C970CB">
      <w:pPr>
        <w:spacing w:line="480" w:lineRule="auto"/>
        <w:jc w:val="both"/>
      </w:pPr>
      <w:r>
        <w:t xml:space="preserve">Consiste en un </w:t>
      </w:r>
      <w:r w:rsidRPr="009556DD">
        <w:t>método de visualización de la discriminación de las variables que pueden identificar relaciones</w:t>
      </w:r>
      <w:r>
        <w:t xml:space="preserve"> entre</w:t>
      </w:r>
      <w:r w:rsidRPr="009556DD">
        <w:t xml:space="preserve"> categoría</w:t>
      </w:r>
      <w:r>
        <w:t>s</w:t>
      </w:r>
      <w:r w:rsidRPr="009556DD">
        <w:t>. En esta gráfica, se muestran las coordenadas de cada categoría en cada dimensión. De este modo, se puede determinar qué categorías son similares para cada variable.</w:t>
      </w:r>
    </w:p>
    <w:p w14:paraId="5FA8CFDB" w14:textId="43B7EF93" w:rsidR="00D73B8D" w:rsidRDefault="00D73B8D" w:rsidP="00C970CB">
      <w:pPr>
        <w:spacing w:line="480" w:lineRule="auto"/>
        <w:jc w:val="both"/>
      </w:pPr>
      <w:r w:rsidRPr="00D73B8D">
        <w:t>Una variable con c</w:t>
      </w:r>
      <w:r>
        <w:t>ategorías que están muy separada</w:t>
      </w:r>
      <w:r w:rsidRPr="00D73B8D">
        <w:t>s</w:t>
      </w:r>
      <w:r>
        <w:t>,</w:t>
      </w:r>
      <w:r w:rsidRPr="00D73B8D">
        <w:t xml:space="preserve"> discrimina mejor que una variable co</w:t>
      </w:r>
      <w:r>
        <w:t>n categorías que están muy junta</w:t>
      </w:r>
      <w:r w:rsidRPr="00D73B8D">
        <w:t>s.</w:t>
      </w:r>
    </w:p>
    <w:p w14:paraId="101F2D11" w14:textId="77777777" w:rsidR="009556DD" w:rsidRPr="00E02213" w:rsidRDefault="009556DD"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w:t>
      </w:r>
      <w:r w:rsidRPr="00CA6A43">
        <w:lastRenderedPageBreak/>
        <w:t xml:space="preserve">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w:t>
      </w:r>
      <w:proofErr w:type="spellStart"/>
      <w:r w:rsidRPr="00CA6A43">
        <w:t>chi</w:t>
      </w:r>
      <w:proofErr w:type="spellEnd"/>
      <w:r w:rsidRPr="00CA6A43">
        <w:t xml:space="preserve">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w:t>
      </w:r>
      <w:proofErr w:type="spellStart"/>
      <w:r w:rsidRPr="00CA6A43">
        <w:t>chi</w:t>
      </w:r>
      <w:proofErr w:type="spellEnd"/>
      <w:r w:rsidRPr="00CA6A43">
        <w:t xml:space="preserve">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w:t>
      </w:r>
      <w:proofErr w:type="spellStart"/>
      <w:r w:rsidRPr="00CA6A43">
        <w:t>chi</w:t>
      </w:r>
      <w:proofErr w:type="spellEnd"/>
      <w:r w:rsidRPr="00CA6A43">
        <w:t xml:space="preserve">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lastRenderedPageBreak/>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xml:space="preserve">. Como se observa en el siguiente histograma, el comportamiento del puntaje AUDIT para el grupo de estudiantes encuestados muestra un comportamiento asimétrico positivo, lo que indica que la mayoría de los casos </w:t>
      </w:r>
      <w:r w:rsidR="0040194E">
        <w:rPr>
          <w:color w:val="000000" w:themeColor="text1"/>
        </w:rPr>
        <w:lastRenderedPageBreak/>
        <w:t>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 xml:space="preserve">Para esto se trabajó directamente con el puntaje AUDIT sin categorizar y se estudió la incidencia de cada variable sobre el score de riesgo. Los análisis realizados corresponden a </w:t>
      </w:r>
      <w:r>
        <w:rPr>
          <w:color w:val="000000" w:themeColor="text1"/>
        </w:rPr>
        <w:lastRenderedPageBreak/>
        <w:t>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w:t>
      </w:r>
      <w:proofErr w:type="spellStart"/>
      <w:r>
        <w:rPr>
          <w:color w:val="000000" w:themeColor="text1"/>
        </w:rPr>
        <w:t>boxplot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1</w:t>
      </w:r>
      <w:r>
        <w:fldChar w:fldCharType="end"/>
      </w:r>
      <w:r>
        <w:t xml:space="preserve">. </w:t>
      </w:r>
      <w:proofErr w:type="spellStart"/>
      <w:r>
        <w:t>Boxplot</w:t>
      </w:r>
      <w:proofErr w:type="spellEnd"/>
      <w:r>
        <w:t xml:space="preserve">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w:t>
      </w:r>
      <w:proofErr w:type="spellStart"/>
      <w:r>
        <w:rPr>
          <w:rFonts w:eastAsiaTheme="minorEastAsia"/>
          <w:lang w:val="es-CO" w:eastAsia="ja-JP"/>
        </w:rPr>
        <w:t>sd</w:t>
      </w:r>
      <w:proofErr w:type="spellEnd"/>
      <w:r>
        <w:rPr>
          <w:rFonts w:eastAsiaTheme="minorEastAsia"/>
          <w:lang w:val="es-CO" w:eastAsia="ja-JP"/>
        </w:rPr>
        <w:t>: 4.8 puntos) y 3.52 para mujeres (</w:t>
      </w:r>
      <w:proofErr w:type="spellStart"/>
      <w:r>
        <w:rPr>
          <w:rFonts w:eastAsiaTheme="minorEastAsia"/>
          <w:lang w:val="es-CO" w:eastAsia="ja-JP"/>
        </w:rPr>
        <w:t>sd</w:t>
      </w:r>
      <w:proofErr w:type="spellEnd"/>
      <w:r>
        <w:rPr>
          <w:rFonts w:eastAsiaTheme="minorEastAsia"/>
          <w:lang w:val="es-CO" w:eastAsia="ja-JP"/>
        </w:rPr>
        <w:t>: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456D05">
              <w:rPr>
                <w:rFonts w:ascii="Arial" w:eastAsiaTheme="minorEastAsia" w:hAnsi="Arial" w:cs="Arial"/>
                <w:b/>
                <w:bCs/>
                <w:color w:val="000000"/>
                <w:sz w:val="18"/>
                <w:szCs w:val="18"/>
                <w:lang w:val="es-CO" w:eastAsia="ja-JP"/>
              </w:rPr>
              <w:t>Report</w:t>
            </w:r>
            <w:proofErr w:type="spellEnd"/>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 xml:space="preserve">Std. </w:t>
            </w:r>
            <w:proofErr w:type="spellStart"/>
            <w:r w:rsidRPr="00456D05">
              <w:rPr>
                <w:rFonts w:ascii="Arial" w:eastAsiaTheme="minorEastAsia" w:hAnsi="Arial" w:cs="Arial"/>
                <w:color w:val="000000"/>
                <w:sz w:val="18"/>
                <w:szCs w:val="18"/>
                <w:lang w:val="es-CO" w:eastAsia="ja-JP"/>
              </w:rPr>
              <w:t>Deviation</w:t>
            </w:r>
            <w:proofErr w:type="spellEnd"/>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 xml:space="preserve">Test </w:t>
            </w:r>
            <w:proofErr w:type="spellStart"/>
            <w:r w:rsidRPr="007800CC">
              <w:rPr>
                <w:rFonts w:ascii="Arial" w:eastAsiaTheme="minorEastAsia" w:hAnsi="Arial" w:cs="Arial"/>
                <w:b/>
                <w:bCs/>
                <w:color w:val="000000"/>
                <w:sz w:val="18"/>
                <w:szCs w:val="18"/>
                <w:lang w:val="es-CO" w:eastAsia="ja-JP"/>
              </w:rPr>
              <w:t>Statistics</w:t>
            </w:r>
            <w:r w:rsidRPr="007800CC">
              <w:rPr>
                <w:rFonts w:ascii="Arial" w:eastAsiaTheme="minorEastAsia" w:hAnsi="Arial" w:cs="Arial"/>
                <w:b/>
                <w:bCs/>
                <w:color w:val="000000"/>
                <w:sz w:val="18"/>
                <w:szCs w:val="18"/>
                <w:vertAlign w:val="superscript"/>
                <w:lang w:val="es-CO" w:eastAsia="ja-JP"/>
              </w:rPr>
              <w:t>a</w:t>
            </w:r>
            <w:proofErr w:type="spellEnd"/>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Asymp</w:t>
            </w:r>
            <w:proofErr w:type="spellEnd"/>
            <w:r w:rsidRPr="007800CC">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a. </w:t>
            </w:r>
            <w:proofErr w:type="spellStart"/>
            <w:r w:rsidRPr="007800CC">
              <w:rPr>
                <w:rFonts w:ascii="Arial" w:eastAsiaTheme="minorEastAsia" w:hAnsi="Arial" w:cs="Arial"/>
                <w:color w:val="000000"/>
                <w:sz w:val="18"/>
                <w:szCs w:val="18"/>
                <w:lang w:val="es-CO" w:eastAsia="ja-JP"/>
              </w:rPr>
              <w:t>Grouping</w:t>
            </w:r>
            <w:proofErr w:type="spellEnd"/>
            <w:r w:rsidRPr="007800CC">
              <w:rPr>
                <w:rFonts w:ascii="Arial" w:eastAsiaTheme="minorEastAsia" w:hAnsi="Arial" w:cs="Arial"/>
                <w:color w:val="000000"/>
                <w:sz w:val="18"/>
                <w:szCs w:val="18"/>
                <w:lang w:val="es-CO" w:eastAsia="ja-JP"/>
              </w:rPr>
              <w:t xml:space="preserve"> Variable: Género</w:t>
            </w:r>
          </w:p>
        </w:tc>
      </w:tr>
      <w:tr w:rsidR="007800CC" w:rsidRPr="00847C68"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000DA2">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8F46D6">
              <w:rPr>
                <w:rFonts w:ascii="Arial" w:eastAsiaTheme="minorEastAsia" w:hAnsi="Arial" w:cs="Arial"/>
                <w:b/>
                <w:bCs/>
                <w:color w:val="000000"/>
                <w:sz w:val="18"/>
                <w:szCs w:val="18"/>
                <w:lang w:val="es-CO" w:eastAsia="ja-JP"/>
              </w:rPr>
              <w:t>Correlations</w:t>
            </w:r>
            <w:proofErr w:type="spellEnd"/>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Kendall's</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tau_b</w:t>
            </w:r>
            <w:proofErr w:type="spellEnd"/>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lastRenderedPageBreak/>
              <w:t>Spearman's</w:t>
            </w:r>
            <w:proofErr w:type="spellEnd"/>
            <w:r w:rsidRPr="008F46D6">
              <w:rPr>
                <w:rFonts w:ascii="Arial" w:eastAsiaTheme="minorEastAsia" w:hAnsi="Arial" w:cs="Arial"/>
                <w:color w:val="000000"/>
                <w:sz w:val="18"/>
                <w:szCs w:val="18"/>
                <w:lang w:val="es-CO" w:eastAsia="ja-JP"/>
              </w:rPr>
              <w:t xml:space="preserve">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47C68"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847C68"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000DA2">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 xml:space="preserve">Test </w:t>
            </w:r>
            <w:proofErr w:type="spellStart"/>
            <w:r w:rsidRPr="00222C9D">
              <w:rPr>
                <w:rFonts w:ascii="Arial" w:eastAsiaTheme="minorEastAsia" w:hAnsi="Arial" w:cs="Arial"/>
                <w:b/>
                <w:bCs/>
                <w:color w:val="000000"/>
                <w:sz w:val="18"/>
                <w:szCs w:val="18"/>
                <w:lang w:val="es-CO" w:eastAsia="ja-JP"/>
              </w:rPr>
              <w:t>Statistics</w:t>
            </w:r>
            <w:r w:rsidRPr="00222C9D">
              <w:rPr>
                <w:rFonts w:ascii="Arial" w:eastAsiaTheme="minorEastAsia" w:hAnsi="Arial" w:cs="Arial"/>
                <w:b/>
                <w:bCs/>
                <w:color w:val="000000"/>
                <w:sz w:val="18"/>
                <w:szCs w:val="18"/>
                <w:vertAlign w:val="superscript"/>
                <w:lang w:val="es-CO" w:eastAsia="ja-JP"/>
              </w:rPr>
              <w:t>a</w:t>
            </w:r>
            <w:proofErr w:type="spellEnd"/>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F15DD4">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Asymp</w:t>
            </w:r>
            <w:proofErr w:type="spellEnd"/>
            <w:r w:rsidRPr="00222C9D">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a. </w:t>
            </w:r>
            <w:proofErr w:type="spellStart"/>
            <w:r w:rsidRPr="00222C9D">
              <w:rPr>
                <w:rFonts w:ascii="Arial" w:eastAsiaTheme="minorEastAsia" w:hAnsi="Arial" w:cs="Arial"/>
                <w:color w:val="000000"/>
                <w:sz w:val="18"/>
                <w:szCs w:val="18"/>
                <w:lang w:val="es-CO" w:eastAsia="ja-JP"/>
              </w:rPr>
              <w:t>Grouping</w:t>
            </w:r>
            <w:proofErr w:type="spellEnd"/>
            <w:r w:rsidRPr="00222C9D">
              <w:rPr>
                <w:rFonts w:ascii="Arial" w:eastAsiaTheme="minorEastAsia" w:hAnsi="Arial" w:cs="Arial"/>
                <w:color w:val="000000"/>
                <w:sz w:val="18"/>
                <w:szCs w:val="18"/>
                <w:lang w:val="es-CO" w:eastAsia="ja-JP"/>
              </w:rPr>
              <w:t xml:space="preserve"> Variable: Edad categorizada</w:t>
            </w:r>
          </w:p>
        </w:tc>
      </w:tr>
      <w:tr w:rsidR="00A248BF" w:rsidRPr="00847C68"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lastRenderedPageBreak/>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3</w:t>
      </w:r>
      <w:r>
        <w:fldChar w:fldCharType="end"/>
      </w:r>
      <w:r>
        <w:t xml:space="preserve">. </w:t>
      </w:r>
      <w:proofErr w:type="spellStart"/>
      <w:r w:rsidRPr="00CA0301">
        <w:t>Boxplot</w:t>
      </w:r>
      <w:proofErr w:type="spellEnd"/>
      <w:r w:rsidRPr="00CA0301">
        <w:t xml:space="preserve">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sidR="006D413B">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000DA2">
        <w:rPr>
          <w:noProof/>
        </w:rPr>
        <w:t>5</w:t>
      </w:r>
      <w:r>
        <w:fldChar w:fldCharType="end"/>
      </w:r>
      <w:r>
        <w:t xml:space="preserve">.Resultados del test </w:t>
      </w:r>
      <w:proofErr w:type="spellStart"/>
      <w:r>
        <w:t>Kruskal</w:t>
      </w:r>
      <w:proofErr w:type="spellEnd"/>
      <w:r>
        <w:t>-Wallis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7E4887">
              <w:rPr>
                <w:rFonts w:ascii="Arial" w:eastAsiaTheme="minorEastAsia" w:hAnsi="Arial" w:cs="Arial"/>
                <w:color w:val="000000"/>
                <w:sz w:val="18"/>
                <w:szCs w:val="18"/>
                <w:highlight w:val="green"/>
                <w:lang w:val="es-CO" w:eastAsia="ja-JP"/>
              </w:rPr>
              <w:t>Asymp</w:t>
            </w:r>
            <w:proofErr w:type="spellEnd"/>
            <w:r w:rsidRPr="007E4887">
              <w:rPr>
                <w:rFonts w:ascii="Arial" w:eastAsiaTheme="minorEastAsia" w:hAnsi="Arial" w:cs="Arial"/>
                <w:color w:val="000000"/>
                <w:sz w:val="18"/>
                <w:szCs w:val="18"/>
                <w:highlight w:val="green"/>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5</w:t>
      </w:r>
      <w:r>
        <w:fldChar w:fldCharType="end"/>
      </w:r>
      <w:r>
        <w:t xml:space="preserve">. </w:t>
      </w:r>
      <w:proofErr w:type="spellStart"/>
      <w:r>
        <w:t>Boxplot</w:t>
      </w:r>
      <w:proofErr w:type="spellEnd"/>
      <w:r>
        <w:t xml:space="preserve">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sidR="00000DA2">
        <w:rPr>
          <w:noProof/>
        </w:rPr>
        <w:t>6</w:t>
      </w:r>
      <w:r>
        <w:fldChar w:fldCharType="end"/>
      </w:r>
      <w:r>
        <w:t xml:space="preserve">. Resultados del test </w:t>
      </w:r>
      <w:proofErr w:type="spellStart"/>
      <w:r>
        <w:t>Kruskal</w:t>
      </w:r>
      <w:proofErr w:type="spellEnd"/>
      <w:r>
        <w:t>-Wallis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Asymp</w:t>
            </w:r>
            <w:proofErr w:type="spellEnd"/>
            <w:r w:rsidRPr="007E4887">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1216B957"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Análisis de correspondencias múltiple</w:t>
      </w:r>
    </w:p>
    <w:p w14:paraId="0CD0E75F" w14:textId="26C4050F" w:rsidR="00F15DD4"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w:t>
      </w:r>
      <w:r w:rsidR="00F15DD4">
        <w:rPr>
          <w:rFonts w:eastAsiaTheme="minorEastAsia"/>
          <w:lang w:val="es-CO" w:eastAsia="ja-JP"/>
        </w:rPr>
        <w:t xml:space="preserve"> corresponden a la aplicación de un Análisis de correspondencias múltiples para el set de datos en cuestión, el cual se ejecutó en el software estadístico SPSS versión 23, obteniendo como porcentaje de variación explicado por las dos primeras componentes un 92% del total.</w:t>
      </w:r>
    </w:p>
    <w:p w14:paraId="34FC0994" w14:textId="77777777" w:rsidR="00F15DD4" w:rsidRPr="00F15DD4" w:rsidRDefault="00F15DD4" w:rsidP="00F15DD4">
      <w:pPr>
        <w:autoSpaceDE w:val="0"/>
        <w:autoSpaceDN w:val="0"/>
        <w:adjustRightInd w:val="0"/>
        <w:rPr>
          <w:rFonts w:eastAsiaTheme="minorEastAsia"/>
          <w:lang w:val="es-CO" w:eastAsia="ja-JP"/>
        </w:rPr>
      </w:pPr>
    </w:p>
    <w:p w14:paraId="57FCB750" w14:textId="7E55AFA2" w:rsidR="00000DA2" w:rsidRDefault="00000DA2" w:rsidP="00000DA2">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Resumen del modelo ajustado a partir del Análisis de correspondencias múltiple</w:t>
      </w:r>
    </w:p>
    <w:tbl>
      <w:tblPr>
        <w:tblW w:w="52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469"/>
        <w:gridCol w:w="1469"/>
        <w:gridCol w:w="1131"/>
      </w:tblGrid>
      <w:tr w:rsidR="00F15DD4" w:rsidRPr="00F15DD4" w14:paraId="0D362A92" w14:textId="77777777" w:rsidTr="00000DA2">
        <w:trPr>
          <w:cantSplit/>
          <w:jc w:val="center"/>
        </w:trPr>
        <w:tc>
          <w:tcPr>
            <w:tcW w:w="5292" w:type="dxa"/>
            <w:gridSpan w:val="4"/>
            <w:tcBorders>
              <w:top w:val="nil"/>
              <w:left w:val="nil"/>
              <w:bottom w:val="nil"/>
              <w:right w:val="nil"/>
            </w:tcBorders>
            <w:shd w:val="clear" w:color="auto" w:fill="FFFFFF"/>
            <w:vAlign w:val="center"/>
          </w:tcPr>
          <w:p w14:paraId="44084B1B"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b/>
                <w:bCs/>
                <w:color w:val="000000"/>
                <w:sz w:val="18"/>
                <w:szCs w:val="18"/>
                <w:lang w:val="es-CO" w:eastAsia="ja-JP"/>
              </w:rPr>
              <w:t>Model</w:t>
            </w:r>
            <w:proofErr w:type="spellEnd"/>
            <w:r w:rsidRPr="00F15DD4">
              <w:rPr>
                <w:rFonts w:ascii="Arial" w:eastAsiaTheme="minorEastAsia" w:hAnsi="Arial" w:cs="Arial"/>
                <w:b/>
                <w:bCs/>
                <w:color w:val="000000"/>
                <w:sz w:val="18"/>
                <w:szCs w:val="18"/>
                <w:lang w:val="es-CO" w:eastAsia="ja-JP"/>
              </w:rPr>
              <w:t xml:space="preserve"> </w:t>
            </w:r>
            <w:proofErr w:type="spellStart"/>
            <w:r w:rsidRPr="00F15DD4">
              <w:rPr>
                <w:rFonts w:ascii="Arial" w:eastAsiaTheme="minorEastAsia" w:hAnsi="Arial" w:cs="Arial"/>
                <w:b/>
                <w:bCs/>
                <w:color w:val="000000"/>
                <w:sz w:val="18"/>
                <w:szCs w:val="18"/>
                <w:lang w:val="es-CO" w:eastAsia="ja-JP"/>
              </w:rPr>
              <w:t>Summary</w:t>
            </w:r>
            <w:proofErr w:type="spellEnd"/>
          </w:p>
        </w:tc>
      </w:tr>
      <w:tr w:rsidR="00F15DD4" w:rsidRPr="00F15DD4" w14:paraId="35A97A5F" w14:textId="77777777" w:rsidTr="00000DA2">
        <w:trPr>
          <w:cantSplit/>
          <w:jc w:val="center"/>
        </w:trPr>
        <w:tc>
          <w:tcPr>
            <w:tcW w:w="1223" w:type="dxa"/>
            <w:vMerge w:val="restart"/>
            <w:tcBorders>
              <w:top w:val="single" w:sz="16" w:space="0" w:color="000000"/>
              <w:left w:val="single" w:sz="16" w:space="0" w:color="000000"/>
              <w:bottom w:val="nil"/>
              <w:right w:val="single" w:sz="16" w:space="0" w:color="000000"/>
            </w:tcBorders>
            <w:shd w:val="clear" w:color="auto" w:fill="FFFFFF"/>
            <w:vAlign w:val="bottom"/>
          </w:tcPr>
          <w:p w14:paraId="720BDBC2"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Dimension</w:t>
            </w:r>
            <w:proofErr w:type="spellEnd"/>
          </w:p>
        </w:tc>
        <w:tc>
          <w:tcPr>
            <w:tcW w:w="1469" w:type="dxa"/>
            <w:vMerge w:val="restart"/>
            <w:tcBorders>
              <w:top w:val="single" w:sz="16" w:space="0" w:color="000000"/>
              <w:left w:val="single" w:sz="16" w:space="0" w:color="000000"/>
            </w:tcBorders>
            <w:shd w:val="clear" w:color="auto" w:fill="FFFFFF"/>
            <w:vAlign w:val="bottom"/>
          </w:tcPr>
          <w:p w14:paraId="4BFA8E92"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Cronbach's</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Alpha</w:t>
            </w:r>
            <w:proofErr w:type="spellEnd"/>
          </w:p>
        </w:tc>
        <w:tc>
          <w:tcPr>
            <w:tcW w:w="2600" w:type="dxa"/>
            <w:gridSpan w:val="2"/>
            <w:tcBorders>
              <w:top w:val="single" w:sz="16" w:space="0" w:color="000000"/>
              <w:right w:val="single" w:sz="16" w:space="0" w:color="000000"/>
            </w:tcBorders>
            <w:shd w:val="clear" w:color="auto" w:fill="FFFFFF"/>
            <w:vAlign w:val="bottom"/>
          </w:tcPr>
          <w:p w14:paraId="663C62DC"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Variance</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Accounted</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For</w:t>
            </w:r>
            <w:proofErr w:type="spellEnd"/>
          </w:p>
        </w:tc>
      </w:tr>
      <w:tr w:rsidR="00F15DD4" w:rsidRPr="00F15DD4" w14:paraId="5DC6E349" w14:textId="77777777" w:rsidTr="00000DA2">
        <w:trPr>
          <w:cantSplit/>
          <w:jc w:val="center"/>
        </w:trPr>
        <w:tc>
          <w:tcPr>
            <w:tcW w:w="1223" w:type="dxa"/>
            <w:vMerge/>
            <w:tcBorders>
              <w:top w:val="single" w:sz="16" w:space="0" w:color="000000"/>
              <w:left w:val="single" w:sz="16" w:space="0" w:color="000000"/>
              <w:bottom w:val="nil"/>
              <w:right w:val="single" w:sz="16" w:space="0" w:color="000000"/>
            </w:tcBorders>
            <w:shd w:val="clear" w:color="auto" w:fill="FFFFFF"/>
            <w:vAlign w:val="bottom"/>
          </w:tcPr>
          <w:p w14:paraId="41C8704B"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vMerge/>
            <w:tcBorders>
              <w:top w:val="single" w:sz="16" w:space="0" w:color="000000"/>
              <w:left w:val="single" w:sz="16" w:space="0" w:color="000000"/>
            </w:tcBorders>
            <w:shd w:val="clear" w:color="auto" w:fill="FFFFFF"/>
            <w:vAlign w:val="bottom"/>
          </w:tcPr>
          <w:p w14:paraId="4188C8A9"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tcBorders>
              <w:bottom w:val="single" w:sz="16" w:space="0" w:color="000000"/>
            </w:tcBorders>
            <w:shd w:val="clear" w:color="auto" w:fill="FFFFFF"/>
            <w:vAlign w:val="bottom"/>
          </w:tcPr>
          <w:p w14:paraId="3786C5F3"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Total (</w:t>
            </w:r>
            <w:proofErr w:type="spellStart"/>
            <w:r w:rsidRPr="00F15DD4">
              <w:rPr>
                <w:rFonts w:ascii="Arial" w:eastAsiaTheme="minorEastAsia" w:hAnsi="Arial" w:cs="Arial"/>
                <w:color w:val="000000"/>
                <w:sz w:val="18"/>
                <w:szCs w:val="18"/>
                <w:lang w:val="es-CO" w:eastAsia="ja-JP"/>
              </w:rPr>
              <w:t>Eigenvalue</w:t>
            </w:r>
            <w:proofErr w:type="spellEnd"/>
            <w:r w:rsidRPr="00F15DD4">
              <w:rPr>
                <w:rFonts w:ascii="Arial" w:eastAsiaTheme="minorEastAsia" w:hAnsi="Arial" w:cs="Arial"/>
                <w:color w:val="000000"/>
                <w:sz w:val="18"/>
                <w:szCs w:val="18"/>
                <w:lang w:val="es-CO" w:eastAsia="ja-JP"/>
              </w:rPr>
              <w:t>)</w:t>
            </w:r>
          </w:p>
        </w:tc>
        <w:tc>
          <w:tcPr>
            <w:tcW w:w="1131" w:type="dxa"/>
            <w:tcBorders>
              <w:bottom w:val="single" w:sz="16" w:space="0" w:color="000000"/>
              <w:right w:val="single" w:sz="16" w:space="0" w:color="000000"/>
            </w:tcBorders>
            <w:shd w:val="clear" w:color="auto" w:fill="FFFFFF"/>
            <w:vAlign w:val="bottom"/>
          </w:tcPr>
          <w:p w14:paraId="4864CADA"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Inertia</w:t>
            </w:r>
            <w:proofErr w:type="spellEnd"/>
          </w:p>
        </w:tc>
      </w:tr>
      <w:tr w:rsidR="00F15DD4" w:rsidRPr="00F15DD4" w14:paraId="6D4F6303" w14:textId="77777777" w:rsidTr="00000DA2">
        <w:trPr>
          <w:cantSplit/>
          <w:jc w:val="center"/>
        </w:trPr>
        <w:tc>
          <w:tcPr>
            <w:tcW w:w="1223" w:type="dxa"/>
            <w:tcBorders>
              <w:top w:val="single" w:sz="16" w:space="0" w:color="000000"/>
              <w:left w:val="single" w:sz="16" w:space="0" w:color="000000"/>
              <w:bottom w:val="nil"/>
              <w:right w:val="single" w:sz="16" w:space="0" w:color="000000"/>
            </w:tcBorders>
            <w:shd w:val="clear" w:color="auto" w:fill="FFFFFF"/>
          </w:tcPr>
          <w:p w14:paraId="320A5C69"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1</w:t>
            </w:r>
          </w:p>
        </w:tc>
        <w:tc>
          <w:tcPr>
            <w:tcW w:w="1469" w:type="dxa"/>
            <w:tcBorders>
              <w:top w:val="single" w:sz="16" w:space="0" w:color="000000"/>
              <w:left w:val="single" w:sz="16" w:space="0" w:color="000000"/>
              <w:bottom w:val="nil"/>
            </w:tcBorders>
            <w:shd w:val="clear" w:color="auto" w:fill="FFFFFF"/>
            <w:vAlign w:val="center"/>
          </w:tcPr>
          <w:p w14:paraId="5287E968"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.907</w:t>
            </w:r>
          </w:p>
        </w:tc>
        <w:tc>
          <w:tcPr>
            <w:tcW w:w="1469" w:type="dxa"/>
            <w:tcBorders>
              <w:top w:val="single" w:sz="16" w:space="0" w:color="000000"/>
              <w:bottom w:val="nil"/>
            </w:tcBorders>
            <w:shd w:val="clear" w:color="auto" w:fill="FFFFFF"/>
            <w:vAlign w:val="center"/>
          </w:tcPr>
          <w:p w14:paraId="43121CA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5.438</w:t>
            </w:r>
          </w:p>
        </w:tc>
        <w:tc>
          <w:tcPr>
            <w:tcW w:w="1131" w:type="dxa"/>
            <w:tcBorders>
              <w:top w:val="single" w:sz="16" w:space="0" w:color="000000"/>
              <w:bottom w:val="nil"/>
              <w:right w:val="single" w:sz="16" w:space="0" w:color="000000"/>
            </w:tcBorders>
            <w:shd w:val="clear" w:color="auto" w:fill="FFFFFF"/>
            <w:vAlign w:val="center"/>
          </w:tcPr>
          <w:p w14:paraId="28E17B99"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.544</w:t>
            </w:r>
          </w:p>
        </w:tc>
      </w:tr>
      <w:tr w:rsidR="00F15DD4" w:rsidRPr="00F15DD4" w14:paraId="1822866D"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1996606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2</w:t>
            </w:r>
          </w:p>
        </w:tc>
        <w:tc>
          <w:tcPr>
            <w:tcW w:w="1469" w:type="dxa"/>
            <w:tcBorders>
              <w:top w:val="nil"/>
              <w:left w:val="single" w:sz="16" w:space="0" w:color="000000"/>
              <w:bottom w:val="nil"/>
            </w:tcBorders>
            <w:shd w:val="clear" w:color="auto" w:fill="FFFFFF"/>
            <w:vAlign w:val="center"/>
          </w:tcPr>
          <w:p w14:paraId="38FD221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.815</w:t>
            </w:r>
          </w:p>
        </w:tc>
        <w:tc>
          <w:tcPr>
            <w:tcW w:w="1469" w:type="dxa"/>
            <w:tcBorders>
              <w:top w:val="nil"/>
              <w:bottom w:val="nil"/>
            </w:tcBorders>
            <w:shd w:val="clear" w:color="auto" w:fill="FFFFFF"/>
            <w:vAlign w:val="center"/>
          </w:tcPr>
          <w:p w14:paraId="6210A710"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3.753</w:t>
            </w:r>
          </w:p>
        </w:tc>
        <w:tc>
          <w:tcPr>
            <w:tcW w:w="1131" w:type="dxa"/>
            <w:tcBorders>
              <w:top w:val="nil"/>
              <w:bottom w:val="nil"/>
              <w:right w:val="single" w:sz="16" w:space="0" w:color="000000"/>
            </w:tcBorders>
            <w:shd w:val="clear" w:color="auto" w:fill="FFFFFF"/>
            <w:vAlign w:val="center"/>
          </w:tcPr>
          <w:p w14:paraId="33E5F63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w:t>
            </w:r>
          </w:p>
        </w:tc>
      </w:tr>
      <w:tr w:rsidR="00F15DD4" w:rsidRPr="00F15DD4" w14:paraId="6FBA0E1F" w14:textId="77777777" w:rsidTr="00000DA2">
        <w:trPr>
          <w:cantSplit/>
          <w:jc w:val="center"/>
        </w:trPr>
        <w:tc>
          <w:tcPr>
            <w:tcW w:w="1223" w:type="dxa"/>
            <w:tcBorders>
              <w:top w:val="nil"/>
              <w:left w:val="single" w:sz="16" w:space="0" w:color="000000"/>
              <w:bottom w:val="nil"/>
              <w:right w:val="single" w:sz="16" w:space="0" w:color="000000"/>
            </w:tcBorders>
            <w:shd w:val="clear" w:color="auto" w:fill="FFFFFF"/>
          </w:tcPr>
          <w:p w14:paraId="7F8BC82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lastRenderedPageBreak/>
              <w:t>Total</w:t>
            </w:r>
          </w:p>
        </w:tc>
        <w:tc>
          <w:tcPr>
            <w:tcW w:w="1469" w:type="dxa"/>
            <w:tcBorders>
              <w:top w:val="nil"/>
              <w:left w:val="single" w:sz="16" w:space="0" w:color="000000"/>
              <w:bottom w:val="nil"/>
            </w:tcBorders>
            <w:shd w:val="clear" w:color="auto" w:fill="FFFFFF"/>
            <w:vAlign w:val="center"/>
          </w:tcPr>
          <w:p w14:paraId="308A8817" w14:textId="77777777" w:rsidR="00F15DD4" w:rsidRPr="00F15DD4" w:rsidRDefault="00F15DD4" w:rsidP="00F15DD4">
            <w:pPr>
              <w:autoSpaceDE w:val="0"/>
              <w:autoSpaceDN w:val="0"/>
              <w:adjustRightInd w:val="0"/>
              <w:rPr>
                <w:rFonts w:eastAsiaTheme="minorEastAsia"/>
                <w:lang w:val="es-CO" w:eastAsia="ja-JP"/>
              </w:rPr>
            </w:pPr>
          </w:p>
        </w:tc>
        <w:tc>
          <w:tcPr>
            <w:tcW w:w="1469" w:type="dxa"/>
            <w:tcBorders>
              <w:top w:val="nil"/>
              <w:bottom w:val="nil"/>
            </w:tcBorders>
            <w:shd w:val="clear" w:color="auto" w:fill="FFFFFF"/>
            <w:vAlign w:val="center"/>
          </w:tcPr>
          <w:p w14:paraId="4D93A10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9.190</w:t>
            </w:r>
          </w:p>
        </w:tc>
        <w:tc>
          <w:tcPr>
            <w:tcW w:w="1131" w:type="dxa"/>
            <w:tcBorders>
              <w:top w:val="nil"/>
              <w:bottom w:val="nil"/>
              <w:right w:val="single" w:sz="16" w:space="0" w:color="000000"/>
            </w:tcBorders>
            <w:shd w:val="clear" w:color="auto" w:fill="FFFFFF"/>
            <w:vAlign w:val="center"/>
          </w:tcPr>
          <w:p w14:paraId="3394D4F2"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highlight w:val="green"/>
                <w:lang w:val="es-CO" w:eastAsia="ja-JP"/>
              </w:rPr>
              <w:t>.919</w:t>
            </w:r>
          </w:p>
        </w:tc>
      </w:tr>
      <w:tr w:rsidR="00F15DD4" w:rsidRPr="00F15DD4" w14:paraId="56FC7744" w14:textId="77777777" w:rsidTr="00000DA2">
        <w:trPr>
          <w:cantSplit/>
          <w:jc w:val="center"/>
        </w:trPr>
        <w:tc>
          <w:tcPr>
            <w:tcW w:w="1223" w:type="dxa"/>
            <w:tcBorders>
              <w:top w:val="nil"/>
              <w:left w:val="single" w:sz="16" w:space="0" w:color="000000"/>
              <w:bottom w:val="single" w:sz="16" w:space="0" w:color="000000"/>
              <w:right w:val="single" w:sz="16" w:space="0" w:color="000000"/>
            </w:tcBorders>
            <w:shd w:val="clear" w:color="auto" w:fill="FFFFFF"/>
          </w:tcPr>
          <w:p w14:paraId="4FBC9CAB"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Mean</w:t>
            </w:r>
          </w:p>
        </w:tc>
        <w:tc>
          <w:tcPr>
            <w:tcW w:w="1469" w:type="dxa"/>
            <w:tcBorders>
              <w:top w:val="nil"/>
              <w:left w:val="single" w:sz="16" w:space="0" w:color="000000"/>
              <w:bottom w:val="single" w:sz="16" w:space="0" w:color="000000"/>
            </w:tcBorders>
            <w:shd w:val="clear" w:color="auto" w:fill="FFFFFF"/>
            <w:vAlign w:val="center"/>
          </w:tcPr>
          <w:p w14:paraId="11D32B0F"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.869</w:t>
            </w:r>
            <w:r w:rsidRPr="00F15DD4">
              <w:rPr>
                <w:rFonts w:ascii="Arial" w:eastAsiaTheme="minorEastAsia" w:hAnsi="Arial" w:cs="Arial"/>
                <w:color w:val="000000"/>
                <w:sz w:val="18"/>
                <w:szCs w:val="18"/>
                <w:vertAlign w:val="superscript"/>
                <w:lang w:val="es-CO" w:eastAsia="ja-JP"/>
              </w:rPr>
              <w:t>a</w:t>
            </w:r>
          </w:p>
        </w:tc>
        <w:tc>
          <w:tcPr>
            <w:tcW w:w="1469" w:type="dxa"/>
            <w:tcBorders>
              <w:top w:val="nil"/>
              <w:bottom w:val="single" w:sz="16" w:space="0" w:color="000000"/>
            </w:tcBorders>
            <w:shd w:val="clear" w:color="auto" w:fill="FFFFFF"/>
            <w:vAlign w:val="center"/>
          </w:tcPr>
          <w:p w14:paraId="6D27973E"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4.595</w:t>
            </w:r>
          </w:p>
        </w:tc>
        <w:tc>
          <w:tcPr>
            <w:tcW w:w="1131" w:type="dxa"/>
            <w:tcBorders>
              <w:top w:val="nil"/>
              <w:bottom w:val="single" w:sz="16" w:space="0" w:color="000000"/>
              <w:right w:val="single" w:sz="16" w:space="0" w:color="000000"/>
            </w:tcBorders>
            <w:shd w:val="clear" w:color="auto" w:fill="FFFFFF"/>
            <w:vAlign w:val="center"/>
          </w:tcPr>
          <w:p w14:paraId="22E21997"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.460</w:t>
            </w:r>
          </w:p>
        </w:tc>
      </w:tr>
      <w:tr w:rsidR="00F15DD4" w:rsidRPr="00847C68" w14:paraId="5A5AF146" w14:textId="77777777" w:rsidTr="00000DA2">
        <w:trPr>
          <w:cantSplit/>
          <w:jc w:val="center"/>
        </w:trPr>
        <w:tc>
          <w:tcPr>
            <w:tcW w:w="5292" w:type="dxa"/>
            <w:gridSpan w:val="4"/>
            <w:tcBorders>
              <w:top w:val="nil"/>
              <w:left w:val="nil"/>
              <w:bottom w:val="nil"/>
              <w:right w:val="nil"/>
            </w:tcBorders>
            <w:shd w:val="clear" w:color="auto" w:fill="FFFFFF"/>
          </w:tcPr>
          <w:p w14:paraId="2E785B7F"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F15DD4">
              <w:rPr>
                <w:rFonts w:ascii="Arial" w:eastAsiaTheme="minorEastAsia" w:hAnsi="Arial" w:cs="Arial"/>
                <w:color w:val="000000"/>
                <w:sz w:val="18"/>
                <w:szCs w:val="18"/>
                <w:lang w:val="en-US" w:eastAsia="ja-JP"/>
              </w:rPr>
              <w:t xml:space="preserve">a. Mean Cronbach's Alpha </w:t>
            </w:r>
            <w:proofErr w:type="gramStart"/>
            <w:r w:rsidRPr="00F15DD4">
              <w:rPr>
                <w:rFonts w:ascii="Arial" w:eastAsiaTheme="minorEastAsia" w:hAnsi="Arial" w:cs="Arial"/>
                <w:color w:val="000000"/>
                <w:sz w:val="18"/>
                <w:szCs w:val="18"/>
                <w:lang w:val="en-US" w:eastAsia="ja-JP"/>
              </w:rPr>
              <w:t>is based</w:t>
            </w:r>
            <w:proofErr w:type="gramEnd"/>
            <w:r w:rsidRPr="00F15DD4">
              <w:rPr>
                <w:rFonts w:ascii="Arial" w:eastAsiaTheme="minorEastAsia" w:hAnsi="Arial" w:cs="Arial"/>
                <w:color w:val="000000"/>
                <w:sz w:val="18"/>
                <w:szCs w:val="18"/>
                <w:lang w:val="en-US" w:eastAsia="ja-JP"/>
              </w:rPr>
              <w:t xml:space="preserve"> on the mean Eigenvalue.</w:t>
            </w:r>
          </w:p>
        </w:tc>
      </w:tr>
    </w:tbl>
    <w:p w14:paraId="6DE6F7F9" w14:textId="77777777" w:rsidR="00F15DD4" w:rsidRPr="00F15DD4" w:rsidRDefault="00F15DD4" w:rsidP="00F15DD4">
      <w:pPr>
        <w:autoSpaceDE w:val="0"/>
        <w:autoSpaceDN w:val="0"/>
        <w:adjustRightInd w:val="0"/>
        <w:spacing w:line="400" w:lineRule="atLeast"/>
        <w:rPr>
          <w:rFonts w:eastAsiaTheme="minorEastAsia"/>
          <w:lang w:val="en-US" w:eastAsia="ja-JP"/>
        </w:rPr>
      </w:pPr>
    </w:p>
    <w:p w14:paraId="2D72C388" w14:textId="2EC6DAE7" w:rsidR="00F15DD4" w:rsidRPr="00000DA2" w:rsidRDefault="00000DA2"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Como se puede observar en la Tabla 7</w:t>
      </w:r>
      <w:r w:rsidR="004D7D5A">
        <w:rPr>
          <w:rFonts w:eastAsiaTheme="minorEastAsia"/>
          <w:lang w:val="es-CO" w:eastAsia="ja-JP"/>
        </w:rPr>
        <w:t xml:space="preserve"> en la última columna</w:t>
      </w:r>
      <w:r>
        <w:rPr>
          <w:rFonts w:eastAsiaTheme="minorEastAsia"/>
          <w:lang w:val="es-CO" w:eastAsia="ja-JP"/>
        </w:rPr>
        <w:t>, la variabilidad explicada por la primera componente corresponde a 54.4%, mientras la segunda componente discrimina un 37.5% del total. Esto indica que por medio de estas dos dimensiones se logra explicar</w:t>
      </w:r>
      <w:r w:rsidR="004D7D5A">
        <w:rPr>
          <w:rFonts w:eastAsiaTheme="minorEastAsia"/>
          <w:lang w:val="es-CO" w:eastAsia="ja-JP"/>
        </w:rPr>
        <w:t xml:space="preserve"> una alta proporción de</w:t>
      </w:r>
      <w:r>
        <w:rPr>
          <w:rFonts w:eastAsiaTheme="minorEastAsia"/>
          <w:lang w:val="es-CO" w:eastAsia="ja-JP"/>
        </w:rPr>
        <w:t xml:space="preserve"> los patrones de comportamiento implícitos</w:t>
      </w:r>
      <w:r w:rsidR="002610B2">
        <w:rPr>
          <w:rFonts w:eastAsiaTheme="minorEastAsia"/>
          <w:lang w:val="es-CO" w:eastAsia="ja-JP"/>
        </w:rPr>
        <w:t xml:space="preserve"> u ocultos</w:t>
      </w:r>
      <w:r>
        <w:rPr>
          <w:rFonts w:eastAsiaTheme="minorEastAsia"/>
          <w:lang w:val="es-CO" w:eastAsia="ja-JP"/>
        </w:rPr>
        <w:t xml:space="preserve"> en la totalidad de la tabla.</w:t>
      </w:r>
    </w:p>
    <w:p w14:paraId="737DEB99" w14:textId="77777777" w:rsidR="00000DA2" w:rsidRDefault="00000DA2" w:rsidP="005343AF">
      <w:pPr>
        <w:autoSpaceDE w:val="0"/>
        <w:autoSpaceDN w:val="0"/>
        <w:adjustRightInd w:val="0"/>
        <w:spacing w:line="400" w:lineRule="atLeast"/>
        <w:jc w:val="both"/>
        <w:rPr>
          <w:rFonts w:eastAsiaTheme="minorEastAsia"/>
          <w:lang w:val="es-CO" w:eastAsia="ja-JP"/>
        </w:rPr>
      </w:pPr>
    </w:p>
    <w:p w14:paraId="706C53C4" w14:textId="77777777" w:rsidR="006D413B" w:rsidRDefault="00000DA2" w:rsidP="006D413B">
      <w:pPr>
        <w:keepNext/>
        <w:autoSpaceDE w:val="0"/>
        <w:autoSpaceDN w:val="0"/>
        <w:adjustRightInd w:val="0"/>
      </w:pPr>
      <w:r>
        <w:rPr>
          <w:rFonts w:eastAsiaTheme="minorEastAsia"/>
          <w:noProof/>
          <w:lang w:val="es-CO" w:eastAsia="es-CO"/>
        </w:rPr>
        <w:drawing>
          <wp:inline distT="0" distB="0" distL="0" distR="0" wp14:anchorId="2B5C8895" wp14:editId="43F1DAE8">
            <wp:extent cx="5943600" cy="45631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992"/>
                    <a:stretch/>
                  </pic:blipFill>
                  <pic:spPr bwMode="auto">
                    <a:xfrm>
                      <a:off x="0" y="0"/>
                      <a:ext cx="5943600" cy="4563194"/>
                    </a:xfrm>
                    <a:prstGeom prst="rect">
                      <a:avLst/>
                    </a:prstGeom>
                    <a:noFill/>
                    <a:ln>
                      <a:noFill/>
                    </a:ln>
                    <a:extLst>
                      <a:ext uri="{53640926-AAD7-44D8-BBD7-CCE9431645EC}">
                        <a14:shadowObscured xmlns:a14="http://schemas.microsoft.com/office/drawing/2010/main"/>
                      </a:ext>
                    </a:extLst>
                  </pic:spPr>
                </pic:pic>
              </a:graphicData>
            </a:graphic>
          </wp:inline>
        </w:drawing>
      </w:r>
    </w:p>
    <w:p w14:paraId="17F09958" w14:textId="7785B1FF" w:rsidR="00000DA2" w:rsidRDefault="006D413B" w:rsidP="006D413B">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6</w:t>
      </w:r>
      <w:r>
        <w:fldChar w:fldCharType="end"/>
      </w:r>
      <w:r>
        <w:t>. Nube de individuos sobre las dos componentes principales calculadas</w:t>
      </w:r>
    </w:p>
    <w:p w14:paraId="458ECF18" w14:textId="4CA6E685" w:rsidR="00000DA2" w:rsidRDefault="006D413B"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la Figura 6, se presenta la nube de individuos etiquetada por el respectivo consecutivo </w:t>
      </w:r>
      <w:r w:rsidR="002610B2">
        <w:rPr>
          <w:rFonts w:eastAsiaTheme="minorEastAsia"/>
          <w:lang w:val="es-CO" w:eastAsia="ja-JP"/>
        </w:rPr>
        <w:t>de</w:t>
      </w:r>
      <w:r>
        <w:rPr>
          <w:rFonts w:eastAsiaTheme="minorEastAsia"/>
          <w:lang w:val="es-CO" w:eastAsia="ja-JP"/>
        </w:rPr>
        <w:t xml:space="preserve"> la encuesta. Aquí l</w:t>
      </w:r>
      <w:r w:rsidR="00000DA2">
        <w:rPr>
          <w:rFonts w:eastAsiaTheme="minorEastAsia"/>
          <w:lang w:val="es-CO" w:eastAsia="ja-JP"/>
        </w:rPr>
        <w:t xml:space="preserve">a distancia de un individuo al origen (punto 0,0) refleja la variación del patrón de respuesta común, es decir, del patrón de respuesta que asumen la mayoría de los encuestados. </w:t>
      </w:r>
      <w:r>
        <w:rPr>
          <w:rFonts w:eastAsiaTheme="minorEastAsia"/>
          <w:lang w:val="es-CO" w:eastAsia="ja-JP"/>
        </w:rPr>
        <w:t>El patrón de respuesta común o promedio corresponde a la categoría más frecuente para cada variable.</w:t>
      </w:r>
      <w:r w:rsidR="002610B2">
        <w:rPr>
          <w:rFonts w:eastAsiaTheme="minorEastAsia"/>
          <w:lang w:val="es-CO" w:eastAsia="ja-JP"/>
        </w:rPr>
        <w:t xml:space="preserve"> No obstante, como se observa en la Figura 6 se presentan variaciones de individuos en las diferentes direcciones del gráfico.</w:t>
      </w:r>
    </w:p>
    <w:p w14:paraId="15D6FB93" w14:textId="4192E227" w:rsidR="00000DA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Ahora para identificar las variables que mejor discriminan a los individuos en la nube de puntos se presenta a continuación en las dos dimensiones calculadas se presenta a continuación las medidas de discriminación por variables en cada eje. SI UNA VARIABLE DISCRIMINA BIEN, LOS INDIVIDUOS ESTARÁN CERCA A LAS CATEGORIAS A LAS QUE PERTENECEN.</w:t>
      </w:r>
    </w:p>
    <w:p w14:paraId="2BAC2F07" w14:textId="1A68A733"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DOS INDIVIDUOS CERCANOS INDICAN QUE SE PARECEN EN LA FORMA DE RESPONDER PARA TODAS LAS PREGUNTAS EN LA ENCUESTA.</w:t>
      </w:r>
    </w:p>
    <w:p w14:paraId="59FDAF94" w14:textId="77777777" w:rsidR="004D7D5A" w:rsidRDefault="004D7D5A" w:rsidP="005343AF">
      <w:pPr>
        <w:autoSpaceDE w:val="0"/>
        <w:autoSpaceDN w:val="0"/>
        <w:adjustRightInd w:val="0"/>
        <w:spacing w:line="400" w:lineRule="atLeast"/>
        <w:jc w:val="both"/>
        <w:rPr>
          <w:rFonts w:eastAsiaTheme="minorEastAsia"/>
          <w:lang w:val="es-CO" w:eastAsia="ja-JP"/>
        </w:rPr>
      </w:pPr>
    </w:p>
    <w:p w14:paraId="3AFAC005" w14:textId="5C247BBA" w:rsidR="00442FD2" w:rsidRDefault="00442FD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Varianza de la variable cuantificada en su respectiva dimensión</w:t>
      </w:r>
    </w:p>
    <w:p w14:paraId="10CE79D4" w14:textId="77777777" w:rsidR="00442FD2" w:rsidRDefault="00442FD2" w:rsidP="005343AF">
      <w:pPr>
        <w:autoSpaceDE w:val="0"/>
        <w:autoSpaceDN w:val="0"/>
        <w:adjustRightInd w:val="0"/>
        <w:spacing w:line="400" w:lineRule="atLeast"/>
        <w:jc w:val="both"/>
        <w:rPr>
          <w:rFonts w:eastAsiaTheme="minorEastAsia"/>
          <w:lang w:val="es-CO" w:eastAsia="ja-JP"/>
        </w:rPr>
      </w:pPr>
    </w:p>
    <w:p w14:paraId="460DFD8D" w14:textId="385CEDA1" w:rsidR="00442FD2" w:rsidRDefault="00442FD2" w:rsidP="00442FD2">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D7CC13C" wp14:editId="0D48AE8C">
            <wp:extent cx="59436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C4F380" w14:textId="77777777" w:rsidR="00442FD2" w:rsidRDefault="00442FD2" w:rsidP="00442FD2">
      <w:pPr>
        <w:autoSpaceDE w:val="0"/>
        <w:autoSpaceDN w:val="0"/>
        <w:adjustRightInd w:val="0"/>
        <w:rPr>
          <w:rFonts w:eastAsiaTheme="minorEastAsia"/>
          <w:lang w:val="es-CO" w:eastAsia="ja-JP"/>
        </w:rPr>
      </w:pPr>
    </w:p>
    <w:p w14:paraId="1BBE30D9" w14:textId="424E57EB" w:rsidR="00442FD2" w:rsidRDefault="00224401" w:rsidP="00224401">
      <w:pPr>
        <w:autoSpaceDE w:val="0"/>
        <w:autoSpaceDN w:val="0"/>
        <w:adjustRightInd w:val="0"/>
        <w:spacing w:line="400" w:lineRule="atLeast"/>
        <w:jc w:val="both"/>
        <w:rPr>
          <w:rFonts w:eastAsiaTheme="minorEastAsia"/>
          <w:lang w:val="es-CO" w:eastAsia="ja-JP"/>
        </w:rPr>
      </w:pPr>
      <w:r>
        <w:rPr>
          <w:rFonts w:eastAsiaTheme="minorEastAsia"/>
          <w:lang w:val="es-CO" w:eastAsia="ja-JP"/>
        </w:rPr>
        <w:t>Aquí se observa que la mayoría de las preguntan en la encuesta se encuentran asociadas fuertemente con la primera dimensión, a excepción del número de consumiciones la cual se encuentra principalmente asociada con la segunda dimensión</w:t>
      </w:r>
    </w:p>
    <w:p w14:paraId="40A54F17" w14:textId="77777777" w:rsidR="00442FD2" w:rsidRDefault="00442FD2" w:rsidP="005343AF">
      <w:pPr>
        <w:autoSpaceDE w:val="0"/>
        <w:autoSpaceDN w:val="0"/>
        <w:adjustRightInd w:val="0"/>
        <w:spacing w:line="400" w:lineRule="atLeast"/>
        <w:jc w:val="both"/>
        <w:rPr>
          <w:rFonts w:eastAsiaTheme="minorEastAsia"/>
          <w:lang w:val="es-CO" w:eastAsia="ja-JP"/>
        </w:rPr>
      </w:pPr>
    </w:p>
    <w:p w14:paraId="6A863C85" w14:textId="3BC45E46" w:rsidR="009556DD" w:rsidRDefault="009556DD" w:rsidP="009556DD">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4017C250" wp14:editId="0AA374CC">
            <wp:extent cx="5943600" cy="475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ACCA2C4" w14:textId="77777777" w:rsidR="009556DD" w:rsidRDefault="009556DD" w:rsidP="009556DD">
      <w:pPr>
        <w:autoSpaceDE w:val="0"/>
        <w:autoSpaceDN w:val="0"/>
        <w:adjustRightInd w:val="0"/>
        <w:rPr>
          <w:rFonts w:eastAsiaTheme="minorEastAsia"/>
          <w:lang w:val="es-CO" w:eastAsia="ja-JP"/>
        </w:rPr>
      </w:pPr>
    </w:p>
    <w:p w14:paraId="578D1AFC" w14:textId="77777777" w:rsidR="009556DD" w:rsidRDefault="009556DD" w:rsidP="009556DD">
      <w:pPr>
        <w:autoSpaceDE w:val="0"/>
        <w:autoSpaceDN w:val="0"/>
        <w:adjustRightInd w:val="0"/>
        <w:spacing w:line="400" w:lineRule="atLeast"/>
        <w:rPr>
          <w:rFonts w:eastAsiaTheme="minorEastAsia"/>
          <w:lang w:val="es-CO" w:eastAsia="ja-JP"/>
        </w:rPr>
      </w:pPr>
    </w:p>
    <w:p w14:paraId="7086F317" w14:textId="77777777" w:rsidR="009556DD" w:rsidRDefault="009556DD" w:rsidP="005343AF">
      <w:pPr>
        <w:autoSpaceDE w:val="0"/>
        <w:autoSpaceDN w:val="0"/>
        <w:adjustRightInd w:val="0"/>
        <w:spacing w:line="400" w:lineRule="atLeast"/>
        <w:jc w:val="both"/>
        <w:rPr>
          <w:rFonts w:eastAsiaTheme="minorEastAsia"/>
          <w:lang w:val="es-CO" w:eastAsia="ja-JP"/>
        </w:rPr>
      </w:pPr>
    </w:p>
    <w:p w14:paraId="7EAB73DF" w14:textId="77777777" w:rsidR="00442FD2" w:rsidRPr="00000DA2" w:rsidRDefault="00442FD2" w:rsidP="005343AF">
      <w:pPr>
        <w:autoSpaceDE w:val="0"/>
        <w:autoSpaceDN w:val="0"/>
        <w:adjustRightInd w:val="0"/>
        <w:spacing w:line="400" w:lineRule="atLeast"/>
        <w:jc w:val="both"/>
        <w:rPr>
          <w:rFonts w:eastAsiaTheme="minorEastAsia"/>
          <w:lang w:val="es-CO" w:eastAsia="ja-JP"/>
        </w:rPr>
      </w:pPr>
    </w:p>
    <w:p w14:paraId="488EDF48" w14:textId="4548D3CB" w:rsidR="007E4887" w:rsidRDefault="008C6FEC"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 xml:space="preserve"> </w:t>
      </w:r>
      <w:proofErr w:type="gramStart"/>
      <w:r>
        <w:rPr>
          <w:rFonts w:eastAsiaTheme="minorEastAsia"/>
          <w:lang w:val="es-CO" w:eastAsia="ja-JP"/>
        </w:rPr>
        <w:t>son</w:t>
      </w:r>
      <w:proofErr w:type="gramEnd"/>
      <w:r>
        <w:rPr>
          <w:rFonts w:eastAsiaTheme="minorEastAsia"/>
          <w:lang w:val="es-CO" w:eastAsia="ja-JP"/>
        </w:rPr>
        <w:t xml:space="preserve">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lastRenderedPageBreak/>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w:t>
      </w:r>
      <w:r w:rsidRPr="00CA6A43">
        <w:rPr>
          <w:color w:val="000000" w:themeColor="text1"/>
        </w:rPr>
        <w:lastRenderedPageBreak/>
        <w:t xml:space="preserve">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proofErr w:type="spellStart"/>
      <w:r w:rsidRPr="00847C68">
        <w:rPr>
          <w:lang w:val="es-CO"/>
        </w:rPr>
        <w:t>Daley</w:t>
      </w:r>
      <w:proofErr w:type="spellEnd"/>
      <w:r w:rsidRPr="00847C68">
        <w:rPr>
          <w:lang w:val="es-CO"/>
        </w:rPr>
        <w:t xml:space="preserve">, D.C., &amp; </w:t>
      </w:r>
      <w:proofErr w:type="spellStart"/>
      <w:r w:rsidRPr="00847C68">
        <w:rPr>
          <w:lang w:val="es-CO"/>
        </w:rPr>
        <w:t>Moss</w:t>
      </w:r>
      <w:proofErr w:type="spellEnd"/>
      <w:r w:rsidRPr="00847C68">
        <w:rPr>
          <w:lang w:val="es-CO"/>
        </w:rPr>
        <w:t xml:space="preserve">,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847C68">
        <w:rPr>
          <w:lang w:val="es-CO"/>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proofErr w:type="spellStart"/>
      <w:r w:rsidRPr="00581F14">
        <w:rPr>
          <w:lang w:val="en-US"/>
        </w:rPr>
        <w:lastRenderedPageBreak/>
        <w:t>Gantiva</w:t>
      </w:r>
      <w:proofErr w:type="spellEnd"/>
      <w:r w:rsidRPr="00581F14">
        <w:rPr>
          <w:lang w:val="en-US"/>
        </w:rPr>
        <w:t xml:space="preserve">, C.A., Bello, J., </w:t>
      </w:r>
      <w:proofErr w:type="spellStart"/>
      <w:r w:rsidRPr="00581F14">
        <w:rPr>
          <w:lang w:val="en-US"/>
        </w:rPr>
        <w:t>Vanegas</w:t>
      </w:r>
      <w:proofErr w:type="spellEnd"/>
      <w:r w:rsidRPr="00581F14">
        <w:rPr>
          <w:lang w:val="en-US"/>
        </w:rPr>
        <w:t xml:space="preserve">, E. &amp; </w:t>
      </w:r>
      <w:proofErr w:type="spellStart"/>
      <w:r w:rsidRPr="00581F14">
        <w:rPr>
          <w:lang w:val="en-US"/>
        </w:rPr>
        <w:t>Sastoque</w:t>
      </w:r>
      <w:proofErr w:type="spellEnd"/>
      <w:r w:rsidRPr="00581F14">
        <w:rPr>
          <w:lang w:val="en-US"/>
        </w:rPr>
        <w:t>, Y.</w:t>
      </w:r>
      <w:r w:rsidR="00C9678C" w:rsidRPr="00581F14">
        <w:rPr>
          <w:lang w:val="en-US"/>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proofErr w:type="spellStart"/>
      <w:r w:rsidRPr="00581F14">
        <w:rPr>
          <w:lang w:val="en-US"/>
        </w:rPr>
        <w:lastRenderedPageBreak/>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009F2" w14:textId="77777777" w:rsidR="00D05CB9" w:rsidRDefault="00D05CB9" w:rsidP="00757E9C">
      <w:r>
        <w:separator/>
      </w:r>
    </w:p>
  </w:endnote>
  <w:endnote w:type="continuationSeparator" w:id="0">
    <w:p w14:paraId="1DD95178" w14:textId="77777777" w:rsidR="00D05CB9" w:rsidRDefault="00D05CB9"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C91EC0" w:rsidRDefault="00C91EC0"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C91EC0" w:rsidRDefault="00C91EC0"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C91EC0" w:rsidRDefault="00C91EC0"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E4D5D">
      <w:rPr>
        <w:rStyle w:val="PageNumber"/>
        <w:noProof/>
      </w:rPr>
      <w:t>23</w:t>
    </w:r>
    <w:r>
      <w:rPr>
        <w:rStyle w:val="PageNumber"/>
      </w:rPr>
      <w:fldChar w:fldCharType="end"/>
    </w:r>
  </w:p>
  <w:p w14:paraId="6F77EF52" w14:textId="77777777" w:rsidR="00C91EC0" w:rsidRDefault="00C91EC0"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6952B" w14:textId="77777777" w:rsidR="00D05CB9" w:rsidRDefault="00D05CB9" w:rsidP="00757E9C">
      <w:r>
        <w:separator/>
      </w:r>
    </w:p>
  </w:footnote>
  <w:footnote w:type="continuationSeparator" w:id="0">
    <w:p w14:paraId="4764E81B" w14:textId="77777777" w:rsidR="00D05CB9" w:rsidRDefault="00D05CB9"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2238B5"/>
    <w:multiLevelType w:val="hybridMultilevel"/>
    <w:tmpl w:val="E20A5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8"/>
  </w:num>
  <w:num w:numId="9">
    <w:abstractNumId w:val="11"/>
  </w:num>
  <w:num w:numId="10">
    <w:abstractNumId w:val="5"/>
  </w:num>
  <w:num w:numId="11">
    <w:abstractNumId w:val="0"/>
  </w:num>
  <w:num w:numId="12">
    <w:abstractNumId w:val="6"/>
  </w:num>
  <w:num w:numId="13">
    <w:abstractNumId w:val="9"/>
  </w:num>
  <w:num w:numId="14">
    <w:abstractNumId w:val="15"/>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0DA2"/>
    <w:rsid w:val="00002CEE"/>
    <w:rsid w:val="00004CA2"/>
    <w:rsid w:val="00033377"/>
    <w:rsid w:val="00046FDE"/>
    <w:rsid w:val="00052835"/>
    <w:rsid w:val="00063762"/>
    <w:rsid w:val="00063C8A"/>
    <w:rsid w:val="00073418"/>
    <w:rsid w:val="00076336"/>
    <w:rsid w:val="0008088E"/>
    <w:rsid w:val="0009260E"/>
    <w:rsid w:val="000953CF"/>
    <w:rsid w:val="000B00D5"/>
    <w:rsid w:val="000D4B2E"/>
    <w:rsid w:val="000E373B"/>
    <w:rsid w:val="000E584E"/>
    <w:rsid w:val="00107ACA"/>
    <w:rsid w:val="001110D8"/>
    <w:rsid w:val="00135922"/>
    <w:rsid w:val="00146551"/>
    <w:rsid w:val="001569CD"/>
    <w:rsid w:val="001715D0"/>
    <w:rsid w:val="001C1BEA"/>
    <w:rsid w:val="001C51E5"/>
    <w:rsid w:val="001D1ABA"/>
    <w:rsid w:val="001D2098"/>
    <w:rsid w:val="001D3FC7"/>
    <w:rsid w:val="001D6811"/>
    <w:rsid w:val="001E0E83"/>
    <w:rsid w:val="001E7A8A"/>
    <w:rsid w:val="00204673"/>
    <w:rsid w:val="0022171A"/>
    <w:rsid w:val="00222C9D"/>
    <w:rsid w:val="00224401"/>
    <w:rsid w:val="00226697"/>
    <w:rsid w:val="00231624"/>
    <w:rsid w:val="002368CB"/>
    <w:rsid w:val="00245908"/>
    <w:rsid w:val="002464F2"/>
    <w:rsid w:val="00252241"/>
    <w:rsid w:val="00255BD6"/>
    <w:rsid w:val="002610B2"/>
    <w:rsid w:val="0028000D"/>
    <w:rsid w:val="002B0C6B"/>
    <w:rsid w:val="002B2DC8"/>
    <w:rsid w:val="002B3CD7"/>
    <w:rsid w:val="002B43CE"/>
    <w:rsid w:val="002B458C"/>
    <w:rsid w:val="002B4FFD"/>
    <w:rsid w:val="002C7584"/>
    <w:rsid w:val="002E4CAD"/>
    <w:rsid w:val="002F38C4"/>
    <w:rsid w:val="002F4C58"/>
    <w:rsid w:val="002F4EFA"/>
    <w:rsid w:val="002F73C0"/>
    <w:rsid w:val="00311C37"/>
    <w:rsid w:val="003565C8"/>
    <w:rsid w:val="0036080E"/>
    <w:rsid w:val="003711F0"/>
    <w:rsid w:val="00384C55"/>
    <w:rsid w:val="00384F6E"/>
    <w:rsid w:val="003A4F73"/>
    <w:rsid w:val="003A7CA2"/>
    <w:rsid w:val="003B15E0"/>
    <w:rsid w:val="003B6A32"/>
    <w:rsid w:val="003C43D0"/>
    <w:rsid w:val="003C6F34"/>
    <w:rsid w:val="003E2E9E"/>
    <w:rsid w:val="003F1C77"/>
    <w:rsid w:val="0040194E"/>
    <w:rsid w:val="00402BE5"/>
    <w:rsid w:val="00403A5E"/>
    <w:rsid w:val="00404D20"/>
    <w:rsid w:val="004160A9"/>
    <w:rsid w:val="00423A78"/>
    <w:rsid w:val="0042556E"/>
    <w:rsid w:val="00431B24"/>
    <w:rsid w:val="00436F5D"/>
    <w:rsid w:val="0044279C"/>
    <w:rsid w:val="00442FD2"/>
    <w:rsid w:val="00456D05"/>
    <w:rsid w:val="0046030B"/>
    <w:rsid w:val="00471DC3"/>
    <w:rsid w:val="0048324A"/>
    <w:rsid w:val="00493A73"/>
    <w:rsid w:val="00494DBB"/>
    <w:rsid w:val="004A3E15"/>
    <w:rsid w:val="004B6C6D"/>
    <w:rsid w:val="004C3B65"/>
    <w:rsid w:val="004C4946"/>
    <w:rsid w:val="004D3C1A"/>
    <w:rsid w:val="004D7D5A"/>
    <w:rsid w:val="004F1666"/>
    <w:rsid w:val="00501509"/>
    <w:rsid w:val="00503664"/>
    <w:rsid w:val="0050723B"/>
    <w:rsid w:val="00526DC1"/>
    <w:rsid w:val="00527DC1"/>
    <w:rsid w:val="00533249"/>
    <w:rsid w:val="005343AF"/>
    <w:rsid w:val="00552E53"/>
    <w:rsid w:val="00553C77"/>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50F"/>
    <w:rsid w:val="005F1981"/>
    <w:rsid w:val="005F255F"/>
    <w:rsid w:val="006013C5"/>
    <w:rsid w:val="0060693C"/>
    <w:rsid w:val="00617551"/>
    <w:rsid w:val="00653075"/>
    <w:rsid w:val="006641CA"/>
    <w:rsid w:val="00672941"/>
    <w:rsid w:val="00676F3F"/>
    <w:rsid w:val="00686CB6"/>
    <w:rsid w:val="006C4311"/>
    <w:rsid w:val="006C4AB7"/>
    <w:rsid w:val="006D0B9D"/>
    <w:rsid w:val="006D413B"/>
    <w:rsid w:val="006D5C9D"/>
    <w:rsid w:val="006D727C"/>
    <w:rsid w:val="007149A2"/>
    <w:rsid w:val="00721BC1"/>
    <w:rsid w:val="0072295B"/>
    <w:rsid w:val="0072356F"/>
    <w:rsid w:val="0073272C"/>
    <w:rsid w:val="007379C9"/>
    <w:rsid w:val="00755973"/>
    <w:rsid w:val="00757E9C"/>
    <w:rsid w:val="00761940"/>
    <w:rsid w:val="00764CBF"/>
    <w:rsid w:val="00766932"/>
    <w:rsid w:val="00767E92"/>
    <w:rsid w:val="00770CC7"/>
    <w:rsid w:val="007800CC"/>
    <w:rsid w:val="00783970"/>
    <w:rsid w:val="007913F6"/>
    <w:rsid w:val="00793C72"/>
    <w:rsid w:val="007A3982"/>
    <w:rsid w:val="007A6E01"/>
    <w:rsid w:val="007B49DA"/>
    <w:rsid w:val="007B6AC4"/>
    <w:rsid w:val="007C334E"/>
    <w:rsid w:val="007C69A6"/>
    <w:rsid w:val="007C7A5B"/>
    <w:rsid w:val="007C7AC1"/>
    <w:rsid w:val="007D7469"/>
    <w:rsid w:val="007E3C06"/>
    <w:rsid w:val="007E4887"/>
    <w:rsid w:val="007F3C9F"/>
    <w:rsid w:val="007F62ED"/>
    <w:rsid w:val="0080085C"/>
    <w:rsid w:val="00801CFC"/>
    <w:rsid w:val="00803F05"/>
    <w:rsid w:val="00821489"/>
    <w:rsid w:val="00822673"/>
    <w:rsid w:val="0083041F"/>
    <w:rsid w:val="00837A1C"/>
    <w:rsid w:val="00840699"/>
    <w:rsid w:val="008427EA"/>
    <w:rsid w:val="00847C68"/>
    <w:rsid w:val="0085057F"/>
    <w:rsid w:val="00850DDC"/>
    <w:rsid w:val="00854074"/>
    <w:rsid w:val="0086404E"/>
    <w:rsid w:val="00865C70"/>
    <w:rsid w:val="008665F5"/>
    <w:rsid w:val="00870316"/>
    <w:rsid w:val="00873353"/>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27C25"/>
    <w:rsid w:val="00933D5F"/>
    <w:rsid w:val="009362A2"/>
    <w:rsid w:val="00936E7E"/>
    <w:rsid w:val="00941081"/>
    <w:rsid w:val="00952014"/>
    <w:rsid w:val="009556DD"/>
    <w:rsid w:val="00967765"/>
    <w:rsid w:val="00970E0C"/>
    <w:rsid w:val="009739A3"/>
    <w:rsid w:val="00977A2C"/>
    <w:rsid w:val="00983E2D"/>
    <w:rsid w:val="0098449D"/>
    <w:rsid w:val="00986B7A"/>
    <w:rsid w:val="00996D2B"/>
    <w:rsid w:val="00997D8D"/>
    <w:rsid w:val="009A2522"/>
    <w:rsid w:val="009A732E"/>
    <w:rsid w:val="009A7D23"/>
    <w:rsid w:val="009C1F83"/>
    <w:rsid w:val="009C57E9"/>
    <w:rsid w:val="009E4F5E"/>
    <w:rsid w:val="009F15DF"/>
    <w:rsid w:val="00A00FB4"/>
    <w:rsid w:val="00A13751"/>
    <w:rsid w:val="00A248BF"/>
    <w:rsid w:val="00A336A6"/>
    <w:rsid w:val="00A61179"/>
    <w:rsid w:val="00A65D43"/>
    <w:rsid w:val="00A70808"/>
    <w:rsid w:val="00A806D8"/>
    <w:rsid w:val="00A80871"/>
    <w:rsid w:val="00A85606"/>
    <w:rsid w:val="00A9493A"/>
    <w:rsid w:val="00A97DE4"/>
    <w:rsid w:val="00AA055D"/>
    <w:rsid w:val="00AA0A42"/>
    <w:rsid w:val="00AA6AC9"/>
    <w:rsid w:val="00AB2DAC"/>
    <w:rsid w:val="00AC635D"/>
    <w:rsid w:val="00AD2558"/>
    <w:rsid w:val="00AD35DC"/>
    <w:rsid w:val="00AD5AD4"/>
    <w:rsid w:val="00AE138A"/>
    <w:rsid w:val="00AE343A"/>
    <w:rsid w:val="00AF3650"/>
    <w:rsid w:val="00B17F7D"/>
    <w:rsid w:val="00B22452"/>
    <w:rsid w:val="00B25C5F"/>
    <w:rsid w:val="00B62BD0"/>
    <w:rsid w:val="00B700F7"/>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1EC0"/>
    <w:rsid w:val="00C94A09"/>
    <w:rsid w:val="00C9678C"/>
    <w:rsid w:val="00C970CB"/>
    <w:rsid w:val="00CA253B"/>
    <w:rsid w:val="00CA6A43"/>
    <w:rsid w:val="00CA7863"/>
    <w:rsid w:val="00CC277C"/>
    <w:rsid w:val="00CD26B6"/>
    <w:rsid w:val="00CF3A77"/>
    <w:rsid w:val="00CF3F69"/>
    <w:rsid w:val="00D05CB9"/>
    <w:rsid w:val="00D05F15"/>
    <w:rsid w:val="00D11443"/>
    <w:rsid w:val="00D13441"/>
    <w:rsid w:val="00D23FBD"/>
    <w:rsid w:val="00D26D81"/>
    <w:rsid w:val="00D32AC3"/>
    <w:rsid w:val="00D36C56"/>
    <w:rsid w:val="00D44B75"/>
    <w:rsid w:val="00D53ED7"/>
    <w:rsid w:val="00D66A1D"/>
    <w:rsid w:val="00D66BFC"/>
    <w:rsid w:val="00D73B8D"/>
    <w:rsid w:val="00D752B6"/>
    <w:rsid w:val="00D77A20"/>
    <w:rsid w:val="00D869A3"/>
    <w:rsid w:val="00D94EF4"/>
    <w:rsid w:val="00D95A5E"/>
    <w:rsid w:val="00D97548"/>
    <w:rsid w:val="00DA1872"/>
    <w:rsid w:val="00DA2E9E"/>
    <w:rsid w:val="00DA380D"/>
    <w:rsid w:val="00DB0AC4"/>
    <w:rsid w:val="00DB2647"/>
    <w:rsid w:val="00DD14EF"/>
    <w:rsid w:val="00DD1CE8"/>
    <w:rsid w:val="00DD492B"/>
    <w:rsid w:val="00DE1636"/>
    <w:rsid w:val="00DE2339"/>
    <w:rsid w:val="00E00CFD"/>
    <w:rsid w:val="00E02213"/>
    <w:rsid w:val="00E07B6D"/>
    <w:rsid w:val="00E2125A"/>
    <w:rsid w:val="00E26E5A"/>
    <w:rsid w:val="00E3227A"/>
    <w:rsid w:val="00E34712"/>
    <w:rsid w:val="00E349D9"/>
    <w:rsid w:val="00E37C33"/>
    <w:rsid w:val="00E45956"/>
    <w:rsid w:val="00E51847"/>
    <w:rsid w:val="00E54C4C"/>
    <w:rsid w:val="00E56E16"/>
    <w:rsid w:val="00E63DC1"/>
    <w:rsid w:val="00E71731"/>
    <w:rsid w:val="00E7394E"/>
    <w:rsid w:val="00E8032F"/>
    <w:rsid w:val="00E82F34"/>
    <w:rsid w:val="00E95A48"/>
    <w:rsid w:val="00EA32D9"/>
    <w:rsid w:val="00EB15B4"/>
    <w:rsid w:val="00EB1C36"/>
    <w:rsid w:val="00EB2709"/>
    <w:rsid w:val="00EB2B41"/>
    <w:rsid w:val="00EB4E82"/>
    <w:rsid w:val="00EC6A76"/>
    <w:rsid w:val="00EE18BD"/>
    <w:rsid w:val="00EE2747"/>
    <w:rsid w:val="00EE4D5D"/>
    <w:rsid w:val="00EE56E1"/>
    <w:rsid w:val="00EE65B1"/>
    <w:rsid w:val="00EF3BDB"/>
    <w:rsid w:val="00EF4E8F"/>
    <w:rsid w:val="00EF705D"/>
    <w:rsid w:val="00F048BF"/>
    <w:rsid w:val="00F07C42"/>
    <w:rsid w:val="00F10EC3"/>
    <w:rsid w:val="00F12AAD"/>
    <w:rsid w:val="00F15DD4"/>
    <w:rsid w:val="00F23724"/>
    <w:rsid w:val="00F24CEB"/>
    <w:rsid w:val="00F26AD9"/>
    <w:rsid w:val="00F43A47"/>
    <w:rsid w:val="00F456C9"/>
    <w:rsid w:val="00F56E1C"/>
    <w:rsid w:val="00F74323"/>
    <w:rsid w:val="00F769AE"/>
    <w:rsid w:val="00F821ED"/>
    <w:rsid w:val="00F868CF"/>
    <w:rsid w:val="00F934F1"/>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 w:type="character" w:styleId="PlaceholderText">
    <w:name w:val="Placeholder Text"/>
    <w:basedOn w:val="DefaultParagraphFont"/>
    <w:uiPriority w:val="99"/>
    <w:semiHidden/>
    <w:rsid w:val="00A13751"/>
    <w:rPr>
      <w:color w:val="808080"/>
    </w:rPr>
  </w:style>
  <w:style w:type="table" w:styleId="TableGrid">
    <w:name w:val="Table Grid"/>
    <w:basedOn w:val="TableNormal"/>
    <w:uiPriority w:val="59"/>
    <w:rsid w:val="00F934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1686BD-413C-4F6A-88F8-A82DB16C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43</Pages>
  <Words>10126</Words>
  <Characters>55699</Characters>
  <Application>Microsoft Office Word</Application>
  <DocSecurity>0</DocSecurity>
  <Lines>464</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128</cp:revision>
  <dcterms:created xsi:type="dcterms:W3CDTF">2015-11-25T15:12:00Z</dcterms:created>
  <dcterms:modified xsi:type="dcterms:W3CDTF">2016-03-28T19:04:00Z</dcterms:modified>
</cp:coreProperties>
</file>