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 xml:space="preserve">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w:t>
      </w:r>
      <w:r w:rsidR="005C2BD5">
        <w:lastRenderedPageBreak/>
        <w:t xml:space="preserve">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Por otro lado, la dimensionalidad de una escala se refiere a una de las maneras de constatar la validez de constructo mediante la verificación de las dimensiones de la misma (Campo-Arias, Villamil-Vargas &amp; Herazo,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2AB63DA2"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40B81633" w14:textId="77777777" w:rsidR="006C077F" w:rsidRDefault="006C077F" w:rsidP="00C44E00">
      <w:pPr>
        <w:spacing w:line="480" w:lineRule="auto"/>
        <w:jc w:val="both"/>
      </w:pPr>
    </w:p>
    <w:p w14:paraId="0B438608" w14:textId="27287C72" w:rsidR="00C44E00" w:rsidRDefault="00E529EE" w:rsidP="00C44E00">
      <w:pPr>
        <w:spacing w:line="480" w:lineRule="auto"/>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como se expone en la sección del Análisis de correspondencias múltiple</w:t>
      </w:r>
      <w:r w:rsidRPr="00E529EE">
        <w:t>.</w:t>
      </w:r>
    </w:p>
    <w:p w14:paraId="5533D300" w14:textId="77777777" w:rsidR="006C077F" w:rsidRDefault="006C077F" w:rsidP="00C44E00">
      <w:pPr>
        <w:spacing w:line="480" w:lineRule="auto"/>
        <w:jc w:val="both"/>
      </w:pPr>
    </w:p>
    <w:p w14:paraId="292DE654" w14:textId="0DD8911C" w:rsidR="00890ACD" w:rsidRDefault="00802FED" w:rsidP="00890ACD">
      <w:pPr>
        <w:spacing w:line="480" w:lineRule="auto"/>
        <w:jc w:val="both"/>
      </w:pPr>
      <w:r>
        <w:t>Ahora</w:t>
      </w:r>
      <w:r w:rsidR="006C077F">
        <w:t xml:space="preserve"> e</w:t>
      </w:r>
      <w:r w:rsidR="00890ACD">
        <w:t xml:space="preserve">n función de los objetivos propuestos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w:t>
      </w:r>
      <w:r w:rsidR="00890ACD">
        <w:lastRenderedPageBreak/>
        <w:t>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5F4A2F13" w14:textId="77777777" w:rsidR="00890ACD"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FB08EC"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r>
        <w:rPr>
          <w:lang w:val="es-CO"/>
        </w:rPr>
        <w:t>vs</w:t>
      </w:r>
    </w:p>
    <w:p w14:paraId="085F19BF" w14:textId="77777777" w:rsidR="00890ACD" w:rsidRPr="00A13751" w:rsidRDefault="00FB08EC"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FB08EC"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FB08EC"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FB08EC"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FB08EC"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2F2DC24C" w14:textId="77777777" w:rsidR="00890ACD" w:rsidRDefault="00890ACD" w:rsidP="00890ACD">
      <w:pPr>
        <w:spacing w:line="480" w:lineRule="auto"/>
        <w:jc w:val="both"/>
        <w:rPr>
          <w:lang w:val="es-CO"/>
        </w:rPr>
      </w:pPr>
      <w:r>
        <w:rPr>
          <w:lang w:val="es-CO"/>
        </w:rPr>
        <w:t>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w:t>
      </w:r>
      <w:r>
        <w:rPr>
          <w:lang w:val="es-CO"/>
        </w:rPr>
        <w:lastRenderedPageBreak/>
        <w:t>linealmente) y 0 que indica una falta de relación o independencia entre las variables en estudio.</w:t>
      </w: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t>Correlación de Spearman</w:t>
            </w:r>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FB08EC"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FB08EC"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FB08EC"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FB08EC"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FB08EC"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t xml:space="preserve">Finalmente, cuando se intenta verificar la incidencia de la carrera sobre el patrón de consumo, se hace necesario utilizar test para el contraste de más de dos poblaciones independientes. El objetivo consiste en probar la hipótesis de igualdad de medianas en todas </w:t>
      </w:r>
      <w:r>
        <w:rPr>
          <w:lang w:val="es-CO"/>
        </w:rPr>
        <w:lastRenderedPageBreak/>
        <w:t>las poblaciones estudiadas, para esto se hizo uso del Test de Kruskal-Wallis. Aquí las hipótesis estadísticas a contrastar son:</w:t>
      </w:r>
    </w:p>
    <w:p w14:paraId="668CD7F0" w14:textId="77777777" w:rsidR="00890ACD" w:rsidRPr="00A13751" w:rsidRDefault="00FB08EC"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r>
        <w:rPr>
          <w:lang w:val="es-CO"/>
        </w:rPr>
        <w:t>vs</w:t>
      </w:r>
    </w:p>
    <w:p w14:paraId="237E75F3" w14:textId="77777777" w:rsidR="00890ACD" w:rsidRPr="00BE27E0" w:rsidRDefault="00FB08EC"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FB08EC"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FB08EC"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Pr="00BE27E0" w:rsidRDefault="00FB08EC" w:rsidP="00890ACD">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37703B66" w14:textId="77777777" w:rsidR="00890ACD" w:rsidRDefault="00890ACD" w:rsidP="00890ACD">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r w:rsidRPr="00224401">
        <w:rPr>
          <w:b/>
          <w:i/>
        </w:rPr>
        <w:t>multiple correspondence analysis</w:t>
      </w:r>
      <w:r>
        <w:rPr>
          <w:b/>
        </w:rPr>
        <w:t>)</w:t>
      </w:r>
    </w:p>
    <w:p w14:paraId="0FF1BC29" w14:textId="77777777" w:rsidR="00890ACD" w:rsidRDefault="00890ACD" w:rsidP="00890ACD">
      <w:pPr>
        <w:spacing w:line="480" w:lineRule="auto"/>
        <w:jc w:val="both"/>
      </w:pPr>
      <w:r>
        <w:t>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47CC17C8" w14:textId="77777777" w:rsidR="00890ACD" w:rsidRDefault="00890ACD" w:rsidP="00890ACD">
      <w:pPr>
        <w:spacing w:line="480" w:lineRule="auto"/>
        <w:jc w:val="both"/>
      </w:pPr>
      <w:r>
        <w:lastRenderedPageBreak/>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BA2C0D6" w14:textId="77777777" w:rsidR="00890ACD"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t xml:space="preserve">Al igual que en el Análisis de Componentes Principales (PCA, </w:t>
      </w:r>
      <w:r w:rsidRPr="00B063C5">
        <w:rPr>
          <w:i/>
        </w:rPr>
        <w:t>principal component analysis</w:t>
      </w:r>
      <w:r>
        <w:t xml:space="preserve">,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w:t>
      </w:r>
      <w:r>
        <w:lastRenderedPageBreak/>
        <w:t>posibles pares de variables) en factores no correlacionados, denominados componentes o ejes principales.</w:t>
      </w: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Dado que las variables son categóricas, el cálculo de las proximidades entre variables e individuos parte del uso de la distancia chi-cuadrado sobre la matriz indicadora o sobre la matriz de Burt.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4594580B" w14:textId="77777777" w:rsidR="00890ACD" w:rsidRDefault="00890ACD" w:rsidP="00890ACD">
      <w:pPr>
        <w:spacing w:line="480" w:lineRule="auto"/>
        <w:jc w:val="both"/>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58B81FEF" w:rsidR="006641CA" w:rsidRDefault="001C66DD" w:rsidP="00CA6A43">
      <w:pPr>
        <w:spacing w:line="480" w:lineRule="auto"/>
        <w:ind w:firstLine="708"/>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ciertamente atípico que afecta los resultados globales de la muestra a analizar. En este sentido, la muestra se compone de un </w:t>
      </w:r>
      <w:r>
        <w:t xml:space="preserve">52.9% </w:t>
      </w:r>
      <w:r w:rsidR="003D66F2">
        <w:t xml:space="preserve">que </w:t>
      </w:r>
      <w:r>
        <w:lastRenderedPageBreak/>
        <w:t xml:space="preserve">son hombres </w:t>
      </w:r>
      <w:r w:rsidR="003D66F2">
        <w:t>y de</w:t>
      </w:r>
      <w:r>
        <w:t xml:space="preserve"> 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eGrid"/>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C3630B">
            <w:pPr>
              <w:spacing w:line="480" w:lineRule="auto"/>
              <w:jc w:val="center"/>
            </w:pPr>
            <w:r>
              <w:rPr>
                <w:rFonts w:eastAsiaTheme="minorEastAsia"/>
                <w:noProof/>
                <w:lang w:val="es-CO" w:eastAsia="es-CO"/>
              </w:rPr>
              <w:drawing>
                <wp:inline distT="0" distB="0" distL="0" distR="0" wp14:anchorId="54C3E854" wp14:editId="7AB4C145">
                  <wp:extent cx="3423970" cy="27432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c>
          <w:tcPr>
            <w:tcW w:w="5736" w:type="dxa"/>
            <w:vAlign w:val="center"/>
          </w:tcPr>
          <w:p w14:paraId="307F2B76" w14:textId="3ED53945" w:rsidR="00805A2B" w:rsidRDefault="00517167" w:rsidP="00C3630B">
            <w:pPr>
              <w:spacing w:line="480" w:lineRule="auto"/>
              <w:jc w:val="center"/>
            </w:pPr>
            <w:r>
              <w:rPr>
                <w:rFonts w:eastAsiaTheme="minorEastAsia"/>
                <w:noProof/>
                <w:lang w:val="es-CO" w:eastAsia="es-CO"/>
              </w:rPr>
              <w:drawing>
                <wp:inline distT="0" distB="0" distL="0" distR="0" wp14:anchorId="1502E336" wp14:editId="2AD34B9C">
                  <wp:extent cx="3423970"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r>
    </w:tbl>
    <w:p w14:paraId="734D24CE" w14:textId="00106278" w:rsidR="00805A2B" w:rsidRDefault="00805A2B" w:rsidP="00805A2B">
      <w:pPr>
        <w:autoSpaceDE w:val="0"/>
        <w:autoSpaceDN w:val="0"/>
        <w:adjustRightInd w:val="0"/>
        <w:rPr>
          <w:rFonts w:eastAsiaTheme="minorEastAsia"/>
          <w:lang w:val="es-CO" w:eastAsia="ja-JP"/>
        </w:rPr>
      </w:pPr>
    </w:p>
    <w:p w14:paraId="0665B400" w14:textId="7172B082" w:rsidR="00517167" w:rsidRDefault="00517167" w:rsidP="00805A2B">
      <w:pPr>
        <w:autoSpaceDE w:val="0"/>
        <w:autoSpaceDN w:val="0"/>
        <w:adjustRightInd w:val="0"/>
        <w:rPr>
          <w:rFonts w:eastAsiaTheme="minorEastAsia"/>
          <w:lang w:val="es-CO" w:eastAsia="ja-JP"/>
        </w:rPr>
      </w:pPr>
    </w:p>
    <w:p w14:paraId="74940FD1" w14:textId="77777777" w:rsidR="00517167" w:rsidRPr="00805A2B" w:rsidRDefault="00517167" w:rsidP="00805A2B">
      <w:pPr>
        <w:autoSpaceDE w:val="0"/>
        <w:autoSpaceDN w:val="0"/>
        <w:adjustRightInd w:val="0"/>
        <w:rPr>
          <w:rFonts w:eastAsiaTheme="minorEastAsia"/>
          <w:lang w:val="es-CO" w:eastAsia="ja-JP"/>
        </w:rPr>
      </w:pPr>
    </w:p>
    <w:p w14:paraId="5DD37491" w14:textId="32EBF471" w:rsidR="00C3630B" w:rsidRDefault="00C3630B" w:rsidP="00E934E9">
      <w:pPr>
        <w:spacing w:line="480" w:lineRule="auto"/>
        <w:ind w:firstLine="708"/>
        <w:jc w:val="both"/>
      </w:pPr>
      <w:r>
        <w:t>Prosiguiendo con la descripci</w:t>
      </w:r>
      <w:r w:rsidR="00FE24C5">
        <w:t>ón de la muestra</w:t>
      </w:r>
      <w:r>
        <w:t xml:space="preserve"> se tiene a continuación la distribución de la edad en su naturaleza numérica y sus correspondientes indicadores descriptivos.</w:t>
      </w:r>
    </w:p>
    <w:p w14:paraId="58C43737" w14:textId="210D58BC" w:rsidR="00FE24C5" w:rsidRDefault="00C3630B" w:rsidP="00FE24C5">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C3630B">
      <w:pPr>
        <w:autoSpaceDE w:val="0"/>
        <w:autoSpaceDN w:val="0"/>
        <w:adjustRightInd w:val="0"/>
        <w:jc w:val="center"/>
        <w:rPr>
          <w:rFonts w:eastAsiaTheme="minorEastAsia"/>
          <w:lang w:val="es-CO" w:eastAsia="ja-JP"/>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FE24C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FE24C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FE24C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FE24C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FE24C5">
            <w:pPr>
              <w:spacing w:line="480" w:lineRule="auto"/>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FE24C5">
            <w:pPr>
              <w:spacing w:line="480" w:lineRule="auto"/>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FE24C5">
            <w:pPr>
              <w:spacing w:line="480" w:lineRule="auto"/>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FE24C5">
            <w:pPr>
              <w:spacing w:line="480" w:lineRule="auto"/>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FE24C5">
            <w:pPr>
              <w:spacing w:line="480" w:lineRule="auto"/>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FE24C5">
            <w:pPr>
              <w:spacing w:line="480" w:lineRule="auto"/>
              <w:jc w:val="center"/>
            </w:pPr>
            <w:r>
              <w:t>26</w:t>
            </w:r>
          </w:p>
        </w:tc>
      </w:tr>
    </w:tbl>
    <w:p w14:paraId="4843890E" w14:textId="77777777" w:rsidR="00802FED" w:rsidRDefault="00802FED" w:rsidP="00E934E9">
      <w:pPr>
        <w:spacing w:line="480" w:lineRule="auto"/>
        <w:ind w:firstLine="708"/>
        <w:jc w:val="both"/>
      </w:pPr>
    </w:p>
    <w:p w14:paraId="55EB8080" w14:textId="034F2CAA" w:rsidR="00C3630B" w:rsidRDefault="00C3630B" w:rsidP="00E934E9">
      <w:pPr>
        <w:spacing w:line="480" w:lineRule="auto"/>
        <w:ind w:firstLine="708"/>
        <w:jc w:val="both"/>
      </w:pPr>
      <w:r>
        <w:t>Como se puede observar en el gráfico anterior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802FED">
        <w:t xml:space="preserve"> a la adquisición de hábitos peligrosos</w:t>
      </w:r>
      <w:r w:rsidR="00FE24C5">
        <w:t>.</w:t>
      </w:r>
    </w:p>
    <w:p w14:paraId="46AD8CD6" w14:textId="02E5F8DF" w:rsidR="00C3630B" w:rsidRDefault="00E92504" w:rsidP="00E92504">
      <w:pPr>
        <w:spacing w:line="480" w:lineRule="auto"/>
        <w:ind w:firstLine="708"/>
        <w:jc w:val="both"/>
      </w:pPr>
      <w:r w:rsidRPr="00CA6A43">
        <w:rPr>
          <w:color w:val="000000" w:themeColor="text1"/>
        </w:rPr>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6%, Administración de Empresas 6</w:t>
      </w:r>
      <w:r w:rsidR="00E319B9">
        <w:t>.5</w:t>
      </w:r>
      <w:r w:rsidRPr="00CA6A43">
        <w:t>%</w:t>
      </w:r>
      <w:r w:rsidR="00E319B9">
        <w:t>, Derecho 6.1%</w:t>
      </w:r>
      <w:r w:rsidRPr="00CA6A43">
        <w:t xml:space="preserve">, Diseño de Medios Interactivos </w:t>
      </w:r>
      <w:r w:rsidR="00E319B9">
        <w:t>4.9</w:t>
      </w:r>
      <w:r w:rsidRPr="00CA6A43">
        <w:t xml:space="preserve">%, </w:t>
      </w:r>
      <w:r w:rsidRPr="00CA6A43">
        <w:lastRenderedPageBreak/>
        <w:t>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79274E4C" w14:textId="61B908EE" w:rsidR="000F05CF" w:rsidRDefault="00E319B9" w:rsidP="00F67B26">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889AF8D" wp14:editId="15E6818C">
            <wp:extent cx="4791039"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791039"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2987D16" w14:textId="77777777" w:rsidR="00F67B26" w:rsidRPr="00F67B26" w:rsidRDefault="00F67B26" w:rsidP="00F67B26">
      <w:pPr>
        <w:autoSpaceDE w:val="0"/>
        <w:autoSpaceDN w:val="0"/>
        <w:adjustRightInd w:val="0"/>
        <w:jc w:val="both"/>
        <w:rPr>
          <w:rFonts w:eastAsiaTheme="minorEastAsia"/>
          <w:lang w:val="es-CO" w:eastAsia="ja-JP"/>
        </w:rPr>
      </w:pPr>
    </w:p>
    <w:p w14:paraId="1CDFE1BE" w14:textId="592CF911" w:rsidR="00F66C60" w:rsidRDefault="006641CA" w:rsidP="000F05CF">
      <w:pPr>
        <w:spacing w:line="480" w:lineRule="auto"/>
        <w:ind w:firstLine="708"/>
        <w:jc w:val="both"/>
      </w:pPr>
      <w:r w:rsidRPr="00CA6A43">
        <w:t>De acuerdo al puntaje AUDIT total se en</w:t>
      </w:r>
      <w:r w:rsidR="00F67B26">
        <w:t>cuentra que el 82.4</w:t>
      </w:r>
      <w:r w:rsidRPr="00CA6A43">
        <w:t>% de los estudiantes tienen un patrón de consumo de alcohol de bajo riesgo (menor o igual a 7) y el 17.</w:t>
      </w:r>
      <w:r w:rsidR="00F67B26">
        <w:t>5</w:t>
      </w:r>
      <w:r w:rsidRPr="00CA6A43">
        <w:t>% restante tienen un patrón de consumo de alcohol de alto riesgo (mayor o igua</w:t>
      </w:r>
      <w:r w:rsidR="000F05CF">
        <w:t>l a 8)</w:t>
      </w:r>
      <w:r w:rsidR="00F67B26">
        <w:t>. Según la clasificación hecha por REFERENCIA DONDE DIGA QUE ESE ES EL UMBRAL</w:t>
      </w:r>
      <w:r w:rsidR="000F05CF">
        <w:t>.</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67B26" w14:paraId="1C1674CA" w14:textId="77777777" w:rsidTr="00FB08EC">
        <w:trPr>
          <w:jc w:val="center"/>
        </w:trPr>
        <w:tc>
          <w:tcPr>
            <w:tcW w:w="1110" w:type="dxa"/>
            <w:tcBorders>
              <w:top w:val="single" w:sz="4" w:space="0" w:color="auto"/>
              <w:bottom w:val="single" w:sz="4" w:space="0" w:color="auto"/>
            </w:tcBorders>
            <w:vAlign w:val="center"/>
          </w:tcPr>
          <w:p w14:paraId="72996AFE" w14:textId="77777777" w:rsidR="00F67B26" w:rsidRPr="00FE24C5" w:rsidRDefault="00F67B26" w:rsidP="00FB08EC">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2AA830B" w14:textId="77777777" w:rsidR="00F67B26" w:rsidRPr="00FE24C5" w:rsidRDefault="00F67B26" w:rsidP="00FB08EC">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6271FEB5" w14:textId="77777777" w:rsidR="00F67B26" w:rsidRPr="00FE24C5" w:rsidRDefault="00F67B26" w:rsidP="00FB08EC">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4A454B0F" w14:textId="77777777" w:rsidR="00F67B26" w:rsidRPr="00FE24C5" w:rsidRDefault="00F67B26" w:rsidP="00FB08EC">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5F5D5F1B" w14:textId="77777777" w:rsidR="00F67B26" w:rsidRPr="00FE24C5" w:rsidRDefault="00F67B26" w:rsidP="00FB08EC">
            <w:pPr>
              <w:spacing w:line="480" w:lineRule="auto"/>
              <w:jc w:val="center"/>
              <w:rPr>
                <w:b/>
              </w:rPr>
            </w:pPr>
            <w:r w:rsidRPr="00FE24C5">
              <w:rPr>
                <w:b/>
              </w:rPr>
              <w:t>Máximo</w:t>
            </w:r>
          </w:p>
        </w:tc>
      </w:tr>
      <w:tr w:rsidR="00F67B26" w14:paraId="2869B97B" w14:textId="77777777" w:rsidTr="00FB08EC">
        <w:trPr>
          <w:trHeight w:val="332"/>
          <w:jc w:val="center"/>
        </w:trPr>
        <w:tc>
          <w:tcPr>
            <w:tcW w:w="1110" w:type="dxa"/>
            <w:tcBorders>
              <w:top w:val="single" w:sz="4" w:space="0" w:color="auto"/>
              <w:bottom w:val="single" w:sz="4" w:space="0" w:color="auto"/>
            </w:tcBorders>
            <w:vAlign w:val="center"/>
          </w:tcPr>
          <w:p w14:paraId="248B2507" w14:textId="66EE1012" w:rsidR="00F67B26" w:rsidRDefault="00F67B26" w:rsidP="00FB08EC">
            <w:pPr>
              <w:spacing w:line="480" w:lineRule="auto"/>
              <w:jc w:val="center"/>
            </w:pPr>
            <w:r>
              <w:t>0</w:t>
            </w:r>
          </w:p>
        </w:tc>
        <w:tc>
          <w:tcPr>
            <w:tcW w:w="1176" w:type="dxa"/>
            <w:tcBorders>
              <w:top w:val="single" w:sz="4" w:space="0" w:color="auto"/>
              <w:bottom w:val="single" w:sz="4" w:space="0" w:color="auto"/>
            </w:tcBorders>
            <w:vAlign w:val="center"/>
          </w:tcPr>
          <w:p w14:paraId="09184780" w14:textId="423AFBCA" w:rsidR="00F67B26" w:rsidRDefault="00F67B26" w:rsidP="00FB08EC">
            <w:pPr>
              <w:spacing w:line="480" w:lineRule="auto"/>
              <w:jc w:val="center"/>
            </w:pPr>
            <w:r>
              <w:t>3</w:t>
            </w:r>
          </w:p>
        </w:tc>
        <w:tc>
          <w:tcPr>
            <w:tcW w:w="950" w:type="dxa"/>
            <w:tcBorders>
              <w:top w:val="single" w:sz="4" w:space="0" w:color="auto"/>
              <w:bottom w:val="single" w:sz="4" w:space="0" w:color="auto"/>
            </w:tcBorders>
            <w:vAlign w:val="center"/>
          </w:tcPr>
          <w:p w14:paraId="037BB7B2" w14:textId="7D65F07F" w:rsidR="00F67B26" w:rsidRDefault="00F67B26" w:rsidP="00FB08EC">
            <w:pPr>
              <w:spacing w:line="480" w:lineRule="auto"/>
              <w:jc w:val="center"/>
            </w:pPr>
            <w:r>
              <w:t>4.3</w:t>
            </w:r>
          </w:p>
        </w:tc>
        <w:tc>
          <w:tcPr>
            <w:tcW w:w="2276" w:type="dxa"/>
            <w:tcBorders>
              <w:top w:val="single" w:sz="4" w:space="0" w:color="auto"/>
              <w:bottom w:val="single" w:sz="4" w:space="0" w:color="auto"/>
            </w:tcBorders>
            <w:vAlign w:val="center"/>
          </w:tcPr>
          <w:p w14:paraId="3C42D200" w14:textId="5D3552DE" w:rsidR="00F67B26" w:rsidRDefault="00F67B26" w:rsidP="00FB08EC">
            <w:pPr>
              <w:spacing w:line="480" w:lineRule="auto"/>
              <w:jc w:val="center"/>
            </w:pPr>
            <w:r>
              <w:t>4.3</w:t>
            </w:r>
          </w:p>
        </w:tc>
        <w:tc>
          <w:tcPr>
            <w:tcW w:w="1150" w:type="dxa"/>
            <w:tcBorders>
              <w:top w:val="single" w:sz="4" w:space="0" w:color="auto"/>
              <w:bottom w:val="single" w:sz="4" w:space="0" w:color="auto"/>
            </w:tcBorders>
            <w:vAlign w:val="center"/>
          </w:tcPr>
          <w:p w14:paraId="6A7F1587" w14:textId="263476A7" w:rsidR="00F67B26" w:rsidRDefault="00F67B26" w:rsidP="00FB08EC">
            <w:pPr>
              <w:spacing w:line="480" w:lineRule="auto"/>
              <w:jc w:val="center"/>
            </w:pPr>
            <w:r>
              <w:t>19</w:t>
            </w:r>
          </w:p>
        </w:tc>
      </w:tr>
    </w:tbl>
    <w:p w14:paraId="39AC4D87" w14:textId="4BC1D2FD" w:rsidR="006D28FE" w:rsidRPr="006D28FE" w:rsidRDefault="006D28FE" w:rsidP="006D28FE">
      <w:pPr>
        <w:autoSpaceDE w:val="0"/>
        <w:autoSpaceDN w:val="0"/>
        <w:adjustRightInd w:val="0"/>
        <w:rPr>
          <w:rFonts w:eastAsiaTheme="minorEastAsia"/>
          <w:lang w:val="es-CO" w:eastAsia="ja-JP"/>
        </w:rPr>
      </w:pPr>
    </w:p>
    <w:p w14:paraId="2D5BDD90" w14:textId="15660A7F" w:rsidR="00F67B26" w:rsidRDefault="00FB2588" w:rsidP="00CA6A43">
      <w:pPr>
        <w:spacing w:line="480" w:lineRule="auto"/>
        <w:jc w:val="both"/>
        <w:rPr>
          <w:color w:val="000000" w:themeColor="text1"/>
          <w:lang w:val="es-CO"/>
        </w:rPr>
      </w:pPr>
      <w:r>
        <w:rPr>
          <w:color w:val="000000" w:themeColor="text1"/>
          <w:lang w:val="es-CO"/>
        </w:rPr>
        <w:t>Examinando las estadísticas descriptivas del puntaje AUDIT,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Aquí el puntaje AUDIT promedio no es una medida representativa de la muestra ya que la variación observada es alta, no obstante la mayor concentración de los puntajes oscila alrededor de 3.</w:t>
      </w:r>
      <w:r w:rsidR="00010166">
        <w:rPr>
          <w:color w:val="000000" w:themeColor="text1"/>
          <w:lang w:val="es-CO"/>
        </w:rPr>
        <w:t xml:space="preserve"> En el histograma de los puntajes AUDIT, la línea roja representa un AUDIT = 8, mientras la línea naranja corresponde a un AUDIT = 7.</w:t>
      </w:r>
    </w:p>
    <w:p w14:paraId="08A6F6BA" w14:textId="080F5589" w:rsidR="00311C37" w:rsidRPr="00311C37" w:rsidRDefault="00010166" w:rsidP="00FB08EC">
      <w:pPr>
        <w:spacing w:line="480" w:lineRule="auto"/>
        <w:jc w:val="both"/>
        <w:rPr>
          <w:b/>
          <w:color w:val="000000" w:themeColor="text1"/>
        </w:rPr>
      </w:pPr>
      <w:r>
        <w:rPr>
          <w:color w:val="000000" w:themeColor="text1"/>
          <w:lang w:val="es-CO"/>
        </w:rPr>
        <w:t>En términos de los puntajes AUDIT altos, se tiene que de los hombres menores de edad un 24.5% muestran un AUDIT igual o superior a 8, mientras que de las mujeres menores de edad un 15.3% presentan un AUDIT igual o superior a 7.</w:t>
      </w:r>
    </w:p>
    <w:p w14:paraId="4F512217" w14:textId="77777777" w:rsidR="00FB08EC" w:rsidRDefault="00FB08EC" w:rsidP="00CA6A43">
      <w:pPr>
        <w:spacing w:line="480" w:lineRule="auto"/>
        <w:jc w:val="both"/>
        <w:rPr>
          <w:color w:val="000000" w:themeColor="text1"/>
        </w:rPr>
      </w:pPr>
    </w:p>
    <w:p w14:paraId="3FCA5F01" w14:textId="2F2ED070" w:rsidR="00311C37" w:rsidRDefault="00FB08EC" w:rsidP="00CA6A43">
      <w:pPr>
        <w:spacing w:line="480" w:lineRule="auto"/>
        <w:jc w:val="both"/>
        <w:rPr>
          <w:color w:val="000000" w:themeColor="text1"/>
        </w:rPr>
      </w:pPr>
      <w:r>
        <w:rPr>
          <w:color w:val="000000" w:themeColor="text1"/>
        </w:rPr>
        <w:lastRenderedPageBreak/>
        <w:t xml:space="preserve">Tomando en consideración los resultados hallados hasta el momento, </w:t>
      </w:r>
      <w:r w:rsidR="00723611">
        <w:rPr>
          <w:color w:val="000000" w:themeColor="text1"/>
        </w:rPr>
        <w:t>p</w:t>
      </w:r>
      <w:r w:rsidR="00311C37">
        <w:rPr>
          <w:color w:val="000000" w:themeColor="text1"/>
        </w:rPr>
        <w:t xml:space="preserve">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58EE2219" w14:textId="5E57824E" w:rsidR="00E24265"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31DFC611"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p>
    <w:p w14:paraId="2D093313" w14:textId="77777777" w:rsidR="00456D05" w:rsidRPr="00456D05" w:rsidRDefault="00456D05" w:rsidP="00456D05">
      <w:pPr>
        <w:autoSpaceDE w:val="0"/>
        <w:autoSpaceDN w:val="0"/>
        <w:adjustRightInd w:val="0"/>
        <w:rPr>
          <w:rFonts w:eastAsiaTheme="minorEastAsia"/>
          <w:lang w:val="es-CO" w:eastAsia="ja-JP"/>
        </w:rPr>
      </w:pPr>
    </w:p>
    <w:p w14:paraId="6D045BB8" w14:textId="678A22CB" w:rsidR="00E24265" w:rsidRPr="007A7320" w:rsidRDefault="00EB2B41" w:rsidP="007A7320">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xml:space="preserve">. Estadísticas descriptivas </w:t>
      </w:r>
      <w:r w:rsidR="007A7320">
        <w:t>del puntaje AUDIT por género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7A7320" w14:paraId="1CBD500A" w14:textId="77777777" w:rsidTr="001E5170">
        <w:trPr>
          <w:jc w:val="center"/>
        </w:trPr>
        <w:tc>
          <w:tcPr>
            <w:tcW w:w="1110" w:type="dxa"/>
            <w:tcBorders>
              <w:top w:val="single" w:sz="4" w:space="0" w:color="auto"/>
              <w:bottom w:val="single" w:sz="4" w:space="0" w:color="auto"/>
            </w:tcBorders>
          </w:tcPr>
          <w:p w14:paraId="2FA1759C" w14:textId="6EAB5BF1" w:rsidR="007A7320" w:rsidRPr="00FE24C5" w:rsidRDefault="007A7320" w:rsidP="00FE2F15">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4A52C024" w14:textId="69B714AF" w:rsidR="007A7320" w:rsidRPr="00FE24C5" w:rsidRDefault="007A7320" w:rsidP="00FE2F1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3A214F2" w14:textId="77777777" w:rsidR="007A7320" w:rsidRPr="00FE24C5" w:rsidRDefault="007A7320" w:rsidP="00FE2F1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5C0A6905" w14:textId="77777777" w:rsidR="007A7320" w:rsidRPr="00FE24C5" w:rsidRDefault="007A7320" w:rsidP="00FE2F1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66BCE3E" w14:textId="77777777" w:rsidR="007A7320" w:rsidRPr="00FE24C5" w:rsidRDefault="007A7320" w:rsidP="00FE2F1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0D3E9CE" w14:textId="77777777" w:rsidR="007A7320" w:rsidRPr="00FE24C5" w:rsidRDefault="007A7320" w:rsidP="00FE2F15">
            <w:pPr>
              <w:spacing w:line="480" w:lineRule="auto"/>
              <w:jc w:val="center"/>
              <w:rPr>
                <w:b/>
              </w:rPr>
            </w:pPr>
            <w:r w:rsidRPr="00FE24C5">
              <w:rPr>
                <w:b/>
              </w:rPr>
              <w:t>Máximo</w:t>
            </w:r>
          </w:p>
        </w:tc>
      </w:tr>
      <w:tr w:rsidR="007A7320" w14:paraId="5C8E2207" w14:textId="77777777" w:rsidTr="001E5170">
        <w:trPr>
          <w:trHeight w:val="332"/>
          <w:jc w:val="center"/>
        </w:trPr>
        <w:tc>
          <w:tcPr>
            <w:tcW w:w="1110" w:type="dxa"/>
            <w:tcBorders>
              <w:top w:val="single" w:sz="4" w:space="0" w:color="auto"/>
              <w:bottom w:val="single" w:sz="4" w:space="0" w:color="auto"/>
            </w:tcBorders>
          </w:tcPr>
          <w:p w14:paraId="3BFA230A" w14:textId="326CB20C" w:rsidR="007A7320" w:rsidRDefault="007A7320" w:rsidP="00FE2F15">
            <w:pPr>
              <w:spacing w:line="480" w:lineRule="auto"/>
              <w:jc w:val="center"/>
            </w:pPr>
            <w:r>
              <w:t>Hombre</w:t>
            </w:r>
          </w:p>
        </w:tc>
        <w:tc>
          <w:tcPr>
            <w:tcW w:w="1110" w:type="dxa"/>
            <w:tcBorders>
              <w:top w:val="single" w:sz="4" w:space="0" w:color="auto"/>
              <w:bottom w:val="single" w:sz="4" w:space="0" w:color="auto"/>
            </w:tcBorders>
            <w:vAlign w:val="center"/>
          </w:tcPr>
          <w:p w14:paraId="25B45F0F" w14:textId="6029BB0F" w:rsidR="007A7320" w:rsidRDefault="007A7320" w:rsidP="00FE2F15">
            <w:pPr>
              <w:spacing w:line="480" w:lineRule="auto"/>
              <w:jc w:val="center"/>
            </w:pPr>
            <w:r>
              <w:t>0</w:t>
            </w:r>
          </w:p>
        </w:tc>
        <w:tc>
          <w:tcPr>
            <w:tcW w:w="1176" w:type="dxa"/>
            <w:tcBorders>
              <w:top w:val="single" w:sz="4" w:space="0" w:color="auto"/>
              <w:bottom w:val="single" w:sz="4" w:space="0" w:color="auto"/>
            </w:tcBorders>
            <w:vAlign w:val="center"/>
          </w:tcPr>
          <w:p w14:paraId="13AF8A9C" w14:textId="391380F3" w:rsidR="007A7320" w:rsidRDefault="007A7320" w:rsidP="00FE2F15">
            <w:pPr>
              <w:spacing w:line="480" w:lineRule="auto"/>
              <w:jc w:val="center"/>
            </w:pPr>
            <w:r>
              <w:t>4</w:t>
            </w:r>
          </w:p>
        </w:tc>
        <w:tc>
          <w:tcPr>
            <w:tcW w:w="950" w:type="dxa"/>
            <w:tcBorders>
              <w:top w:val="single" w:sz="4" w:space="0" w:color="auto"/>
              <w:bottom w:val="single" w:sz="4" w:space="0" w:color="auto"/>
            </w:tcBorders>
            <w:vAlign w:val="center"/>
          </w:tcPr>
          <w:p w14:paraId="50653313" w14:textId="56455A9E" w:rsidR="007A7320" w:rsidRDefault="007A7320" w:rsidP="00FE2F15">
            <w:pPr>
              <w:spacing w:line="480" w:lineRule="auto"/>
              <w:jc w:val="center"/>
            </w:pPr>
            <w:r>
              <w:t>5.1</w:t>
            </w:r>
          </w:p>
        </w:tc>
        <w:tc>
          <w:tcPr>
            <w:tcW w:w="2276" w:type="dxa"/>
            <w:tcBorders>
              <w:top w:val="single" w:sz="4" w:space="0" w:color="auto"/>
              <w:bottom w:val="single" w:sz="4" w:space="0" w:color="auto"/>
            </w:tcBorders>
            <w:vAlign w:val="center"/>
          </w:tcPr>
          <w:p w14:paraId="556546C7" w14:textId="7D9D700B" w:rsidR="007A7320" w:rsidRDefault="007A7320" w:rsidP="007A7320">
            <w:pPr>
              <w:spacing w:line="480" w:lineRule="auto"/>
              <w:jc w:val="center"/>
            </w:pPr>
            <w:r>
              <w:t>4.</w:t>
            </w:r>
            <w:r>
              <w:t>7</w:t>
            </w:r>
          </w:p>
        </w:tc>
        <w:tc>
          <w:tcPr>
            <w:tcW w:w="1150" w:type="dxa"/>
            <w:tcBorders>
              <w:top w:val="single" w:sz="4" w:space="0" w:color="auto"/>
              <w:bottom w:val="single" w:sz="4" w:space="0" w:color="auto"/>
            </w:tcBorders>
            <w:vAlign w:val="center"/>
          </w:tcPr>
          <w:p w14:paraId="29592932" w14:textId="77777777" w:rsidR="007A7320" w:rsidRDefault="007A7320" w:rsidP="00FE2F15">
            <w:pPr>
              <w:spacing w:line="480" w:lineRule="auto"/>
              <w:jc w:val="center"/>
            </w:pPr>
            <w:r>
              <w:t>19</w:t>
            </w:r>
          </w:p>
        </w:tc>
      </w:tr>
      <w:tr w:rsidR="007A7320" w14:paraId="41534436" w14:textId="77777777" w:rsidTr="001E5170">
        <w:trPr>
          <w:trHeight w:val="332"/>
          <w:jc w:val="center"/>
        </w:trPr>
        <w:tc>
          <w:tcPr>
            <w:tcW w:w="1110" w:type="dxa"/>
            <w:tcBorders>
              <w:top w:val="single" w:sz="4" w:space="0" w:color="auto"/>
              <w:bottom w:val="single" w:sz="4" w:space="0" w:color="auto"/>
            </w:tcBorders>
          </w:tcPr>
          <w:p w14:paraId="42B8B970" w14:textId="0EF73574" w:rsidR="007A7320" w:rsidRDefault="007A7320" w:rsidP="00FE2F15">
            <w:pPr>
              <w:spacing w:line="480" w:lineRule="auto"/>
              <w:jc w:val="center"/>
            </w:pPr>
            <w:r>
              <w:t>Mujer</w:t>
            </w:r>
          </w:p>
        </w:tc>
        <w:tc>
          <w:tcPr>
            <w:tcW w:w="1110" w:type="dxa"/>
            <w:tcBorders>
              <w:top w:val="single" w:sz="4" w:space="0" w:color="auto"/>
              <w:bottom w:val="single" w:sz="4" w:space="0" w:color="auto"/>
            </w:tcBorders>
            <w:vAlign w:val="center"/>
          </w:tcPr>
          <w:p w14:paraId="43AECE89" w14:textId="40B57A73" w:rsidR="007A7320" w:rsidRDefault="004F7C09" w:rsidP="00FE2F15">
            <w:pPr>
              <w:spacing w:line="480" w:lineRule="auto"/>
              <w:jc w:val="center"/>
            </w:pPr>
            <w:r>
              <w:t>0</w:t>
            </w:r>
          </w:p>
        </w:tc>
        <w:tc>
          <w:tcPr>
            <w:tcW w:w="1176" w:type="dxa"/>
            <w:tcBorders>
              <w:top w:val="single" w:sz="4" w:space="0" w:color="auto"/>
              <w:bottom w:val="single" w:sz="4" w:space="0" w:color="auto"/>
            </w:tcBorders>
            <w:vAlign w:val="center"/>
          </w:tcPr>
          <w:p w14:paraId="2436373C" w14:textId="0D27550A" w:rsidR="007A7320" w:rsidRDefault="004F7C09" w:rsidP="00FE2F15">
            <w:pPr>
              <w:spacing w:line="480" w:lineRule="auto"/>
              <w:jc w:val="center"/>
            </w:pPr>
            <w:r>
              <w:t>3</w:t>
            </w:r>
          </w:p>
        </w:tc>
        <w:tc>
          <w:tcPr>
            <w:tcW w:w="950" w:type="dxa"/>
            <w:tcBorders>
              <w:top w:val="single" w:sz="4" w:space="0" w:color="auto"/>
              <w:bottom w:val="single" w:sz="4" w:space="0" w:color="auto"/>
            </w:tcBorders>
            <w:vAlign w:val="center"/>
          </w:tcPr>
          <w:p w14:paraId="4EF1CDFD" w14:textId="38F60A25" w:rsidR="007A7320" w:rsidRDefault="004F7C09" w:rsidP="00FE2F15">
            <w:pPr>
              <w:spacing w:line="480" w:lineRule="auto"/>
              <w:jc w:val="center"/>
            </w:pPr>
            <w:r>
              <w:t>3.5</w:t>
            </w:r>
          </w:p>
        </w:tc>
        <w:tc>
          <w:tcPr>
            <w:tcW w:w="2276" w:type="dxa"/>
            <w:tcBorders>
              <w:top w:val="single" w:sz="4" w:space="0" w:color="auto"/>
              <w:bottom w:val="single" w:sz="4" w:space="0" w:color="auto"/>
            </w:tcBorders>
            <w:vAlign w:val="center"/>
          </w:tcPr>
          <w:p w14:paraId="2D7850E8" w14:textId="51EFF90B" w:rsidR="007A7320" w:rsidRDefault="004F7C09" w:rsidP="00FE2F15">
            <w:pPr>
              <w:spacing w:line="480" w:lineRule="auto"/>
              <w:jc w:val="center"/>
            </w:pPr>
            <w:r>
              <w:t>3.5</w:t>
            </w:r>
          </w:p>
        </w:tc>
        <w:tc>
          <w:tcPr>
            <w:tcW w:w="1150" w:type="dxa"/>
            <w:tcBorders>
              <w:top w:val="single" w:sz="4" w:space="0" w:color="auto"/>
              <w:bottom w:val="single" w:sz="4" w:space="0" w:color="auto"/>
            </w:tcBorders>
            <w:vAlign w:val="center"/>
          </w:tcPr>
          <w:p w14:paraId="7BC4A0A1" w14:textId="7E31FF66" w:rsidR="007A7320" w:rsidRDefault="004F7C09" w:rsidP="00FE2F15">
            <w:pPr>
              <w:spacing w:line="480" w:lineRule="auto"/>
              <w:jc w:val="center"/>
            </w:pPr>
            <w:r>
              <w:t>17</w:t>
            </w:r>
          </w:p>
        </w:tc>
      </w:tr>
    </w:tbl>
    <w:p w14:paraId="3965A881" w14:textId="77777777" w:rsidR="007A7320" w:rsidRDefault="007A7320" w:rsidP="00E24265">
      <w:pPr>
        <w:autoSpaceDE w:val="0"/>
        <w:autoSpaceDN w:val="0"/>
        <w:adjustRightInd w:val="0"/>
        <w:spacing w:line="480" w:lineRule="auto"/>
        <w:jc w:val="both"/>
        <w:rPr>
          <w:rFonts w:eastAsiaTheme="minorEastAsia"/>
          <w:lang w:val="es-CO" w:eastAsia="ja-JP"/>
        </w:rPr>
      </w:pPr>
    </w:p>
    <w:p w14:paraId="308E28EB" w14:textId="6C00288B" w:rsidR="00243F40" w:rsidRPr="00B70203"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Wilcoxon</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w:t>
      </w:r>
      <w:r w:rsidR="00654A29">
        <w:rPr>
          <w:rFonts w:eastAsiaTheme="minorEastAsia"/>
          <w:lang w:val="es-CO" w:eastAsia="ja-JP"/>
        </w:rPr>
        <w:t>de 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0.008; Estadístico Wilcoxon: 20940.5, Valor-p: 0.008</w:t>
      </w:r>
      <w:r w:rsidR="00F74323">
        <w:rPr>
          <w:rFonts w:eastAsiaTheme="minorEastAsia"/>
          <w:lang w:val="es-CO" w:eastAsia="ja-JP"/>
        </w:rPr>
        <w:t>).</w:t>
      </w:r>
      <w:r w:rsidR="00B21704">
        <w:rPr>
          <w:rFonts w:eastAsiaTheme="minorEastAsia"/>
          <w:lang w:val="es-CO" w:eastAsia="ja-JP"/>
        </w:rPr>
        <w:t xml:space="preserve"> </w:t>
      </w:r>
      <w:r w:rsidR="00B21704">
        <w:rPr>
          <w:rFonts w:eastAsiaTheme="minorEastAsia"/>
          <w:lang w:val="es-CO" w:eastAsia="ja-JP"/>
        </w:rPr>
        <w:lastRenderedPageBreak/>
        <w:t xml:space="preserve">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3B03C3F8" w14:textId="66D44293"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01BD8291" w14:textId="2FD7D942" w:rsidR="002B0C6B" w:rsidRPr="002B2DC8" w:rsidRDefault="008665F5" w:rsidP="00092881">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ños aproximadamente, pero esta tiende a disminuir a medida que se incrementa la edad del individuo.</w:t>
      </w: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4E93A755"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Examinando los coeficientes estimados se estima una leve relación positiva entre la edad y el puntaje AUDIT (Coeficiente de Spearman: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r w:rsidR="00B50214">
        <w:rPr>
          <w:rFonts w:eastAsiaTheme="minorEastAsia"/>
          <w:lang w:val="es-CO" w:eastAsia="ja-JP"/>
        </w:rPr>
        <w:t>, pero que a medida que aumenta la edad este riesgo tiende a disminuir</w:t>
      </w:r>
      <w:r w:rsidR="00941081">
        <w:rPr>
          <w:rFonts w:eastAsiaTheme="minorEastAsia"/>
          <w:lang w:val="es-CO" w:eastAsia="ja-JP"/>
        </w:rPr>
        <w:t>.</w:t>
      </w:r>
    </w:p>
    <w:p w14:paraId="44440B22" w14:textId="79EA2D69" w:rsidR="00384C55" w:rsidRDefault="00AE0FCE"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384C55">
        <w:rPr>
          <w:rFonts w:eastAsiaTheme="minorEastAsia"/>
          <w:lang w:val="es-CO" w:eastAsia="ja-JP"/>
        </w:rPr>
        <w:t>de riesgo: carrera a la cual pertenec</w:t>
      </w:r>
      <w:r>
        <w:rPr>
          <w:rFonts w:eastAsiaTheme="minorEastAsia"/>
          <w:lang w:val="es-CO" w:eastAsia="ja-JP"/>
        </w:rPr>
        <w:t>e</w:t>
      </w:r>
      <w:r w:rsidR="00092881">
        <w:rPr>
          <w:rFonts w:eastAsiaTheme="minorEastAsia"/>
          <w:lang w:val="es-CO" w:eastAsia="ja-JP"/>
        </w:rPr>
        <w:t xml:space="preserve"> el encuestado</w:t>
      </w:r>
      <w:r w:rsidR="009A5584">
        <w:rPr>
          <w:rFonts w:eastAsiaTheme="minorEastAsia"/>
          <w:lang w:val="es-CO" w:eastAsia="ja-JP"/>
        </w:rPr>
        <w:t>,</w:t>
      </w:r>
      <w:r w:rsidR="00092881">
        <w:rPr>
          <w:rFonts w:eastAsiaTheme="minorEastAsia"/>
          <w:lang w:val="es-CO" w:eastAsia="ja-JP"/>
        </w:rPr>
        <w:t xml:space="preserve">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Kruskal-Wallis con verificar la existencia de diferencias estadísticamente significativas entre más de dos grupos</w:t>
      </w:r>
      <w:r w:rsidR="00092881">
        <w:rPr>
          <w:rFonts w:eastAsiaTheme="minorEastAsia"/>
          <w:lang w:val="es-CO" w:eastAsia="ja-JP"/>
        </w:rPr>
        <w:t xml:space="preserve"> (Estadístico Kruskal-Wallis: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9A5584">
        <w:rPr>
          <w:rFonts w:eastAsiaTheme="minorEastAsia"/>
          <w:lang w:val="es-CO" w:eastAsia="ja-JP"/>
        </w:rPr>
        <w:t>4.</w:t>
      </w:r>
    </w:p>
    <w:p w14:paraId="678FF8C5" w14:textId="69A14A74" w:rsidR="004C3B65" w:rsidRPr="008A08D7" w:rsidRDefault="00D15778" w:rsidP="009A558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1C69146E" wp14:editId="55FA68DD">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0BABBD49" w14:textId="0E710789" w:rsidR="007656B2" w:rsidRDefault="007656B2" w:rsidP="007E4887">
      <w:pPr>
        <w:autoSpaceDE w:val="0"/>
        <w:autoSpaceDN w:val="0"/>
        <w:adjustRightInd w:val="0"/>
        <w:spacing w:line="400" w:lineRule="atLeast"/>
        <w:rPr>
          <w:rFonts w:eastAsiaTheme="minorEastAsia"/>
          <w:lang w:val="es-CO" w:eastAsia="ja-JP"/>
        </w:rPr>
      </w:pPr>
      <w:bookmarkStart w:id="2" w:name="_GoBack"/>
      <w:bookmarkEnd w:id="2"/>
      <w:r>
        <w:rPr>
          <w:rFonts w:eastAsiaTheme="minorEastAsia"/>
          <w:lang w:val="es-CO" w:eastAsia="ja-JP"/>
        </w:rPr>
        <w:t>Estadísticas descriptivas de por grupo de preguntas dependiendo del dominio</w:t>
      </w:r>
    </w:p>
    <w:p w14:paraId="6E780BFE" w14:textId="4ACF96E9" w:rsidR="007656B2" w:rsidRDefault="007656B2" w:rsidP="007E4887">
      <w:pPr>
        <w:autoSpaceDE w:val="0"/>
        <w:autoSpaceDN w:val="0"/>
        <w:adjustRightInd w:val="0"/>
        <w:spacing w:line="400" w:lineRule="atLeast"/>
        <w:rPr>
          <w:rFonts w:eastAsiaTheme="minorEastAsia"/>
          <w:lang w:val="es-CO" w:eastAsia="ja-JP"/>
        </w:rPr>
      </w:pPr>
      <w:r>
        <w:rPr>
          <w:rFonts w:eastAsiaTheme="minorEastAsia"/>
          <w:lang w:val="es-CO" w:eastAsia="ja-JP"/>
        </w:rPr>
        <w:t>Justificación de la utilización del análisis de correspondencias múltiple y</w:t>
      </w:r>
    </w:p>
    <w:p w14:paraId="6394FD17" w14:textId="01F062A2" w:rsidR="002408AC" w:rsidRDefault="002408AC" w:rsidP="007E4887">
      <w:pPr>
        <w:autoSpaceDE w:val="0"/>
        <w:autoSpaceDN w:val="0"/>
        <w:adjustRightInd w:val="0"/>
        <w:spacing w:line="400" w:lineRule="atLeast"/>
        <w:rPr>
          <w:rFonts w:eastAsiaTheme="minorEastAsia"/>
          <w:lang w:val="es-CO" w:eastAsia="ja-JP"/>
        </w:rPr>
      </w:pPr>
      <w:r>
        <w:rPr>
          <w:rFonts w:eastAsiaTheme="minorEastAsia"/>
          <w:lang w:val="es-CO" w:eastAsia="ja-JP"/>
        </w:rPr>
        <w:lastRenderedPageBreak/>
        <w:t>Análisis de correspondencias múltiple</w:t>
      </w:r>
    </w:p>
    <w:p w14:paraId="48C7E750" w14:textId="77777777" w:rsidR="008B6311" w:rsidRDefault="008B6311" w:rsidP="007E4887">
      <w:pPr>
        <w:autoSpaceDE w:val="0"/>
        <w:autoSpaceDN w:val="0"/>
        <w:adjustRightInd w:val="0"/>
        <w:spacing w:line="400" w:lineRule="atLeast"/>
        <w:rPr>
          <w:rFonts w:eastAsiaTheme="minorEastAsia"/>
          <w:lang w:val="es-CO" w:eastAsia="ja-JP"/>
        </w:rPr>
      </w:pPr>
    </w:p>
    <w:p w14:paraId="3801C952" w14:textId="77777777" w:rsidR="008B6311" w:rsidRDefault="008B6311" w:rsidP="007E4887">
      <w:pPr>
        <w:autoSpaceDE w:val="0"/>
        <w:autoSpaceDN w:val="0"/>
        <w:adjustRightInd w:val="0"/>
        <w:spacing w:line="400" w:lineRule="atLeast"/>
        <w:rPr>
          <w:rFonts w:eastAsiaTheme="minorEastAsia"/>
          <w:lang w:val="es-CO" w:eastAsia="ja-JP"/>
        </w:rPr>
      </w:pPr>
    </w:p>
    <w:p w14:paraId="65BE51AA" w14:textId="77777777" w:rsidR="002408AC" w:rsidRPr="007E4887" w:rsidRDefault="002408AC"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lastRenderedPageBreak/>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lastRenderedPageBreak/>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0B58A9">
        <w:rPr>
          <w:lang w:val="en-US"/>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010166">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r>
        <w:rPr>
          <w:lang w:val="en-US"/>
        </w:rPr>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lastRenderedPageBreak/>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Rev Salud Pública</w:t>
      </w:r>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FB08EC" w:rsidRDefault="00FB08EC">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FB08EC" w:rsidRDefault="00FB08EC">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49C1B" w14:textId="77777777" w:rsidR="005E10CA" w:rsidRDefault="005E10CA" w:rsidP="00757E9C">
      <w:r>
        <w:separator/>
      </w:r>
    </w:p>
  </w:endnote>
  <w:endnote w:type="continuationSeparator" w:id="0">
    <w:p w14:paraId="050697F1" w14:textId="77777777" w:rsidR="005E10CA" w:rsidRDefault="005E10CA"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B08EC" w:rsidRDefault="00FB08E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B08EC" w:rsidRDefault="00FB08EC"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B08EC" w:rsidRDefault="00FB08E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A5584">
      <w:rPr>
        <w:rStyle w:val="PageNumber"/>
        <w:noProof/>
      </w:rPr>
      <w:t>43</w:t>
    </w:r>
    <w:r>
      <w:rPr>
        <w:rStyle w:val="PageNumber"/>
      </w:rPr>
      <w:fldChar w:fldCharType="end"/>
    </w:r>
  </w:p>
  <w:p w14:paraId="6F77EF52" w14:textId="77777777" w:rsidR="00FB08EC" w:rsidRDefault="00FB08EC"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C12F4" w14:textId="77777777" w:rsidR="005E10CA" w:rsidRDefault="005E10CA" w:rsidP="00757E9C">
      <w:r>
        <w:separator/>
      </w:r>
    </w:p>
  </w:footnote>
  <w:footnote w:type="continuationSeparator" w:id="0">
    <w:p w14:paraId="01990BAD" w14:textId="77777777" w:rsidR="005E10CA" w:rsidRDefault="005E10CA"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0166"/>
    <w:rsid w:val="000144E8"/>
    <w:rsid w:val="00023547"/>
    <w:rsid w:val="00027263"/>
    <w:rsid w:val="00035E32"/>
    <w:rsid w:val="00052835"/>
    <w:rsid w:val="00063C8A"/>
    <w:rsid w:val="000774F6"/>
    <w:rsid w:val="0008025D"/>
    <w:rsid w:val="0008088E"/>
    <w:rsid w:val="0009260E"/>
    <w:rsid w:val="00092881"/>
    <w:rsid w:val="000953CF"/>
    <w:rsid w:val="000B00D5"/>
    <w:rsid w:val="000B0C84"/>
    <w:rsid w:val="000B58A9"/>
    <w:rsid w:val="000C0257"/>
    <w:rsid w:val="000D4B2E"/>
    <w:rsid w:val="000E146C"/>
    <w:rsid w:val="000E584E"/>
    <w:rsid w:val="000F05CF"/>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C66DD"/>
    <w:rsid w:val="001D0EED"/>
    <w:rsid w:val="001D1ABA"/>
    <w:rsid w:val="001D2098"/>
    <w:rsid w:val="001D3FC7"/>
    <w:rsid w:val="001E0E83"/>
    <w:rsid w:val="001E2476"/>
    <w:rsid w:val="001E57CA"/>
    <w:rsid w:val="001E7A8A"/>
    <w:rsid w:val="001F27AD"/>
    <w:rsid w:val="00204673"/>
    <w:rsid w:val="0022171A"/>
    <w:rsid w:val="00222C9D"/>
    <w:rsid w:val="00226697"/>
    <w:rsid w:val="00231624"/>
    <w:rsid w:val="002368CB"/>
    <w:rsid w:val="002408AC"/>
    <w:rsid w:val="00243F40"/>
    <w:rsid w:val="00245908"/>
    <w:rsid w:val="002464F2"/>
    <w:rsid w:val="00252241"/>
    <w:rsid w:val="00255BD6"/>
    <w:rsid w:val="00255EB2"/>
    <w:rsid w:val="0026466A"/>
    <w:rsid w:val="002713F1"/>
    <w:rsid w:val="0027455B"/>
    <w:rsid w:val="00276886"/>
    <w:rsid w:val="00285A28"/>
    <w:rsid w:val="00294F18"/>
    <w:rsid w:val="002B0C6B"/>
    <w:rsid w:val="002B2DC8"/>
    <w:rsid w:val="002B3CD7"/>
    <w:rsid w:val="002B458C"/>
    <w:rsid w:val="002B4FFD"/>
    <w:rsid w:val="002C7584"/>
    <w:rsid w:val="002E4CAD"/>
    <w:rsid w:val="002F38C4"/>
    <w:rsid w:val="002F4C58"/>
    <w:rsid w:val="002F4EFA"/>
    <w:rsid w:val="002F73C0"/>
    <w:rsid w:val="00306D8C"/>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D66F2"/>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4F7C09"/>
    <w:rsid w:val="00500F4C"/>
    <w:rsid w:val="00501509"/>
    <w:rsid w:val="00503664"/>
    <w:rsid w:val="0050723B"/>
    <w:rsid w:val="00515473"/>
    <w:rsid w:val="00517167"/>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2431"/>
    <w:rsid w:val="00596E11"/>
    <w:rsid w:val="005A0121"/>
    <w:rsid w:val="005B05A1"/>
    <w:rsid w:val="005B2060"/>
    <w:rsid w:val="005C2BD5"/>
    <w:rsid w:val="005C5838"/>
    <w:rsid w:val="005D287A"/>
    <w:rsid w:val="005D40F2"/>
    <w:rsid w:val="005D524F"/>
    <w:rsid w:val="005D79F2"/>
    <w:rsid w:val="005E10CA"/>
    <w:rsid w:val="005F1981"/>
    <w:rsid w:val="005F255F"/>
    <w:rsid w:val="0060027A"/>
    <w:rsid w:val="006013C5"/>
    <w:rsid w:val="00603147"/>
    <w:rsid w:val="0060693C"/>
    <w:rsid w:val="00617551"/>
    <w:rsid w:val="0063139C"/>
    <w:rsid w:val="00646F97"/>
    <w:rsid w:val="00652CCC"/>
    <w:rsid w:val="00653075"/>
    <w:rsid w:val="00653233"/>
    <w:rsid w:val="00654A29"/>
    <w:rsid w:val="006641CA"/>
    <w:rsid w:val="00676F3F"/>
    <w:rsid w:val="00686CB6"/>
    <w:rsid w:val="006C077F"/>
    <w:rsid w:val="006C0C0E"/>
    <w:rsid w:val="006C4311"/>
    <w:rsid w:val="006C4AB7"/>
    <w:rsid w:val="006D080A"/>
    <w:rsid w:val="006D0B9D"/>
    <w:rsid w:val="006D28FE"/>
    <w:rsid w:val="006D5C9D"/>
    <w:rsid w:val="006D727C"/>
    <w:rsid w:val="00721BC1"/>
    <w:rsid w:val="0072295B"/>
    <w:rsid w:val="0072356F"/>
    <w:rsid w:val="00723611"/>
    <w:rsid w:val="0073272C"/>
    <w:rsid w:val="007379C9"/>
    <w:rsid w:val="007470EC"/>
    <w:rsid w:val="00755973"/>
    <w:rsid w:val="00757E9C"/>
    <w:rsid w:val="00764CBF"/>
    <w:rsid w:val="007656B2"/>
    <w:rsid w:val="00767E92"/>
    <w:rsid w:val="00770CC7"/>
    <w:rsid w:val="007720FA"/>
    <w:rsid w:val="007800CC"/>
    <w:rsid w:val="00781FE0"/>
    <w:rsid w:val="00783970"/>
    <w:rsid w:val="007913F6"/>
    <w:rsid w:val="00793C72"/>
    <w:rsid w:val="00794A65"/>
    <w:rsid w:val="007A0113"/>
    <w:rsid w:val="007A3982"/>
    <w:rsid w:val="007A5A72"/>
    <w:rsid w:val="007A6E01"/>
    <w:rsid w:val="007A7320"/>
    <w:rsid w:val="007B49DA"/>
    <w:rsid w:val="007B6AC4"/>
    <w:rsid w:val="007C0B24"/>
    <w:rsid w:val="007C173F"/>
    <w:rsid w:val="007C2A44"/>
    <w:rsid w:val="007C334E"/>
    <w:rsid w:val="007C7A5B"/>
    <w:rsid w:val="007C7AC1"/>
    <w:rsid w:val="007D7469"/>
    <w:rsid w:val="007E3C06"/>
    <w:rsid w:val="007E4887"/>
    <w:rsid w:val="007E4C1C"/>
    <w:rsid w:val="007F3C9F"/>
    <w:rsid w:val="007F62ED"/>
    <w:rsid w:val="0080085C"/>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90ACD"/>
    <w:rsid w:val="0089348E"/>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53AC0"/>
    <w:rsid w:val="00963DBD"/>
    <w:rsid w:val="00967765"/>
    <w:rsid w:val="00970E0C"/>
    <w:rsid w:val="00973591"/>
    <w:rsid w:val="009739A3"/>
    <w:rsid w:val="00977A2C"/>
    <w:rsid w:val="009803EE"/>
    <w:rsid w:val="00983E2D"/>
    <w:rsid w:val="0099551A"/>
    <w:rsid w:val="00996D2B"/>
    <w:rsid w:val="009A5584"/>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5606"/>
    <w:rsid w:val="00A901BC"/>
    <w:rsid w:val="00A9493A"/>
    <w:rsid w:val="00A97DE4"/>
    <w:rsid w:val="00AA055D"/>
    <w:rsid w:val="00AA0A42"/>
    <w:rsid w:val="00AA6AC9"/>
    <w:rsid w:val="00AA6D6C"/>
    <w:rsid w:val="00AB2DAC"/>
    <w:rsid w:val="00AC635D"/>
    <w:rsid w:val="00AD2558"/>
    <w:rsid w:val="00AD35DC"/>
    <w:rsid w:val="00AD5AD4"/>
    <w:rsid w:val="00AE0FCE"/>
    <w:rsid w:val="00AE138A"/>
    <w:rsid w:val="00AE343A"/>
    <w:rsid w:val="00AF100D"/>
    <w:rsid w:val="00AF3650"/>
    <w:rsid w:val="00B17F7D"/>
    <w:rsid w:val="00B21704"/>
    <w:rsid w:val="00B22452"/>
    <w:rsid w:val="00B23E19"/>
    <w:rsid w:val="00B25C5F"/>
    <w:rsid w:val="00B41855"/>
    <w:rsid w:val="00B50214"/>
    <w:rsid w:val="00B62BD0"/>
    <w:rsid w:val="00B70203"/>
    <w:rsid w:val="00B73040"/>
    <w:rsid w:val="00B7379A"/>
    <w:rsid w:val="00B816C7"/>
    <w:rsid w:val="00B8507E"/>
    <w:rsid w:val="00B90A2C"/>
    <w:rsid w:val="00BA25B8"/>
    <w:rsid w:val="00BB2F29"/>
    <w:rsid w:val="00BB51F2"/>
    <w:rsid w:val="00BC2C9A"/>
    <w:rsid w:val="00BC4A07"/>
    <w:rsid w:val="00BE3176"/>
    <w:rsid w:val="00BE7FEE"/>
    <w:rsid w:val="00BF0577"/>
    <w:rsid w:val="00BF4A0E"/>
    <w:rsid w:val="00BF6EE0"/>
    <w:rsid w:val="00C15C34"/>
    <w:rsid w:val="00C172B6"/>
    <w:rsid w:val="00C20F71"/>
    <w:rsid w:val="00C22FA6"/>
    <w:rsid w:val="00C24FD8"/>
    <w:rsid w:val="00C260FC"/>
    <w:rsid w:val="00C30808"/>
    <w:rsid w:val="00C31D77"/>
    <w:rsid w:val="00C32C02"/>
    <w:rsid w:val="00C3630B"/>
    <w:rsid w:val="00C44E00"/>
    <w:rsid w:val="00C477E9"/>
    <w:rsid w:val="00C508FB"/>
    <w:rsid w:val="00C6143F"/>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A43"/>
    <w:rsid w:val="00CB3CAB"/>
    <w:rsid w:val="00CC277C"/>
    <w:rsid w:val="00CC5714"/>
    <w:rsid w:val="00CD26B6"/>
    <w:rsid w:val="00CE1CC4"/>
    <w:rsid w:val="00CF0D8F"/>
    <w:rsid w:val="00CF3A77"/>
    <w:rsid w:val="00CF3F69"/>
    <w:rsid w:val="00D04376"/>
    <w:rsid w:val="00D11443"/>
    <w:rsid w:val="00D13441"/>
    <w:rsid w:val="00D15778"/>
    <w:rsid w:val="00D15A43"/>
    <w:rsid w:val="00D178B8"/>
    <w:rsid w:val="00D23FBD"/>
    <w:rsid w:val="00D26D81"/>
    <w:rsid w:val="00D32AC3"/>
    <w:rsid w:val="00D36C56"/>
    <w:rsid w:val="00D41B59"/>
    <w:rsid w:val="00D44B75"/>
    <w:rsid w:val="00D474BE"/>
    <w:rsid w:val="00D53ED7"/>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1C6"/>
    <w:rsid w:val="00E26E5A"/>
    <w:rsid w:val="00E319B9"/>
    <w:rsid w:val="00E3227A"/>
    <w:rsid w:val="00E32D61"/>
    <w:rsid w:val="00E34712"/>
    <w:rsid w:val="00E37C33"/>
    <w:rsid w:val="00E51847"/>
    <w:rsid w:val="00E529EE"/>
    <w:rsid w:val="00E54C4C"/>
    <w:rsid w:val="00E56E16"/>
    <w:rsid w:val="00E624CF"/>
    <w:rsid w:val="00E63DB4"/>
    <w:rsid w:val="00E63DC1"/>
    <w:rsid w:val="00E71731"/>
    <w:rsid w:val="00E7394E"/>
    <w:rsid w:val="00E8032F"/>
    <w:rsid w:val="00E82F34"/>
    <w:rsid w:val="00E876F0"/>
    <w:rsid w:val="00E92504"/>
    <w:rsid w:val="00E934E9"/>
    <w:rsid w:val="00E9651E"/>
    <w:rsid w:val="00E96A96"/>
    <w:rsid w:val="00EA02F1"/>
    <w:rsid w:val="00EA32D9"/>
    <w:rsid w:val="00EB15B4"/>
    <w:rsid w:val="00EB1C36"/>
    <w:rsid w:val="00EB2709"/>
    <w:rsid w:val="00EB2B41"/>
    <w:rsid w:val="00EB4E82"/>
    <w:rsid w:val="00EC1945"/>
    <w:rsid w:val="00EC371E"/>
    <w:rsid w:val="00EC404A"/>
    <w:rsid w:val="00EE18BD"/>
    <w:rsid w:val="00EE2747"/>
    <w:rsid w:val="00EE56E1"/>
    <w:rsid w:val="00EE65B1"/>
    <w:rsid w:val="00EF3BDB"/>
    <w:rsid w:val="00F048BF"/>
    <w:rsid w:val="00F07C42"/>
    <w:rsid w:val="00F10EC3"/>
    <w:rsid w:val="00F12AAD"/>
    <w:rsid w:val="00F12AB6"/>
    <w:rsid w:val="00F14391"/>
    <w:rsid w:val="00F23724"/>
    <w:rsid w:val="00F24CEB"/>
    <w:rsid w:val="00F26AD9"/>
    <w:rsid w:val="00F27A45"/>
    <w:rsid w:val="00F313DD"/>
    <w:rsid w:val="00F43A47"/>
    <w:rsid w:val="00F44AEF"/>
    <w:rsid w:val="00F456C9"/>
    <w:rsid w:val="00F56E1C"/>
    <w:rsid w:val="00F61317"/>
    <w:rsid w:val="00F66C60"/>
    <w:rsid w:val="00F67B26"/>
    <w:rsid w:val="00F74323"/>
    <w:rsid w:val="00F769AE"/>
    <w:rsid w:val="00F821ED"/>
    <w:rsid w:val="00F868CF"/>
    <w:rsid w:val="00F97E7E"/>
    <w:rsid w:val="00FA0B1C"/>
    <w:rsid w:val="00FA5010"/>
    <w:rsid w:val="00FA6FA1"/>
    <w:rsid w:val="00FA7104"/>
    <w:rsid w:val="00FB08EC"/>
    <w:rsid w:val="00FB2588"/>
    <w:rsid w:val="00FC4EA4"/>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770141F-3362-4C56-B29F-7A4E38CE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45</Pages>
  <Words>11264</Words>
  <Characters>61956</Characters>
  <Application>Microsoft Office Word</Application>
  <DocSecurity>0</DocSecurity>
  <Lines>516</Lines>
  <Paragraphs>146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80</cp:revision>
  <dcterms:created xsi:type="dcterms:W3CDTF">2016-03-24T02:53:00Z</dcterms:created>
  <dcterms:modified xsi:type="dcterms:W3CDTF">2016-04-13T02:59:00Z</dcterms:modified>
</cp:coreProperties>
</file>