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701B03"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701B03"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701B03"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701B03"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701B03"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701B03"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w:t>
      </w:r>
      <w:r>
        <w:rPr>
          <w:lang w:val="es-CO"/>
        </w:rPr>
        <w:lastRenderedPageBreak/>
        <w:t>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701B03"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701B03"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701B03"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701B03"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701B03"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w:t>
      </w:r>
      <w:r>
        <w:rPr>
          <w:lang w:val="es-CO"/>
        </w:rPr>
        <w:lastRenderedPageBreak/>
        <w:t>las poblaciones estudiadas, para esto se hizo uso del Test de Kruskal-Wallis. Aquí las hipótesis estadísticas a contrastar son:</w:t>
      </w:r>
    </w:p>
    <w:p w14:paraId="668CD7F0" w14:textId="77777777" w:rsidR="00890ACD" w:rsidRPr="00A13751" w:rsidRDefault="00701B03"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r>
        <w:rPr>
          <w:lang w:val="es-CO"/>
        </w:rPr>
        <w:t>vs</w:t>
      </w:r>
    </w:p>
    <w:p w14:paraId="237E75F3" w14:textId="77777777" w:rsidR="00890ACD" w:rsidRPr="00BE27E0" w:rsidRDefault="00701B03"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701B03"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701B03"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Pr="00BE27E0" w:rsidRDefault="00701B03"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lastRenderedPageBreak/>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principal component analysis</w:t>
      </w:r>
      <w:r>
        <w:t xml:space="preserve">,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w:t>
      </w:r>
      <w:r>
        <w:lastRenderedPageBreak/>
        <w:t>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3442ED28"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lastRenderedPageBreak/>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63813453"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5C223E">
        <w:t xml:space="preserve"> de adquirir</w:t>
      </w:r>
      <w:r w:rsidR="00802FED">
        <w:t xml:space="preserve"> hábitos peligrosos</w:t>
      </w:r>
      <w:r w:rsidR="00FE24C5">
        <w:t>.</w:t>
      </w: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xml:space="preserve">%, </w:t>
      </w:r>
      <w:r w:rsidRPr="00CA6A43">
        <w:lastRenderedPageBreak/>
        <w:t>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592CF911"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F67B26">
        <w:t>. Según la clasificación hecha por REFERENCIA DONDE DIGA QUE ESE ES EL UMBRAL</w:t>
      </w:r>
      <w:r w:rsidR="000F05CF">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0988FBD7"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línea roja representa un AUDIT = 8, mientras la línea naranja corresponde a un AUDIT = 7.</w:t>
      </w:r>
    </w:p>
    <w:p w14:paraId="08A6F6BA" w14:textId="080F5589" w:rsidR="00311C37" w:rsidRPr="00311C37" w:rsidRDefault="00010166" w:rsidP="00FB08EC">
      <w:pPr>
        <w:spacing w:line="480" w:lineRule="auto"/>
        <w:jc w:val="both"/>
        <w:rPr>
          <w:b/>
          <w:color w:val="000000" w:themeColor="text1"/>
        </w:rPr>
      </w:pPr>
      <w:r>
        <w:rPr>
          <w:color w:val="000000" w:themeColor="text1"/>
          <w:lang w:val="es-CO"/>
        </w:rPr>
        <w:t>En términos de los puntajes AUDIT altos, se tiene que de los hombres menores de edad un 24.5% muestran un AUDIT igual o superior a 8, mientras que de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450E366C" w:rsidR="00311C37" w:rsidRDefault="00FB08EC" w:rsidP="00CA6A43">
      <w:pPr>
        <w:spacing w:line="480" w:lineRule="auto"/>
        <w:jc w:val="both"/>
        <w:rPr>
          <w:color w:val="000000" w:themeColor="text1"/>
        </w:rPr>
      </w:pPr>
      <w:r>
        <w:rPr>
          <w:color w:val="000000" w:themeColor="text1"/>
        </w:rPr>
        <w:lastRenderedPageBreak/>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w:t>
      </w:r>
    </w:p>
    <w:p w14:paraId="2E6B4136" w14:textId="2FD92E3E" w:rsidR="00AD5AD4" w:rsidRDefault="00AD5AD4" w:rsidP="00CA6A43">
      <w:pPr>
        <w:spacing w:line="480" w:lineRule="auto"/>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r w:rsidR="00D65444">
        <w:rPr>
          <w:color w:val="000000" w:themeColor="text1"/>
        </w:rPr>
        <w:t xml:space="preserve"> </w:t>
      </w:r>
      <w:r>
        <w:rPr>
          <w:color w:val="000000" w:themeColor="text1"/>
        </w:rPr>
        <w:t>A continuación los respectivos resultados:</w:t>
      </w:r>
    </w:p>
    <w:p w14:paraId="58EE2219" w14:textId="4F20F34D" w:rsidR="00E24265" w:rsidRDefault="00AD5AD4" w:rsidP="00AD5AD4">
      <w:pPr>
        <w:spacing w:line="480" w:lineRule="auto"/>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r w:rsidR="0003618B">
        <w:rPr>
          <w:color w:val="000000" w:themeColor="text1"/>
        </w:rPr>
        <w:t xml:space="preserve"> </w:t>
      </w:r>
      <w:r w:rsidR="00D65444">
        <w:rPr>
          <w:color w:val="000000" w:themeColor="text1"/>
        </w:rPr>
        <w:t>Analizando el gráfico B</w:t>
      </w:r>
      <w:r>
        <w:rPr>
          <w:color w:val="000000" w:themeColor="text1"/>
        </w:rPr>
        <w:t xml:space="preserve">oxplot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w:t>
      </w:r>
      <w:bookmarkStart w:id="2" w:name="_GoBack"/>
      <w:bookmarkEnd w:id="2"/>
      <w:r>
        <w:rPr>
          <w:rFonts w:eastAsiaTheme="minorEastAsia"/>
          <w:lang w:val="es-CO" w:eastAsia="ja-JP"/>
        </w:rPr>
        <w:t>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1E5170">
        <w:trPr>
          <w:jc w:val="center"/>
        </w:trPr>
        <w:tc>
          <w:tcPr>
            <w:tcW w:w="1110" w:type="dxa"/>
            <w:tcBorders>
              <w:top w:val="single" w:sz="4" w:space="0" w:color="auto"/>
              <w:bottom w:val="single" w:sz="4" w:space="0" w:color="auto"/>
            </w:tcBorders>
          </w:tcPr>
          <w:p w14:paraId="2FA1759C" w14:textId="6EAB5BF1" w:rsidR="007A7320" w:rsidRPr="00FE24C5" w:rsidRDefault="007A7320" w:rsidP="00FE2F15">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FE2F1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FE2F1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FE2F1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FE2F1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FE2F15">
            <w:pPr>
              <w:spacing w:line="480" w:lineRule="auto"/>
              <w:jc w:val="center"/>
              <w:rPr>
                <w:b/>
              </w:rPr>
            </w:pPr>
            <w:r w:rsidRPr="00FE24C5">
              <w:rPr>
                <w:b/>
              </w:rPr>
              <w:t>Máximo</w:t>
            </w:r>
          </w:p>
        </w:tc>
      </w:tr>
      <w:tr w:rsidR="007A7320" w14:paraId="5C8E2207" w14:textId="77777777" w:rsidTr="001E5170">
        <w:trPr>
          <w:trHeight w:val="332"/>
          <w:jc w:val="center"/>
        </w:trPr>
        <w:tc>
          <w:tcPr>
            <w:tcW w:w="1110" w:type="dxa"/>
            <w:tcBorders>
              <w:top w:val="single" w:sz="4" w:space="0" w:color="auto"/>
              <w:bottom w:val="single" w:sz="4" w:space="0" w:color="auto"/>
            </w:tcBorders>
          </w:tcPr>
          <w:p w14:paraId="3BFA230A" w14:textId="326CB20C" w:rsidR="007A7320" w:rsidRDefault="007A7320" w:rsidP="00FE2F15">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FE2F15">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FE2F15">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FE2F15">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FE2F15">
            <w:pPr>
              <w:spacing w:line="480" w:lineRule="auto"/>
              <w:jc w:val="center"/>
            </w:pPr>
            <w:r>
              <w:t>19</w:t>
            </w:r>
          </w:p>
        </w:tc>
      </w:tr>
      <w:tr w:rsidR="007A7320" w14:paraId="41534436" w14:textId="77777777" w:rsidTr="001E5170">
        <w:trPr>
          <w:trHeight w:val="332"/>
          <w:jc w:val="center"/>
        </w:trPr>
        <w:tc>
          <w:tcPr>
            <w:tcW w:w="1110" w:type="dxa"/>
            <w:tcBorders>
              <w:top w:val="single" w:sz="4" w:space="0" w:color="auto"/>
              <w:bottom w:val="single" w:sz="4" w:space="0" w:color="auto"/>
            </w:tcBorders>
          </w:tcPr>
          <w:p w14:paraId="42B8B970" w14:textId="0EF73574" w:rsidR="007A7320" w:rsidRDefault="007A7320" w:rsidP="00FE2F15">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FE2F15">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FE2F15">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FE2F15">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FE2F15">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FE2F15">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Pr="00B70203"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3B03C3F8" w14:textId="7B88211A"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 xml:space="preserve">ños </w:t>
      </w:r>
      <w:r w:rsidR="002B0C6B">
        <w:rPr>
          <w:rFonts w:eastAsiaTheme="minorEastAsia"/>
          <w:lang w:val="es-CO" w:eastAsia="ja-JP"/>
        </w:rPr>
        <w:lastRenderedPageBreak/>
        <w:t>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0B5AFEC1"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los coeficientes estimados se estima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a medida que aumenta la edad este riesgo tiende a disminuir</w:t>
      </w:r>
      <w:r w:rsidR="00941081">
        <w:rPr>
          <w:rFonts w:eastAsiaTheme="minorEastAsia"/>
          <w:lang w:val="es-CO" w:eastAsia="ja-JP"/>
        </w:rPr>
        <w:t>.</w:t>
      </w: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w:t>
      </w:r>
      <w:r w:rsidR="00384C55">
        <w:rPr>
          <w:rFonts w:eastAsiaTheme="minorEastAsia"/>
          <w:lang w:val="es-CO" w:eastAsia="ja-JP"/>
        </w:rPr>
        <w:lastRenderedPageBreak/>
        <w:t xml:space="preserve">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con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C69146E" wp14:editId="55FA68DD">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39E180DA" w14:textId="38915A69" w:rsidR="000A0C94" w:rsidRDefault="000A0C94" w:rsidP="000A0C94">
      <w:pPr>
        <w:autoSpaceDE w:val="0"/>
        <w:autoSpaceDN w:val="0"/>
        <w:adjustRightInd w:val="0"/>
        <w:spacing w:line="400" w:lineRule="atLeast"/>
        <w:jc w:val="both"/>
        <w:rPr>
          <w:rFonts w:eastAsiaTheme="minorEastAsia"/>
          <w:lang w:val="es-CO" w:eastAsia="ja-JP"/>
        </w:rPr>
      </w:pPr>
      <w:r>
        <w:rPr>
          <w:rFonts w:eastAsiaTheme="minorEastAsia"/>
          <w:lang w:val="es-CO" w:eastAsia="ja-JP"/>
        </w:rPr>
        <w:t>Ahora dado que el interés se concentra en estudiar los patrones de consumo</w:t>
      </w:r>
      <w:r w:rsidR="00617754">
        <w:rPr>
          <w:rFonts w:eastAsiaTheme="minorEastAsia"/>
          <w:lang w:val="es-CO" w:eastAsia="ja-JP"/>
        </w:rPr>
        <w:t xml:space="preserve"> asociados al riesgo</w:t>
      </w:r>
      <w:r>
        <w:rPr>
          <w:rFonts w:eastAsiaTheme="minorEastAsia"/>
          <w:lang w:val="es-CO" w:eastAsia="ja-JP"/>
        </w:rPr>
        <w:t xml:space="preserve"> y habiendo identificado que la edad y el género inciden sobre estos. A continuación se presenta un</w:t>
      </w:r>
      <w:r w:rsidR="00617754">
        <w:rPr>
          <w:rFonts w:eastAsiaTheme="minorEastAsia"/>
          <w:lang w:val="es-CO" w:eastAsia="ja-JP"/>
        </w:rPr>
        <w:t>a</w:t>
      </w:r>
      <w:r>
        <w:rPr>
          <w:rFonts w:eastAsiaTheme="minorEastAsia"/>
          <w:lang w:val="es-CO" w:eastAsia="ja-JP"/>
        </w:rPr>
        <w:t xml:space="preserve"> descripción de los principales dominios</w:t>
      </w:r>
      <w:r w:rsidR="00617754">
        <w:rPr>
          <w:rFonts w:eastAsiaTheme="minorEastAsia"/>
          <w:lang w:val="es-CO" w:eastAsia="ja-JP"/>
        </w:rPr>
        <w:t xml:space="preserve"> de riesgo</w:t>
      </w:r>
      <w:r>
        <w:rPr>
          <w:rFonts w:eastAsiaTheme="minorEastAsia"/>
          <w:lang w:val="es-CO" w:eastAsia="ja-JP"/>
        </w:rPr>
        <w:t xml:space="preserve"> donde se pueden catalogar a los individuos de acuerdo a su patrón de consumo.</w:t>
      </w:r>
      <w:r w:rsidR="00617754">
        <w:rPr>
          <w:rFonts w:eastAsiaTheme="minorEastAsia"/>
          <w:lang w:val="es-CO" w:eastAsia="ja-JP"/>
        </w:rPr>
        <w:t xml:space="preserve"> En estos términos, … </w:t>
      </w:r>
    </w:p>
    <w:p w14:paraId="2A0B2E3B" w14:textId="77777777" w:rsidR="000A0C94" w:rsidRDefault="000A0C94" w:rsidP="000A0C94">
      <w:pPr>
        <w:autoSpaceDE w:val="0"/>
        <w:autoSpaceDN w:val="0"/>
        <w:adjustRightInd w:val="0"/>
        <w:spacing w:line="400" w:lineRule="atLeast"/>
        <w:rPr>
          <w:rFonts w:eastAsiaTheme="minorEastAsia"/>
          <w:lang w:val="es-CO" w:eastAsia="ja-JP"/>
        </w:rPr>
      </w:pPr>
      <w:r>
        <w:rPr>
          <w:rFonts w:eastAsiaTheme="minorEastAsia"/>
          <w:lang w:val="es-CO" w:eastAsia="ja-JP"/>
        </w:rPr>
        <w:t>Estadísticas descriptivas de por grupo de preguntas dependiendo del dominio</w:t>
      </w:r>
    </w:p>
    <w:p w14:paraId="09F9457C" w14:textId="77777777" w:rsidR="000A0C94" w:rsidRDefault="000A0C94" w:rsidP="000A0C94">
      <w:pPr>
        <w:autoSpaceDE w:val="0"/>
        <w:autoSpaceDN w:val="0"/>
        <w:adjustRightInd w:val="0"/>
        <w:spacing w:line="400" w:lineRule="atLeast"/>
        <w:rPr>
          <w:rFonts w:eastAsiaTheme="minorEastAsia"/>
          <w:lang w:val="es-CO" w:eastAsia="ja-JP"/>
        </w:rPr>
      </w:pPr>
      <w:r>
        <w:rPr>
          <w:rFonts w:eastAsiaTheme="minorEastAsia"/>
          <w:lang w:val="es-CO" w:eastAsia="ja-JP"/>
        </w:rPr>
        <w:t>Justificación de la utilización del análisis de correspondencias múltiple</w:t>
      </w:r>
    </w:p>
    <w:p w14:paraId="5EB66C0A" w14:textId="7AD02BD3" w:rsidR="000A0C94" w:rsidRDefault="000A0C94" w:rsidP="000A0C94">
      <w:pPr>
        <w:autoSpaceDE w:val="0"/>
        <w:autoSpaceDN w:val="0"/>
        <w:adjustRightInd w:val="0"/>
        <w:spacing w:line="400" w:lineRule="atLeast"/>
        <w:jc w:val="both"/>
        <w:rPr>
          <w:rFonts w:eastAsiaTheme="minorEastAsia"/>
          <w:lang w:val="es-CO" w:eastAsia="ja-JP"/>
        </w:rPr>
      </w:pPr>
      <w:r>
        <w:rPr>
          <w:rFonts w:eastAsiaTheme="minorEastAsia"/>
          <w:lang w:val="es-CO" w:eastAsia="ja-JP"/>
        </w:rPr>
        <w:t>…</w:t>
      </w:r>
    </w:p>
    <w:p w14:paraId="6394FD17" w14:textId="41D0F02D" w:rsidR="002408AC" w:rsidRDefault="000A0C94" w:rsidP="00BB3570">
      <w:pPr>
        <w:autoSpaceDE w:val="0"/>
        <w:autoSpaceDN w:val="0"/>
        <w:adjustRightInd w:val="0"/>
        <w:spacing w:line="400" w:lineRule="atLeast"/>
        <w:jc w:val="both"/>
        <w:rPr>
          <w:rFonts w:eastAsiaTheme="minorEastAsia"/>
          <w:lang w:val="es-CO" w:eastAsia="ja-JP"/>
        </w:rPr>
      </w:pPr>
      <w:r>
        <w:rPr>
          <w:rFonts w:eastAsiaTheme="minorEastAsia"/>
          <w:lang w:val="es-CO" w:eastAsia="ja-JP"/>
        </w:rPr>
        <w:t>No obstante,</w:t>
      </w:r>
      <w:r w:rsidR="002056B9">
        <w:rPr>
          <w:rFonts w:eastAsiaTheme="minorEastAsia"/>
          <w:lang w:val="es-CO" w:eastAsia="ja-JP"/>
        </w:rPr>
        <w:t xml:space="preserve"> como el puntaje AUDIT total es un acumulado de las respuestas de los diferentes dominios no se puede catalogar a una persona en un determinado dominio ya que este puede tener una combinación de factores de riesgo</w:t>
      </w:r>
      <w:r w:rsidR="00BB3570">
        <w:rPr>
          <w:rFonts w:eastAsiaTheme="minorEastAsia"/>
          <w:lang w:val="es-CO" w:eastAsia="ja-JP"/>
        </w:rPr>
        <w:t xml:space="preserve"> que no son percibidos en la clasificación hecha por REFERENCIA. Por esta razón se hace uso del </w:t>
      </w:r>
      <w:r w:rsidR="002408AC">
        <w:rPr>
          <w:rFonts w:eastAsiaTheme="minorEastAsia"/>
          <w:lang w:val="es-CO" w:eastAsia="ja-JP"/>
        </w:rPr>
        <w:t>Análisis de correspondencias múltiple</w:t>
      </w:r>
    </w:p>
    <w:p w14:paraId="48C7E750" w14:textId="5A9AB999" w:rsidR="008B6311" w:rsidRDefault="00E6176B" w:rsidP="00E6176B">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12770FFF" wp14:editId="1CE834B7">
            <wp:extent cx="594360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801C952" w14:textId="77777777" w:rsidR="008B6311" w:rsidRDefault="008B6311" w:rsidP="007E4887">
      <w:pPr>
        <w:autoSpaceDE w:val="0"/>
        <w:autoSpaceDN w:val="0"/>
        <w:adjustRightInd w:val="0"/>
        <w:spacing w:line="400" w:lineRule="atLeast"/>
        <w:rPr>
          <w:rFonts w:eastAsiaTheme="minorEastAsia"/>
          <w:lang w:val="es-CO" w:eastAsia="ja-JP"/>
        </w:rPr>
      </w:pPr>
    </w:p>
    <w:p w14:paraId="65BE51AA" w14:textId="77777777" w:rsidR="002408AC" w:rsidRPr="007E4887" w:rsidRDefault="002408AC"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lastRenderedPageBreak/>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w:t>
      </w:r>
      <w:r w:rsidRPr="00CA6A43">
        <w:rPr>
          <w:color w:val="000000" w:themeColor="text1"/>
        </w:rPr>
        <w:lastRenderedPageBreak/>
        <w:t>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5C223E">
        <w:rPr>
          <w:lang w:val="es-CO"/>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17754">
        <w:rPr>
          <w:lang w:val="es-CO"/>
        </w:rPr>
        <w:lastRenderedPageBreak/>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1"/>
      <w:footerReference w:type="default" r:id="rId2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B08EC" w:rsidRDefault="00FB08EC">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B08EC" w:rsidRDefault="00FB08EC">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0ED93" w14:textId="77777777" w:rsidR="00701B03" w:rsidRDefault="00701B03" w:rsidP="00757E9C">
      <w:r>
        <w:separator/>
      </w:r>
    </w:p>
  </w:endnote>
  <w:endnote w:type="continuationSeparator" w:id="0">
    <w:p w14:paraId="3B10EA00" w14:textId="77777777" w:rsidR="00701B03" w:rsidRDefault="00701B03"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B08EC" w:rsidRDefault="00FB08EC"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3618B">
      <w:rPr>
        <w:rStyle w:val="PageNumber"/>
        <w:noProof/>
      </w:rPr>
      <w:t>43</w:t>
    </w:r>
    <w:r>
      <w:rPr>
        <w:rStyle w:val="PageNumber"/>
      </w:rPr>
      <w:fldChar w:fldCharType="end"/>
    </w:r>
  </w:p>
  <w:p w14:paraId="6F77EF52" w14:textId="77777777" w:rsidR="00FB08EC" w:rsidRDefault="00FB08EC"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6262E" w14:textId="77777777" w:rsidR="00701B03" w:rsidRDefault="00701B03" w:rsidP="00757E9C">
      <w:r>
        <w:separator/>
      </w:r>
    </w:p>
  </w:footnote>
  <w:footnote w:type="continuationSeparator" w:id="0">
    <w:p w14:paraId="0C9790E5" w14:textId="77777777" w:rsidR="00701B03" w:rsidRDefault="00701B03"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3618B"/>
    <w:rsid w:val="00052835"/>
    <w:rsid w:val="00063C8A"/>
    <w:rsid w:val="000774F6"/>
    <w:rsid w:val="0008025D"/>
    <w:rsid w:val="0008088E"/>
    <w:rsid w:val="0009260E"/>
    <w:rsid w:val="00092881"/>
    <w:rsid w:val="000953CF"/>
    <w:rsid w:val="000A0C94"/>
    <w:rsid w:val="000B00D5"/>
    <w:rsid w:val="000B0C84"/>
    <w:rsid w:val="000B58A9"/>
    <w:rsid w:val="000C0257"/>
    <w:rsid w:val="000D4B2E"/>
    <w:rsid w:val="000E146C"/>
    <w:rsid w:val="000E584E"/>
    <w:rsid w:val="000F05CF"/>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C66DD"/>
    <w:rsid w:val="001D0EED"/>
    <w:rsid w:val="001D1ABA"/>
    <w:rsid w:val="001D2098"/>
    <w:rsid w:val="001D3FC7"/>
    <w:rsid w:val="001E0E83"/>
    <w:rsid w:val="001E2476"/>
    <w:rsid w:val="001E57CA"/>
    <w:rsid w:val="001E7A8A"/>
    <w:rsid w:val="001F27AD"/>
    <w:rsid w:val="00204673"/>
    <w:rsid w:val="002056B9"/>
    <w:rsid w:val="0022171A"/>
    <w:rsid w:val="00222C9D"/>
    <w:rsid w:val="00226697"/>
    <w:rsid w:val="00231624"/>
    <w:rsid w:val="002368CB"/>
    <w:rsid w:val="002408AC"/>
    <w:rsid w:val="00243F40"/>
    <w:rsid w:val="00245908"/>
    <w:rsid w:val="002464F2"/>
    <w:rsid w:val="00252241"/>
    <w:rsid w:val="00255BD6"/>
    <w:rsid w:val="00255EB2"/>
    <w:rsid w:val="0026466A"/>
    <w:rsid w:val="002713F1"/>
    <w:rsid w:val="0027455B"/>
    <w:rsid w:val="00276886"/>
    <w:rsid w:val="00285A28"/>
    <w:rsid w:val="00294F18"/>
    <w:rsid w:val="00296019"/>
    <w:rsid w:val="002B0C6B"/>
    <w:rsid w:val="002B2DC8"/>
    <w:rsid w:val="002B3CD7"/>
    <w:rsid w:val="002B458C"/>
    <w:rsid w:val="002B4FFD"/>
    <w:rsid w:val="002C7584"/>
    <w:rsid w:val="002E4CAD"/>
    <w:rsid w:val="002F38C4"/>
    <w:rsid w:val="002F4C58"/>
    <w:rsid w:val="002F4EFA"/>
    <w:rsid w:val="002F73C0"/>
    <w:rsid w:val="00306D8C"/>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D66F2"/>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4F7C09"/>
    <w:rsid w:val="00500F4C"/>
    <w:rsid w:val="00501509"/>
    <w:rsid w:val="00503664"/>
    <w:rsid w:val="0050723B"/>
    <w:rsid w:val="00515473"/>
    <w:rsid w:val="00517167"/>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23E"/>
    <w:rsid w:val="005C2BD5"/>
    <w:rsid w:val="005C5838"/>
    <w:rsid w:val="005D287A"/>
    <w:rsid w:val="005D40F2"/>
    <w:rsid w:val="005D524F"/>
    <w:rsid w:val="005D79F2"/>
    <w:rsid w:val="005E10CA"/>
    <w:rsid w:val="005F1981"/>
    <w:rsid w:val="005F255F"/>
    <w:rsid w:val="0060027A"/>
    <w:rsid w:val="006013C5"/>
    <w:rsid w:val="00603147"/>
    <w:rsid w:val="0060693C"/>
    <w:rsid w:val="00617551"/>
    <w:rsid w:val="00617754"/>
    <w:rsid w:val="0063139C"/>
    <w:rsid w:val="00646F97"/>
    <w:rsid w:val="00652CCC"/>
    <w:rsid w:val="00653075"/>
    <w:rsid w:val="00653233"/>
    <w:rsid w:val="00654A29"/>
    <w:rsid w:val="006641CA"/>
    <w:rsid w:val="00676F3F"/>
    <w:rsid w:val="00686CB6"/>
    <w:rsid w:val="00694FEE"/>
    <w:rsid w:val="006C077F"/>
    <w:rsid w:val="006C0C0E"/>
    <w:rsid w:val="006C4311"/>
    <w:rsid w:val="006C4AB7"/>
    <w:rsid w:val="006D080A"/>
    <w:rsid w:val="006D0B9D"/>
    <w:rsid w:val="006D28FE"/>
    <w:rsid w:val="006D5C9D"/>
    <w:rsid w:val="006D727C"/>
    <w:rsid w:val="00701B03"/>
    <w:rsid w:val="00721BC1"/>
    <w:rsid w:val="0072295B"/>
    <w:rsid w:val="0072356F"/>
    <w:rsid w:val="00723611"/>
    <w:rsid w:val="0073272C"/>
    <w:rsid w:val="007379C9"/>
    <w:rsid w:val="007470EC"/>
    <w:rsid w:val="00755973"/>
    <w:rsid w:val="00757E9C"/>
    <w:rsid w:val="00764CBF"/>
    <w:rsid w:val="007656B2"/>
    <w:rsid w:val="00767E92"/>
    <w:rsid w:val="00770CC7"/>
    <w:rsid w:val="007720FA"/>
    <w:rsid w:val="007800CC"/>
    <w:rsid w:val="00781FE0"/>
    <w:rsid w:val="00783970"/>
    <w:rsid w:val="007913F6"/>
    <w:rsid w:val="00793C72"/>
    <w:rsid w:val="00794A65"/>
    <w:rsid w:val="007A0113"/>
    <w:rsid w:val="007A3982"/>
    <w:rsid w:val="007A5A72"/>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90ACD"/>
    <w:rsid w:val="0089348E"/>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53AC0"/>
    <w:rsid w:val="00963DBD"/>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297A"/>
    <w:rsid w:val="00A85606"/>
    <w:rsid w:val="00A901BC"/>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F100D"/>
    <w:rsid w:val="00AF3650"/>
    <w:rsid w:val="00B17F7D"/>
    <w:rsid w:val="00B21704"/>
    <w:rsid w:val="00B22452"/>
    <w:rsid w:val="00B23E19"/>
    <w:rsid w:val="00B25C5F"/>
    <w:rsid w:val="00B41855"/>
    <w:rsid w:val="00B50214"/>
    <w:rsid w:val="00B62BD0"/>
    <w:rsid w:val="00B70203"/>
    <w:rsid w:val="00B73040"/>
    <w:rsid w:val="00B7379A"/>
    <w:rsid w:val="00B816C7"/>
    <w:rsid w:val="00B81DD4"/>
    <w:rsid w:val="00B8507E"/>
    <w:rsid w:val="00B90A2C"/>
    <w:rsid w:val="00BA25B8"/>
    <w:rsid w:val="00BB2F29"/>
    <w:rsid w:val="00BB3570"/>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3630B"/>
    <w:rsid w:val="00C44E00"/>
    <w:rsid w:val="00C477E9"/>
    <w:rsid w:val="00C508FB"/>
    <w:rsid w:val="00C54ABF"/>
    <w:rsid w:val="00C6143F"/>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778"/>
    <w:rsid w:val="00D15A43"/>
    <w:rsid w:val="00D178B8"/>
    <w:rsid w:val="00D23FBD"/>
    <w:rsid w:val="00D26D81"/>
    <w:rsid w:val="00D32AC3"/>
    <w:rsid w:val="00D36C56"/>
    <w:rsid w:val="00D41B59"/>
    <w:rsid w:val="00D44B75"/>
    <w:rsid w:val="00D474BE"/>
    <w:rsid w:val="00D53ED7"/>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176B"/>
    <w:rsid w:val="00E624CF"/>
    <w:rsid w:val="00E63DB4"/>
    <w:rsid w:val="00E63DC1"/>
    <w:rsid w:val="00E71731"/>
    <w:rsid w:val="00E7394E"/>
    <w:rsid w:val="00E8032F"/>
    <w:rsid w:val="00E82F34"/>
    <w:rsid w:val="00E876F0"/>
    <w:rsid w:val="00E92504"/>
    <w:rsid w:val="00E934E9"/>
    <w:rsid w:val="00E9651E"/>
    <w:rsid w:val="00E96A96"/>
    <w:rsid w:val="00EA02F1"/>
    <w:rsid w:val="00EA32D9"/>
    <w:rsid w:val="00EB15B4"/>
    <w:rsid w:val="00EB1C36"/>
    <w:rsid w:val="00EB2709"/>
    <w:rsid w:val="00EB2B41"/>
    <w:rsid w:val="00EB4E82"/>
    <w:rsid w:val="00EC1945"/>
    <w:rsid w:val="00EC371E"/>
    <w:rsid w:val="00EC404A"/>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68CF"/>
    <w:rsid w:val="00F97E7E"/>
    <w:rsid w:val="00FA0B1C"/>
    <w:rsid w:val="00FA5010"/>
    <w:rsid w:val="00FA6FA1"/>
    <w:rsid w:val="00FA7104"/>
    <w:rsid w:val="00FB08EC"/>
    <w:rsid w:val="00FB2588"/>
    <w:rsid w:val="00FC4EA4"/>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ursos.infodrogas.gub.uy/CIPA/Ponencias/301106-MMonteiro-Presidenc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CEAE073-1FAC-4B50-AA7C-5A0A5067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45</Pages>
  <Words>11401</Words>
  <Characters>62708</Characters>
  <Application>Microsoft Office Word</Application>
  <DocSecurity>0</DocSecurity>
  <Lines>522</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90</cp:revision>
  <dcterms:created xsi:type="dcterms:W3CDTF">2016-03-24T02:53:00Z</dcterms:created>
  <dcterms:modified xsi:type="dcterms:W3CDTF">2016-04-14T12:41:00Z</dcterms:modified>
</cp:coreProperties>
</file>