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853D" w14:textId="77777777" w:rsidR="00F9371B" w:rsidRDefault="00F9371B" w:rsidP="00436D2E">
      <w:pPr>
        <w:spacing w:line="480" w:lineRule="auto"/>
        <w:ind w:firstLine="284"/>
        <w:contextualSpacing/>
        <w:jc w:val="center"/>
      </w:pPr>
    </w:p>
    <w:p w14:paraId="32EA5632" w14:textId="77777777" w:rsidR="00F9371B" w:rsidRDefault="00F9371B" w:rsidP="00436D2E">
      <w:pPr>
        <w:spacing w:line="480" w:lineRule="auto"/>
        <w:ind w:firstLine="284"/>
        <w:contextualSpacing/>
        <w:jc w:val="center"/>
      </w:pPr>
    </w:p>
    <w:p w14:paraId="7D1E8366" w14:textId="3C16DA11" w:rsidR="00436D2E" w:rsidRPr="00436D2E" w:rsidRDefault="00436D2E" w:rsidP="00436D2E">
      <w:pPr>
        <w:spacing w:line="480" w:lineRule="auto"/>
        <w:ind w:firstLine="284"/>
        <w:contextualSpacing/>
        <w:jc w:val="center"/>
        <w:rPr>
          <w:b/>
          <w:sz w:val="28"/>
          <w:szCs w:val="28"/>
        </w:rPr>
      </w:pPr>
      <w:r w:rsidRPr="00EE3934">
        <w:fldChar w:fldCharType="begin"/>
      </w:r>
      <w:r w:rsidRPr="00EE3934">
        <w:instrText xml:space="preserve"> SEQ CHAPTER \h \r 1</w:instrText>
      </w:r>
      <w:r w:rsidRPr="00EE3934">
        <w:fldChar w:fldCharType="end"/>
      </w:r>
      <w:r w:rsidR="00F9371B">
        <w:rPr>
          <w:b/>
        </w:rPr>
        <w:t xml:space="preserve"> </w:t>
      </w:r>
      <w:r w:rsidRPr="00436D2E">
        <w:rPr>
          <w:b/>
          <w:sz w:val="28"/>
          <w:szCs w:val="28"/>
        </w:rPr>
        <w:t>P</w:t>
      </w:r>
      <w:r w:rsidR="00F0717D">
        <w:rPr>
          <w:b/>
          <w:sz w:val="28"/>
          <w:szCs w:val="28"/>
        </w:rPr>
        <w:t xml:space="preserve">ATRONES DE CONSUMO DE ALCOHOL Y SU RELACIÓN CON LA EDAD, EL GÉNERO Y LA CARRERA EN UN GRUPO DE ESTUDIANTES DE UNA UNIVERSIDAD PRIVADA DE LA CIUDAD DE CALI </w:t>
      </w:r>
    </w:p>
    <w:p w14:paraId="07AD25AA" w14:textId="239097DB" w:rsidR="00436D2E" w:rsidRPr="00EE3934" w:rsidRDefault="00436D2E" w:rsidP="00436D2E">
      <w:pPr>
        <w:jc w:val="center"/>
        <w:rPr>
          <w:b/>
          <w:sz w:val="28"/>
          <w:szCs w:val="28"/>
        </w:rPr>
      </w:pPr>
    </w:p>
    <w:p w14:paraId="188A8D27" w14:textId="77777777" w:rsidR="00436D2E" w:rsidRPr="00EE3934" w:rsidRDefault="00436D2E" w:rsidP="00436D2E">
      <w:pPr>
        <w:jc w:val="center"/>
        <w:rPr>
          <w:sz w:val="36"/>
          <w:szCs w:val="36"/>
        </w:rPr>
      </w:pPr>
    </w:p>
    <w:p w14:paraId="1655D2F5" w14:textId="77777777" w:rsidR="00436D2E" w:rsidRPr="00EE3934" w:rsidRDefault="00436D2E" w:rsidP="00436D2E">
      <w:pPr>
        <w:jc w:val="center"/>
        <w:rPr>
          <w:sz w:val="36"/>
          <w:szCs w:val="36"/>
        </w:rPr>
      </w:pPr>
    </w:p>
    <w:p w14:paraId="758AC6E9" w14:textId="77777777" w:rsidR="00436D2E" w:rsidRPr="00EE3934" w:rsidRDefault="00436D2E" w:rsidP="00436D2E">
      <w:pPr>
        <w:jc w:val="center"/>
        <w:rPr>
          <w:sz w:val="36"/>
          <w:szCs w:val="36"/>
        </w:rPr>
      </w:pPr>
    </w:p>
    <w:p w14:paraId="67FDC48A" w14:textId="77777777" w:rsidR="00436D2E" w:rsidRPr="00EE3934" w:rsidRDefault="00436D2E" w:rsidP="00436D2E">
      <w:pPr>
        <w:jc w:val="center"/>
        <w:rPr>
          <w:sz w:val="36"/>
          <w:szCs w:val="36"/>
        </w:rPr>
      </w:pPr>
    </w:p>
    <w:p w14:paraId="0D69D18E" w14:textId="77777777" w:rsidR="00436D2E" w:rsidRPr="00EE3934" w:rsidRDefault="00436D2E" w:rsidP="00436D2E">
      <w:pPr>
        <w:jc w:val="center"/>
        <w:rPr>
          <w:sz w:val="36"/>
          <w:szCs w:val="36"/>
        </w:rPr>
      </w:pPr>
    </w:p>
    <w:p w14:paraId="2F98EBE2" w14:textId="77777777" w:rsidR="00436D2E" w:rsidRPr="00EE3934" w:rsidRDefault="00436D2E" w:rsidP="00436D2E">
      <w:pPr>
        <w:jc w:val="center"/>
        <w:rPr>
          <w:sz w:val="36"/>
          <w:szCs w:val="36"/>
        </w:rPr>
      </w:pPr>
    </w:p>
    <w:p w14:paraId="189E18E4" w14:textId="77777777" w:rsidR="00436D2E" w:rsidRPr="00EE3934" w:rsidRDefault="00436D2E" w:rsidP="00436D2E">
      <w:pPr>
        <w:jc w:val="center"/>
        <w:rPr>
          <w:sz w:val="36"/>
          <w:szCs w:val="36"/>
        </w:rPr>
      </w:pPr>
    </w:p>
    <w:p w14:paraId="042DA9DD" w14:textId="77777777" w:rsidR="00436D2E" w:rsidRPr="00EE3934" w:rsidRDefault="00436D2E" w:rsidP="00436D2E">
      <w:pPr>
        <w:jc w:val="center"/>
        <w:rPr>
          <w:sz w:val="36"/>
          <w:szCs w:val="36"/>
        </w:rPr>
      </w:pPr>
    </w:p>
    <w:p w14:paraId="66DA3E40" w14:textId="77777777" w:rsidR="00436D2E" w:rsidRPr="00EE3934" w:rsidRDefault="00436D2E" w:rsidP="00436D2E">
      <w:pPr>
        <w:jc w:val="center"/>
        <w:rPr>
          <w:sz w:val="36"/>
          <w:szCs w:val="36"/>
        </w:rPr>
      </w:pPr>
    </w:p>
    <w:p w14:paraId="5D931B94" w14:textId="77777777" w:rsidR="00436D2E" w:rsidRDefault="00436D2E" w:rsidP="00436D2E">
      <w:pPr>
        <w:jc w:val="center"/>
        <w:rPr>
          <w:sz w:val="28"/>
          <w:szCs w:val="28"/>
        </w:rPr>
      </w:pPr>
      <w:r w:rsidRPr="00EE3934">
        <w:rPr>
          <w:sz w:val="28"/>
          <w:szCs w:val="28"/>
        </w:rPr>
        <w:tab/>
      </w:r>
    </w:p>
    <w:p w14:paraId="62F97841" w14:textId="77777777" w:rsidR="00F9371B" w:rsidRPr="00EE3934" w:rsidRDefault="00F9371B" w:rsidP="00F9371B">
      <w:pPr>
        <w:rPr>
          <w:sz w:val="36"/>
          <w:szCs w:val="36"/>
        </w:rPr>
      </w:pPr>
    </w:p>
    <w:p w14:paraId="6F0AE0E2" w14:textId="77777777" w:rsidR="00436D2E" w:rsidRPr="00EE3934" w:rsidRDefault="00436D2E" w:rsidP="00436D2E">
      <w:pPr>
        <w:jc w:val="center"/>
        <w:rPr>
          <w:sz w:val="36"/>
          <w:szCs w:val="36"/>
        </w:rPr>
      </w:pPr>
    </w:p>
    <w:p w14:paraId="0F622475" w14:textId="77777777" w:rsidR="00436D2E" w:rsidRPr="00EE3934" w:rsidRDefault="00436D2E" w:rsidP="00436D2E">
      <w:pPr>
        <w:jc w:val="center"/>
        <w:rPr>
          <w:sz w:val="36"/>
          <w:szCs w:val="36"/>
        </w:rPr>
      </w:pPr>
    </w:p>
    <w:p w14:paraId="431D54C6" w14:textId="77777777" w:rsidR="00436D2E" w:rsidRPr="00EE3934" w:rsidRDefault="00436D2E" w:rsidP="00436D2E">
      <w:pPr>
        <w:rPr>
          <w:sz w:val="36"/>
          <w:szCs w:val="36"/>
        </w:rPr>
      </w:pPr>
    </w:p>
    <w:p w14:paraId="16B06DA5" w14:textId="77777777" w:rsidR="00F0717D" w:rsidRDefault="00F0717D" w:rsidP="00F0717D">
      <w:pPr>
        <w:rPr>
          <w:sz w:val="36"/>
          <w:szCs w:val="36"/>
        </w:rPr>
      </w:pPr>
    </w:p>
    <w:p w14:paraId="096B1123" w14:textId="77777777" w:rsidR="00F0717D" w:rsidRDefault="00F0717D" w:rsidP="00F0717D">
      <w:pPr>
        <w:rPr>
          <w:sz w:val="36"/>
          <w:szCs w:val="36"/>
        </w:rPr>
      </w:pPr>
    </w:p>
    <w:p w14:paraId="38C3BC40" w14:textId="77777777" w:rsidR="00F0717D" w:rsidRPr="00EE3934" w:rsidRDefault="00F0717D" w:rsidP="00F0717D">
      <w:pPr>
        <w:rPr>
          <w:sz w:val="36"/>
          <w:szCs w:val="36"/>
        </w:rPr>
      </w:pPr>
    </w:p>
    <w:p w14:paraId="37660E64" w14:textId="77777777" w:rsidR="00436D2E" w:rsidRPr="00EE3934" w:rsidRDefault="00436D2E" w:rsidP="00436D2E">
      <w:pPr>
        <w:jc w:val="center"/>
        <w:rPr>
          <w:sz w:val="36"/>
          <w:szCs w:val="36"/>
        </w:rPr>
      </w:pPr>
    </w:p>
    <w:p w14:paraId="6142D1A4" w14:textId="44CA58A6" w:rsidR="00436D2E" w:rsidRPr="00EE3934" w:rsidRDefault="00436D2E" w:rsidP="00436D2E">
      <w:pPr>
        <w:jc w:val="center"/>
        <w:rPr>
          <w:sz w:val="28"/>
          <w:szCs w:val="28"/>
        </w:rPr>
      </w:pPr>
      <w:r w:rsidRPr="00EE3934">
        <w:rPr>
          <w:sz w:val="28"/>
          <w:szCs w:val="28"/>
        </w:rPr>
        <w:tab/>
        <w:t>Cr</w:t>
      </w:r>
      <w:r w:rsidR="00F0717D">
        <w:rPr>
          <w:sz w:val="28"/>
          <w:szCs w:val="28"/>
        </w:rPr>
        <w:t>istina Aristizábal Dorronsoro</w:t>
      </w:r>
      <w:r w:rsidR="006C2F8D">
        <w:rPr>
          <w:sz w:val="28"/>
          <w:szCs w:val="28"/>
        </w:rPr>
        <w:t>, M.A.</w:t>
      </w:r>
    </w:p>
    <w:p w14:paraId="5B716D13" w14:textId="12D66D53" w:rsidR="00436D2E" w:rsidRPr="00EE3934" w:rsidRDefault="00F0717D" w:rsidP="00436D2E">
      <w:pPr>
        <w:jc w:val="center"/>
        <w:rPr>
          <w:sz w:val="36"/>
          <w:szCs w:val="36"/>
        </w:rPr>
      </w:pPr>
      <w:r>
        <w:rPr>
          <w:sz w:val="28"/>
          <w:szCs w:val="28"/>
        </w:rPr>
        <w:tab/>
        <w:t>Mayo de</w:t>
      </w:r>
      <w:r w:rsidR="00436D2E" w:rsidRPr="00EE3934">
        <w:rPr>
          <w:sz w:val="28"/>
          <w:szCs w:val="28"/>
        </w:rPr>
        <w:t xml:space="preserve"> 20</w:t>
      </w:r>
      <w:r>
        <w:rPr>
          <w:sz w:val="28"/>
          <w:szCs w:val="28"/>
        </w:rPr>
        <w:t>16</w:t>
      </w:r>
    </w:p>
    <w:p w14:paraId="29724C58" w14:textId="77777777" w:rsidR="00436D2E" w:rsidRPr="00EE3934" w:rsidRDefault="00436D2E" w:rsidP="00436D2E">
      <w:pPr>
        <w:jc w:val="center"/>
        <w:rPr>
          <w:sz w:val="36"/>
          <w:szCs w:val="36"/>
        </w:rPr>
      </w:pPr>
    </w:p>
    <w:p w14:paraId="20E788AA" w14:textId="1D247D71" w:rsidR="00436D2E" w:rsidRPr="00680095" w:rsidRDefault="00F0717D" w:rsidP="00436D2E">
      <w:pPr>
        <w:jc w:val="center"/>
        <w:rPr>
          <w:sz w:val="28"/>
          <w:szCs w:val="28"/>
        </w:rPr>
      </w:pPr>
      <w:r>
        <w:rPr>
          <w:sz w:val="28"/>
          <w:szCs w:val="28"/>
        </w:rPr>
        <w:t>Universidad ICESI</w:t>
      </w:r>
    </w:p>
    <w:p w14:paraId="6D729A2D" w14:textId="3FCAF163" w:rsidR="00436D2E" w:rsidRPr="00680095" w:rsidRDefault="00F0717D" w:rsidP="00436D2E">
      <w:pPr>
        <w:jc w:val="center"/>
        <w:rPr>
          <w:sz w:val="28"/>
          <w:szCs w:val="28"/>
        </w:rPr>
      </w:pPr>
      <w:r>
        <w:rPr>
          <w:sz w:val="28"/>
          <w:szCs w:val="28"/>
        </w:rPr>
        <w:t>Programa de Psicología</w:t>
      </w:r>
      <w:r w:rsidR="00436D2E" w:rsidRPr="00680095">
        <w:rPr>
          <w:sz w:val="28"/>
          <w:szCs w:val="28"/>
        </w:rPr>
        <w:t xml:space="preserve"> </w:t>
      </w:r>
    </w:p>
    <w:p w14:paraId="6091A7EE" w14:textId="46CF3B28" w:rsidR="00436D2E" w:rsidRPr="00680095" w:rsidRDefault="00F0717D" w:rsidP="00436D2E">
      <w:pPr>
        <w:jc w:val="center"/>
        <w:rPr>
          <w:sz w:val="28"/>
          <w:szCs w:val="28"/>
        </w:rPr>
      </w:pPr>
      <w:r>
        <w:rPr>
          <w:sz w:val="28"/>
          <w:szCs w:val="28"/>
        </w:rPr>
        <w:t>Trabajo de Grado</w:t>
      </w:r>
    </w:p>
    <w:p w14:paraId="4EE451C4" w14:textId="77777777" w:rsidR="00436D2E" w:rsidRDefault="00436D2E" w:rsidP="00436D2E">
      <w:pPr>
        <w:rPr>
          <w:sz w:val="36"/>
          <w:szCs w:val="36"/>
        </w:rPr>
      </w:pPr>
      <w:r>
        <w:rPr>
          <w:sz w:val="36"/>
          <w:szCs w:val="36"/>
        </w:rPr>
        <w:br w:type="page"/>
      </w:r>
    </w:p>
    <w:p w14:paraId="71891C1B" w14:textId="77777777" w:rsidR="00A57EE8" w:rsidRDefault="00712EA6" w:rsidP="00444C38">
      <w:pPr>
        <w:jc w:val="center"/>
      </w:pPr>
      <w:r>
        <w:lastRenderedPageBreak/>
        <w:t xml:space="preserve">  </w:t>
      </w:r>
    </w:p>
    <w:p w14:paraId="39E6A203" w14:textId="77777777" w:rsidR="00A57EE8" w:rsidRDefault="00A57EE8" w:rsidP="00444C38">
      <w:pPr>
        <w:jc w:val="center"/>
      </w:pPr>
    </w:p>
    <w:p w14:paraId="2B2D6D61" w14:textId="34083504" w:rsidR="00436D2E" w:rsidRPr="00EE3934" w:rsidRDefault="00712EA6" w:rsidP="00444C38">
      <w:pPr>
        <w:jc w:val="center"/>
      </w:pPr>
      <w:r>
        <w:t xml:space="preserve"> </w:t>
      </w:r>
      <w:r w:rsidR="00F0717D">
        <w:t>Copyright © 2016</w:t>
      </w:r>
      <w:r w:rsidR="00436D2E" w:rsidRPr="00EE3934">
        <w:t xml:space="preserve"> </w:t>
      </w:r>
      <w:r w:rsidR="00F0717D">
        <w:t>por Cristina Aristizábal Dorronsoro</w:t>
      </w:r>
      <w:r w:rsidR="00436D2E" w:rsidRPr="00EE3934">
        <w:t>. Todos los derechos reservados.</w:t>
      </w:r>
    </w:p>
    <w:p w14:paraId="08C9E54E" w14:textId="77777777" w:rsidR="00436D2E" w:rsidRPr="00EE3934" w:rsidRDefault="00436D2E" w:rsidP="00436D2E">
      <w:pPr>
        <w:jc w:val="center"/>
      </w:pPr>
    </w:p>
    <w:p w14:paraId="446E8441" w14:textId="77777777" w:rsidR="00436D2E" w:rsidRPr="00EE3934" w:rsidRDefault="00436D2E" w:rsidP="00436D2E">
      <w:pPr>
        <w:jc w:val="center"/>
      </w:pPr>
    </w:p>
    <w:p w14:paraId="5ED47DD0" w14:textId="77777777" w:rsidR="00436D2E" w:rsidRPr="00EE3934" w:rsidRDefault="00436D2E" w:rsidP="00436D2E">
      <w:pPr>
        <w:jc w:val="center"/>
      </w:pPr>
    </w:p>
    <w:p w14:paraId="18EB8A5A" w14:textId="77777777" w:rsidR="00436D2E" w:rsidRPr="00EE3934" w:rsidRDefault="00436D2E" w:rsidP="00436D2E">
      <w:pPr>
        <w:jc w:val="center"/>
      </w:pPr>
    </w:p>
    <w:p w14:paraId="1F2766DB" w14:textId="77777777" w:rsidR="00436D2E" w:rsidRPr="00EE3934" w:rsidRDefault="00436D2E" w:rsidP="00436D2E">
      <w:pPr>
        <w:jc w:val="center"/>
      </w:pPr>
    </w:p>
    <w:p w14:paraId="45A18FF6" w14:textId="77777777" w:rsidR="00436D2E" w:rsidRPr="00EE3934" w:rsidRDefault="00436D2E" w:rsidP="00436D2E">
      <w:pPr>
        <w:jc w:val="center"/>
      </w:pPr>
    </w:p>
    <w:p w14:paraId="621CB73E" w14:textId="77777777" w:rsidR="00436D2E" w:rsidRPr="00EE3934" w:rsidRDefault="00436D2E" w:rsidP="00436D2E">
      <w:pPr>
        <w:jc w:val="center"/>
      </w:pPr>
    </w:p>
    <w:p w14:paraId="02AEAE6D" w14:textId="77777777" w:rsidR="00436D2E" w:rsidRPr="00EE3934" w:rsidRDefault="00436D2E" w:rsidP="00436D2E">
      <w:pPr>
        <w:jc w:val="center"/>
      </w:pPr>
    </w:p>
    <w:p w14:paraId="02664A77" w14:textId="77777777" w:rsidR="00436D2E" w:rsidRPr="00EE3934" w:rsidRDefault="00436D2E" w:rsidP="00436D2E">
      <w:pPr>
        <w:jc w:val="center"/>
      </w:pPr>
    </w:p>
    <w:p w14:paraId="294379EC" w14:textId="77777777" w:rsidR="00436D2E" w:rsidRPr="00EE3934" w:rsidRDefault="00436D2E" w:rsidP="00436D2E">
      <w:pPr>
        <w:jc w:val="center"/>
      </w:pPr>
    </w:p>
    <w:p w14:paraId="1CA9102C" w14:textId="77777777" w:rsidR="00436D2E" w:rsidRPr="00EE3934" w:rsidRDefault="00436D2E" w:rsidP="00436D2E">
      <w:pPr>
        <w:jc w:val="center"/>
      </w:pPr>
    </w:p>
    <w:p w14:paraId="1CDE3816" w14:textId="77777777" w:rsidR="00436D2E" w:rsidRPr="00EE3934" w:rsidRDefault="00436D2E" w:rsidP="00436D2E">
      <w:pPr>
        <w:jc w:val="center"/>
      </w:pPr>
    </w:p>
    <w:p w14:paraId="141A5E24" w14:textId="77777777" w:rsidR="00436D2E" w:rsidRPr="00EE3934" w:rsidRDefault="00436D2E" w:rsidP="00436D2E">
      <w:pPr>
        <w:jc w:val="center"/>
      </w:pPr>
    </w:p>
    <w:p w14:paraId="529A3CC1" w14:textId="77777777" w:rsidR="00436D2E" w:rsidRPr="00EE3934" w:rsidRDefault="00436D2E" w:rsidP="00436D2E">
      <w:pPr>
        <w:jc w:val="center"/>
      </w:pPr>
    </w:p>
    <w:p w14:paraId="0219A25E" w14:textId="77777777" w:rsidR="00436D2E" w:rsidRPr="00EE3934" w:rsidRDefault="00436D2E" w:rsidP="00436D2E">
      <w:pPr>
        <w:ind w:left="90"/>
        <w:jc w:val="center"/>
        <w:rPr>
          <w:b/>
        </w:rPr>
      </w:pPr>
      <w:r w:rsidRPr="00EE3934">
        <w:rPr>
          <w:sz w:val="36"/>
          <w:szCs w:val="36"/>
        </w:rPr>
        <w:br w:type="page"/>
      </w:r>
      <w:r w:rsidRPr="00EE3934">
        <w:rPr>
          <w:b/>
        </w:rPr>
        <w:lastRenderedPageBreak/>
        <w:t>Dedicatoria</w:t>
      </w:r>
    </w:p>
    <w:p w14:paraId="2C7692FE" w14:textId="77777777" w:rsidR="00436D2E" w:rsidRPr="00EE3934" w:rsidRDefault="00436D2E" w:rsidP="00436D2E">
      <w:pPr>
        <w:ind w:left="90"/>
        <w:jc w:val="center"/>
      </w:pPr>
    </w:p>
    <w:p w14:paraId="5BF1DF82" w14:textId="6E5B67A2" w:rsidR="00F0717D" w:rsidRPr="00EE3934" w:rsidRDefault="00436D2E" w:rsidP="00F0717D">
      <w:pPr>
        <w:tabs>
          <w:tab w:val="left" w:pos="90"/>
        </w:tabs>
        <w:ind w:left="90"/>
        <w:jc w:val="center"/>
        <w:rPr>
          <w:sz w:val="36"/>
          <w:szCs w:val="36"/>
        </w:rPr>
      </w:pPr>
      <w:r w:rsidRPr="00EE3934">
        <w:tab/>
      </w:r>
      <w:r w:rsidR="00D3250B">
        <w:t>Dedico el presente</w:t>
      </w:r>
      <w:r w:rsidR="00F0717D">
        <w:t xml:space="preserve"> trabajo a todas las personas que me han apoyado y acompañado en este proceso de transformación y desarrollo personal durant</w:t>
      </w:r>
      <w:r w:rsidR="00F9371B">
        <w:t>e los últimos 13 años de mi existencia</w:t>
      </w:r>
      <w:r w:rsidR="00F0717D">
        <w:t>, pero especialmente al amor de mi vida: mi hija Vanessa, cuyo nacimiento probablemente impul</w:t>
      </w:r>
      <w:r w:rsidR="002A6FBA">
        <w:t>só todo este proceso de cambio y sigue siendo uno de los motores que inspira mi vida.</w:t>
      </w:r>
    </w:p>
    <w:p w14:paraId="531326A0" w14:textId="6819C3C2" w:rsidR="00436D2E" w:rsidRDefault="00436D2E" w:rsidP="00454331">
      <w:pPr>
        <w:tabs>
          <w:tab w:val="left" w:pos="90"/>
        </w:tabs>
        <w:ind w:left="90"/>
        <w:jc w:val="center"/>
        <w:rPr>
          <w:b/>
        </w:rPr>
      </w:pPr>
    </w:p>
    <w:p w14:paraId="20BDBA3E" w14:textId="77777777" w:rsidR="00436D2E" w:rsidRDefault="00436D2E" w:rsidP="005B7C9B">
      <w:pPr>
        <w:spacing w:line="480" w:lineRule="auto"/>
        <w:ind w:firstLine="284"/>
        <w:contextualSpacing/>
        <w:jc w:val="center"/>
        <w:rPr>
          <w:b/>
        </w:rPr>
      </w:pPr>
    </w:p>
    <w:p w14:paraId="299EA881" w14:textId="77777777" w:rsidR="00436D2E" w:rsidRDefault="00436D2E" w:rsidP="005B7C9B">
      <w:pPr>
        <w:spacing w:line="480" w:lineRule="auto"/>
        <w:ind w:firstLine="284"/>
        <w:contextualSpacing/>
        <w:jc w:val="center"/>
        <w:rPr>
          <w:b/>
        </w:rPr>
      </w:pPr>
    </w:p>
    <w:p w14:paraId="46B31762" w14:textId="77777777" w:rsidR="00436D2E" w:rsidRDefault="00436D2E" w:rsidP="005B7C9B">
      <w:pPr>
        <w:spacing w:line="480" w:lineRule="auto"/>
        <w:ind w:firstLine="284"/>
        <w:contextualSpacing/>
        <w:jc w:val="center"/>
        <w:rPr>
          <w:b/>
        </w:rPr>
      </w:pPr>
    </w:p>
    <w:p w14:paraId="5F94DF1E" w14:textId="77777777" w:rsidR="00436D2E" w:rsidRDefault="00436D2E" w:rsidP="005B7C9B">
      <w:pPr>
        <w:spacing w:line="480" w:lineRule="auto"/>
        <w:ind w:firstLine="284"/>
        <w:contextualSpacing/>
        <w:jc w:val="center"/>
        <w:rPr>
          <w:b/>
        </w:rPr>
      </w:pPr>
    </w:p>
    <w:p w14:paraId="6D407DE7" w14:textId="77777777" w:rsidR="00436D2E" w:rsidRDefault="00436D2E" w:rsidP="005B7C9B">
      <w:pPr>
        <w:spacing w:line="480" w:lineRule="auto"/>
        <w:ind w:firstLine="284"/>
        <w:contextualSpacing/>
        <w:jc w:val="center"/>
        <w:rPr>
          <w:b/>
        </w:rPr>
      </w:pPr>
    </w:p>
    <w:p w14:paraId="5E2AF85C" w14:textId="77777777" w:rsidR="00436D2E" w:rsidRDefault="00436D2E" w:rsidP="005B7C9B">
      <w:pPr>
        <w:spacing w:line="480" w:lineRule="auto"/>
        <w:ind w:firstLine="284"/>
        <w:contextualSpacing/>
        <w:jc w:val="center"/>
        <w:rPr>
          <w:b/>
        </w:rPr>
      </w:pPr>
    </w:p>
    <w:p w14:paraId="3186BB90" w14:textId="77777777" w:rsidR="00436D2E" w:rsidRDefault="00436D2E" w:rsidP="005B7C9B">
      <w:pPr>
        <w:spacing w:line="480" w:lineRule="auto"/>
        <w:ind w:firstLine="284"/>
        <w:contextualSpacing/>
        <w:jc w:val="center"/>
        <w:rPr>
          <w:b/>
        </w:rPr>
      </w:pPr>
    </w:p>
    <w:p w14:paraId="18D64A7F" w14:textId="77777777" w:rsidR="00436D2E" w:rsidRDefault="00436D2E" w:rsidP="005B7C9B">
      <w:pPr>
        <w:spacing w:line="480" w:lineRule="auto"/>
        <w:ind w:firstLine="284"/>
        <w:contextualSpacing/>
        <w:jc w:val="center"/>
        <w:rPr>
          <w:b/>
        </w:rPr>
      </w:pPr>
    </w:p>
    <w:p w14:paraId="6FF4B30A" w14:textId="77777777" w:rsidR="00436D2E" w:rsidRDefault="00436D2E" w:rsidP="005B7C9B">
      <w:pPr>
        <w:spacing w:line="480" w:lineRule="auto"/>
        <w:ind w:firstLine="284"/>
        <w:contextualSpacing/>
        <w:jc w:val="center"/>
        <w:rPr>
          <w:b/>
        </w:rPr>
      </w:pPr>
    </w:p>
    <w:p w14:paraId="19857CB9" w14:textId="77777777" w:rsidR="00436D2E" w:rsidRDefault="00436D2E" w:rsidP="005B7C9B">
      <w:pPr>
        <w:spacing w:line="480" w:lineRule="auto"/>
        <w:ind w:firstLine="284"/>
        <w:contextualSpacing/>
        <w:jc w:val="center"/>
        <w:rPr>
          <w:b/>
        </w:rPr>
      </w:pPr>
    </w:p>
    <w:p w14:paraId="310E82E0" w14:textId="77777777" w:rsidR="00436D2E" w:rsidRDefault="00436D2E" w:rsidP="005B7C9B">
      <w:pPr>
        <w:spacing w:line="480" w:lineRule="auto"/>
        <w:ind w:firstLine="284"/>
        <w:contextualSpacing/>
        <w:jc w:val="center"/>
        <w:rPr>
          <w:b/>
        </w:rPr>
      </w:pPr>
    </w:p>
    <w:p w14:paraId="14BF91A9" w14:textId="77777777" w:rsidR="00436D2E" w:rsidRDefault="00436D2E" w:rsidP="005B7C9B">
      <w:pPr>
        <w:spacing w:line="480" w:lineRule="auto"/>
        <w:ind w:firstLine="284"/>
        <w:contextualSpacing/>
        <w:jc w:val="center"/>
        <w:rPr>
          <w:b/>
        </w:rPr>
      </w:pPr>
    </w:p>
    <w:p w14:paraId="1443C269" w14:textId="77777777" w:rsidR="00436D2E" w:rsidRDefault="00436D2E" w:rsidP="005B7C9B">
      <w:pPr>
        <w:spacing w:line="480" w:lineRule="auto"/>
        <w:ind w:firstLine="284"/>
        <w:contextualSpacing/>
        <w:jc w:val="center"/>
        <w:rPr>
          <w:b/>
        </w:rPr>
      </w:pPr>
    </w:p>
    <w:p w14:paraId="0685EA99" w14:textId="77777777" w:rsidR="00436D2E" w:rsidRDefault="00436D2E" w:rsidP="005B7C9B">
      <w:pPr>
        <w:spacing w:line="480" w:lineRule="auto"/>
        <w:ind w:firstLine="284"/>
        <w:contextualSpacing/>
        <w:jc w:val="center"/>
        <w:rPr>
          <w:b/>
        </w:rPr>
      </w:pPr>
    </w:p>
    <w:p w14:paraId="5A85A8C0" w14:textId="77777777" w:rsidR="00436D2E" w:rsidRDefault="00436D2E" w:rsidP="005B7C9B">
      <w:pPr>
        <w:spacing w:line="480" w:lineRule="auto"/>
        <w:ind w:firstLine="284"/>
        <w:contextualSpacing/>
        <w:jc w:val="center"/>
        <w:rPr>
          <w:b/>
        </w:rPr>
      </w:pPr>
    </w:p>
    <w:p w14:paraId="54A7BE4B" w14:textId="77777777" w:rsidR="00436D2E" w:rsidRDefault="00436D2E" w:rsidP="005B7C9B">
      <w:pPr>
        <w:spacing w:line="480" w:lineRule="auto"/>
        <w:ind w:firstLine="284"/>
        <w:contextualSpacing/>
        <w:jc w:val="center"/>
        <w:rPr>
          <w:b/>
        </w:rPr>
      </w:pPr>
    </w:p>
    <w:p w14:paraId="423C1657" w14:textId="77777777" w:rsidR="00436D2E" w:rsidRDefault="00436D2E" w:rsidP="005B7C9B">
      <w:pPr>
        <w:spacing w:line="480" w:lineRule="auto"/>
        <w:ind w:firstLine="284"/>
        <w:contextualSpacing/>
        <w:jc w:val="center"/>
        <w:rPr>
          <w:b/>
        </w:rPr>
      </w:pPr>
    </w:p>
    <w:p w14:paraId="1631F24E" w14:textId="77777777" w:rsidR="00436D2E" w:rsidRDefault="00436D2E" w:rsidP="005B7C9B">
      <w:pPr>
        <w:spacing w:line="480" w:lineRule="auto"/>
        <w:ind w:firstLine="284"/>
        <w:contextualSpacing/>
        <w:jc w:val="center"/>
        <w:rPr>
          <w:b/>
        </w:rPr>
      </w:pPr>
    </w:p>
    <w:p w14:paraId="152966FE" w14:textId="77777777" w:rsidR="00436D2E" w:rsidRDefault="00436D2E" w:rsidP="005B7C9B">
      <w:pPr>
        <w:spacing w:line="480" w:lineRule="auto"/>
        <w:ind w:firstLine="284"/>
        <w:contextualSpacing/>
        <w:jc w:val="center"/>
        <w:rPr>
          <w:b/>
        </w:rPr>
      </w:pPr>
    </w:p>
    <w:p w14:paraId="7060CAC7" w14:textId="77777777" w:rsidR="00436D2E" w:rsidRDefault="00436D2E" w:rsidP="005B7C9B">
      <w:pPr>
        <w:spacing w:line="480" w:lineRule="auto"/>
        <w:ind w:firstLine="284"/>
        <w:contextualSpacing/>
        <w:jc w:val="center"/>
        <w:rPr>
          <w:b/>
        </w:rPr>
      </w:pPr>
    </w:p>
    <w:p w14:paraId="4C503073" w14:textId="77777777" w:rsidR="00436D2E" w:rsidRDefault="00436D2E" w:rsidP="005B7C9B">
      <w:pPr>
        <w:spacing w:line="480" w:lineRule="auto"/>
        <w:ind w:firstLine="284"/>
        <w:contextualSpacing/>
        <w:jc w:val="center"/>
        <w:rPr>
          <w:b/>
        </w:rPr>
      </w:pPr>
    </w:p>
    <w:sdt>
      <w:sdtPr>
        <w:rPr>
          <w:rFonts w:asciiTheme="minorHAnsi" w:eastAsiaTheme="minorEastAsia" w:hAnsiTheme="minorHAnsi" w:cstheme="minorBidi"/>
          <w:b w:val="0"/>
          <w:bCs w:val="0"/>
          <w:color w:val="auto"/>
          <w:kern w:val="2"/>
          <w:sz w:val="24"/>
          <w:szCs w:val="24"/>
          <w:lang w:val="es-ES"/>
        </w:rPr>
        <w:id w:val="-506141425"/>
        <w:docPartObj>
          <w:docPartGallery w:val="Table of Contents"/>
          <w:docPartUnique/>
        </w:docPartObj>
      </w:sdtPr>
      <w:sdtEndPr>
        <w:rPr>
          <w:rFonts w:ascii="Times New Roman" w:eastAsia="Times New Roman" w:hAnsi="Times New Roman" w:cs="Times New Roman"/>
          <w:kern w:val="0"/>
        </w:rPr>
      </w:sdtEndPr>
      <w:sdtContent>
        <w:sdt>
          <w:sdtPr>
            <w:rPr>
              <w:rFonts w:asciiTheme="minorHAnsi" w:eastAsiaTheme="minorEastAsia" w:hAnsiTheme="minorHAnsi" w:cstheme="minorBidi"/>
              <w:b w:val="0"/>
              <w:bCs w:val="0"/>
              <w:color w:val="auto"/>
              <w:kern w:val="2"/>
              <w:sz w:val="24"/>
              <w:szCs w:val="24"/>
              <w:lang w:val="es-ES"/>
            </w:rPr>
            <w:id w:val="284017964"/>
          </w:sdtPr>
          <w:sdtEndPr>
            <w:rPr>
              <w:rFonts w:ascii="Times New Roman" w:eastAsia="Times New Roman" w:hAnsi="Times New Roman" w:cs="Times New Roman"/>
              <w:kern w:val="0"/>
            </w:rPr>
          </w:sdtEndPr>
          <w:sdtContent>
            <w:p w14:paraId="530DF687" w14:textId="5E4EA43B" w:rsidR="00444C38" w:rsidRPr="0011205F" w:rsidRDefault="00CA5D7F" w:rsidP="00CA5D7F">
              <w:pPr>
                <w:pStyle w:val="TOCHeading"/>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t>TABLA DE CONTENIDO</w:t>
              </w:r>
            </w:p>
            <w:p w14:paraId="44FDDFB3" w14:textId="77777777" w:rsidR="00CA5D7F" w:rsidRDefault="00CA5D7F" w:rsidP="00CA5D7F">
              <w:pPr>
                <w:pStyle w:val="TOC1"/>
                <w:spacing w:line="480" w:lineRule="auto"/>
                <w:rPr>
                  <w:rFonts w:ascii="Times New Roman" w:hAnsi="Times New Roman"/>
                  <w:b w:val="0"/>
                </w:rPr>
              </w:pPr>
            </w:p>
            <w:p w14:paraId="00D3B162" w14:textId="222966A1" w:rsidR="00B7289C" w:rsidRPr="00A050FD" w:rsidRDefault="0011205F" w:rsidP="00A050FD">
              <w:pPr>
                <w:pStyle w:val="TOC1"/>
                <w:spacing w:line="480" w:lineRule="auto"/>
                <w:rPr>
                  <w:rFonts w:ascii="Times New Roman" w:hAnsi="Times New Roman"/>
                  <w:b w:val="0"/>
                </w:rPr>
              </w:pPr>
              <w:r w:rsidRPr="00CA5D7F">
                <w:rPr>
                  <w:rFonts w:ascii="Times New Roman" w:hAnsi="Times New Roman"/>
                  <w:b w:val="0"/>
                </w:rPr>
                <w:t>Introducción</w:t>
              </w:r>
              <w:r w:rsidR="00444C38" w:rsidRPr="00CA5D7F">
                <w:rPr>
                  <w:rFonts w:ascii="Times New Roman" w:hAnsi="Times New Roman"/>
                  <w:b w:val="0"/>
                </w:rPr>
                <w:ptab w:relativeTo="margin" w:alignment="right" w:leader="dot"/>
              </w:r>
              <w:r w:rsidR="00444C38" w:rsidRPr="00CA5D7F">
                <w:rPr>
                  <w:rFonts w:ascii="Times New Roman" w:hAnsi="Times New Roman"/>
                  <w:b w:val="0"/>
                </w:rPr>
                <w:t>1</w:t>
              </w:r>
            </w:p>
            <w:p w14:paraId="3A7AC3C8" w14:textId="29530136" w:rsidR="00A050FD" w:rsidRPr="00A050FD" w:rsidRDefault="00A050FD" w:rsidP="00A050FD">
              <w:pPr>
                <w:pStyle w:val="TOC1"/>
                <w:spacing w:line="480" w:lineRule="auto"/>
                <w:rPr>
                  <w:rFonts w:ascii="Times New Roman" w:hAnsi="Times New Roman"/>
                  <w:b w:val="0"/>
                </w:rPr>
              </w:pPr>
              <w:r>
                <w:rPr>
                  <w:b w:val="0"/>
                </w:rPr>
                <w:t xml:space="preserve">1. </w:t>
              </w:r>
              <w:r w:rsidRPr="00A050FD">
                <w:rPr>
                  <w:b w:val="0"/>
                </w:rPr>
                <w:t>Pregunta de Investigación</w:t>
              </w:r>
              <w:r>
                <w:t xml:space="preserve"> </w:t>
              </w:r>
              <w:r w:rsidRPr="00CA5D7F">
                <w:rPr>
                  <w:rFonts w:ascii="Times New Roman" w:hAnsi="Times New Roman"/>
                  <w:b w:val="0"/>
                </w:rPr>
                <w:ptab w:relativeTo="margin" w:alignment="right" w:leader="dot"/>
              </w:r>
              <w:r w:rsidRPr="00CA5D7F">
                <w:rPr>
                  <w:rFonts w:ascii="Times New Roman" w:hAnsi="Times New Roman"/>
                  <w:b w:val="0"/>
                </w:rPr>
                <w:t>1</w:t>
              </w:r>
            </w:p>
            <w:p w14:paraId="61B3C657" w14:textId="70623C79" w:rsidR="00A050FD" w:rsidRPr="00A050FD" w:rsidRDefault="00A050FD" w:rsidP="00A050FD">
              <w:pPr>
                <w:pStyle w:val="TOC1"/>
                <w:spacing w:line="480" w:lineRule="auto"/>
                <w:rPr>
                  <w:rFonts w:ascii="Times New Roman" w:hAnsi="Times New Roman"/>
                  <w:b w:val="0"/>
                </w:rPr>
              </w:pPr>
              <w:r>
                <w:rPr>
                  <w:b w:val="0"/>
                </w:rPr>
                <w:t xml:space="preserve">2. </w:t>
              </w:r>
              <w:r w:rsidRPr="00A050FD">
                <w:rPr>
                  <w:b w:val="0"/>
                </w:rPr>
                <w:t>Objetivos</w:t>
              </w:r>
              <w:r w:rsidRPr="00CA5D7F">
                <w:rPr>
                  <w:rFonts w:ascii="Times New Roman" w:hAnsi="Times New Roman"/>
                  <w:b w:val="0"/>
                </w:rPr>
                <w:ptab w:relativeTo="margin" w:alignment="right" w:leader="dot"/>
              </w:r>
              <w:r w:rsidRPr="00CA5D7F">
                <w:rPr>
                  <w:rFonts w:ascii="Times New Roman" w:hAnsi="Times New Roman"/>
                  <w:b w:val="0"/>
                </w:rPr>
                <w:t>1</w:t>
              </w:r>
            </w:p>
            <w:p w14:paraId="5E9C9628" w14:textId="23563664" w:rsidR="00A050FD" w:rsidRPr="00A050FD" w:rsidRDefault="00A050FD" w:rsidP="00A050FD">
              <w:pPr>
                <w:pStyle w:val="TOC1"/>
                <w:spacing w:line="480" w:lineRule="auto"/>
                <w:rPr>
                  <w:rFonts w:ascii="Times New Roman" w:hAnsi="Times New Roman"/>
                  <w:b w:val="0"/>
                </w:rPr>
              </w:pPr>
              <w:r w:rsidRPr="00A050FD">
                <w:rPr>
                  <w:b w:val="0"/>
                </w:rPr>
                <w:tab/>
                <w:t>2.1 Objetivo General</w:t>
              </w:r>
              <w:r w:rsidRPr="00A050FD">
                <w:rPr>
                  <w:rFonts w:ascii="Times New Roman" w:hAnsi="Times New Roman"/>
                  <w:b w:val="0"/>
                </w:rPr>
                <w:ptab w:relativeTo="margin" w:alignment="right" w:leader="dot"/>
              </w:r>
              <w:r w:rsidRPr="00A050FD">
                <w:rPr>
                  <w:rFonts w:ascii="Times New Roman" w:hAnsi="Times New Roman"/>
                  <w:b w:val="0"/>
                </w:rPr>
                <w:t>1</w:t>
              </w:r>
            </w:p>
            <w:p w14:paraId="0E2E6419" w14:textId="307F6BC5" w:rsidR="00A050FD" w:rsidRPr="00A050FD" w:rsidRDefault="00A050FD" w:rsidP="00A050FD">
              <w:pPr>
                <w:pStyle w:val="TOC1"/>
                <w:spacing w:line="480" w:lineRule="auto"/>
                <w:rPr>
                  <w:rFonts w:ascii="Times New Roman" w:hAnsi="Times New Roman"/>
                  <w:b w:val="0"/>
                </w:rPr>
              </w:pPr>
              <w:r w:rsidRPr="00A050FD">
                <w:rPr>
                  <w:b w:val="0"/>
                </w:rPr>
                <w:tab/>
              </w:r>
              <w:r>
                <w:rPr>
                  <w:b w:val="0"/>
                </w:rPr>
                <w:t xml:space="preserve">2.2 </w:t>
              </w:r>
              <w:r w:rsidRPr="00A050FD">
                <w:rPr>
                  <w:b w:val="0"/>
                </w:rPr>
                <w:t>Objetivos Específicos</w:t>
              </w:r>
              <w:r w:rsidRPr="00A050FD">
                <w:rPr>
                  <w:rFonts w:ascii="Times New Roman" w:hAnsi="Times New Roman"/>
                  <w:b w:val="0"/>
                </w:rPr>
                <w:ptab w:relativeTo="margin" w:alignment="right" w:leader="dot"/>
              </w:r>
              <w:r w:rsidRPr="00A050FD">
                <w:rPr>
                  <w:rFonts w:ascii="Times New Roman" w:hAnsi="Times New Roman"/>
                  <w:b w:val="0"/>
                </w:rPr>
                <w:t>1</w:t>
              </w:r>
            </w:p>
            <w:p w14:paraId="0545B3F4" w14:textId="56702DEF" w:rsidR="00A050FD" w:rsidRPr="00A050FD" w:rsidRDefault="00A050FD" w:rsidP="00A050FD">
              <w:pPr>
                <w:pStyle w:val="TOC1"/>
                <w:spacing w:line="480" w:lineRule="auto"/>
                <w:rPr>
                  <w:rFonts w:ascii="Times New Roman" w:hAnsi="Times New Roman"/>
                  <w:b w:val="0"/>
                </w:rPr>
              </w:pPr>
              <w:r>
                <w:rPr>
                  <w:b w:val="0"/>
                </w:rPr>
                <w:t xml:space="preserve">3. </w:t>
              </w:r>
              <w:r w:rsidRPr="00A050FD">
                <w:rPr>
                  <w:b w:val="0"/>
                </w:rPr>
                <w:t>Hipótesis</w:t>
              </w:r>
              <w:r>
                <w:t xml:space="preserve"> </w:t>
              </w:r>
              <w:r w:rsidRPr="00CA5D7F">
                <w:rPr>
                  <w:rFonts w:ascii="Times New Roman" w:hAnsi="Times New Roman"/>
                  <w:b w:val="0"/>
                </w:rPr>
                <w:ptab w:relativeTo="margin" w:alignment="right" w:leader="dot"/>
              </w:r>
              <w:r w:rsidRPr="00CA5D7F">
                <w:rPr>
                  <w:rFonts w:ascii="Times New Roman" w:hAnsi="Times New Roman"/>
                  <w:b w:val="0"/>
                </w:rPr>
                <w:t>1</w:t>
              </w:r>
            </w:p>
            <w:p w14:paraId="5448B7DE" w14:textId="289F1520" w:rsidR="00B7289C" w:rsidRPr="00A050FD" w:rsidRDefault="00A050FD" w:rsidP="00A050FD">
              <w:pPr>
                <w:spacing w:line="480" w:lineRule="auto"/>
              </w:pPr>
              <w:r>
                <w:t xml:space="preserve">4. </w:t>
              </w:r>
              <w:r w:rsidR="00CA5D7F" w:rsidRPr="00CA5D7F">
                <w:t>Marco Teórico</w:t>
              </w:r>
              <w:r w:rsidR="00444C38" w:rsidRPr="00CA5D7F">
                <w:ptab w:relativeTo="margin" w:alignment="right" w:leader="dot"/>
              </w:r>
              <w:r w:rsidR="00444C38" w:rsidRPr="00CA5D7F">
                <w:t>2</w:t>
              </w:r>
            </w:p>
            <w:p w14:paraId="7F8DDFE8" w14:textId="478938F1" w:rsidR="00B7289C" w:rsidRPr="00A050FD" w:rsidRDefault="00CA5D7F" w:rsidP="00A050FD">
              <w:pPr>
                <w:pStyle w:val="TOC1"/>
                <w:spacing w:line="480" w:lineRule="auto"/>
                <w:rPr>
                  <w:rFonts w:ascii="Times New Roman" w:hAnsi="Times New Roman"/>
                  <w:b w:val="0"/>
                </w:rPr>
              </w:pPr>
              <w:r>
                <w:rPr>
                  <w:rFonts w:ascii="Times New Roman" w:hAnsi="Times New Roman"/>
                  <w:b w:val="0"/>
                </w:rPr>
                <w:t>Diseño de Investigación</w:t>
              </w:r>
              <w:r w:rsidR="00444C38" w:rsidRPr="00CA5D7F">
                <w:rPr>
                  <w:rFonts w:ascii="Times New Roman" w:hAnsi="Times New Roman"/>
                  <w:b w:val="0"/>
                </w:rPr>
                <w:ptab w:relativeTo="margin" w:alignment="right" w:leader="dot"/>
              </w:r>
              <w:r w:rsidR="00444C38" w:rsidRPr="00CA5D7F">
                <w:rPr>
                  <w:rFonts w:ascii="Times New Roman" w:hAnsi="Times New Roman"/>
                  <w:b w:val="0"/>
                </w:rPr>
                <w:t>4</w:t>
              </w:r>
            </w:p>
            <w:p w14:paraId="6E16A974" w14:textId="1F95859D" w:rsidR="00CA5D7F" w:rsidRPr="00CA5D7F" w:rsidRDefault="00CA5D7F" w:rsidP="00CA5D7F">
              <w:pPr>
                <w:spacing w:line="480" w:lineRule="auto"/>
              </w:pPr>
              <w:r>
                <w:t>Método</w:t>
              </w:r>
            </w:p>
            <w:p w14:paraId="38D695D1" w14:textId="3B8C4223" w:rsidR="00444C38" w:rsidRDefault="00CA5D7F" w:rsidP="00CA5D7F">
              <w:pPr>
                <w:pStyle w:val="TOC2"/>
                <w:spacing w:line="480" w:lineRule="auto"/>
                <w:rPr>
                  <w:rFonts w:ascii="Times New Roman" w:hAnsi="Times New Roman"/>
                  <w:b w:val="0"/>
                  <w:sz w:val="24"/>
                  <w:szCs w:val="24"/>
                </w:rPr>
              </w:pPr>
              <w:r>
                <w:rPr>
                  <w:rFonts w:ascii="Times New Roman" w:hAnsi="Times New Roman"/>
                  <w:b w:val="0"/>
                  <w:sz w:val="24"/>
                  <w:szCs w:val="24"/>
                </w:rPr>
                <w:t xml:space="preserve"> Participantes</w:t>
              </w:r>
              <w:r w:rsidR="00444C38" w:rsidRPr="00CA5D7F">
                <w:rPr>
                  <w:rFonts w:ascii="Times New Roman" w:hAnsi="Times New Roman"/>
                  <w:b w:val="0"/>
                  <w:sz w:val="24"/>
                  <w:szCs w:val="24"/>
                </w:rPr>
                <w:ptab w:relativeTo="margin" w:alignment="right" w:leader="dot"/>
              </w:r>
              <w:r w:rsidR="00444C38" w:rsidRPr="00CA5D7F">
                <w:rPr>
                  <w:rFonts w:ascii="Times New Roman" w:hAnsi="Times New Roman"/>
                  <w:b w:val="0"/>
                  <w:sz w:val="24"/>
                  <w:szCs w:val="24"/>
                </w:rPr>
                <w:t>5</w:t>
              </w:r>
            </w:p>
            <w:p w14:paraId="1FA3D664" w14:textId="08702722" w:rsidR="00CA5D7F" w:rsidRDefault="00CA5D7F" w:rsidP="00CA5D7F">
              <w:pPr>
                <w:spacing w:line="480" w:lineRule="auto"/>
              </w:pPr>
              <w:r>
                <w:tab/>
                <w:t>Instrumento</w:t>
              </w:r>
              <w:r w:rsidRPr="00CA5D7F">
                <w:ptab w:relativeTo="margin" w:alignment="right" w:leader="dot"/>
              </w:r>
              <w:r w:rsidRPr="00CA5D7F">
                <w:t>2</w:t>
              </w:r>
            </w:p>
            <w:p w14:paraId="6B648BEC" w14:textId="508FE234" w:rsidR="00CA5D7F" w:rsidRDefault="00CA5D7F" w:rsidP="00CA5D7F">
              <w:pPr>
                <w:spacing w:line="480" w:lineRule="auto"/>
              </w:pPr>
              <w:r>
                <w:tab/>
                <w:t>Procedimiento</w:t>
              </w:r>
              <w:r w:rsidRPr="00CA5D7F">
                <w:ptab w:relativeTo="margin" w:alignment="right" w:leader="dot"/>
              </w:r>
              <w:r w:rsidRPr="00CA5D7F">
                <w:t>2</w:t>
              </w:r>
            </w:p>
            <w:p w14:paraId="031D3F81" w14:textId="44EC1587" w:rsidR="00CA5D7F" w:rsidRDefault="00CA5D7F" w:rsidP="00CA5D7F">
              <w:pPr>
                <w:spacing w:line="480" w:lineRule="auto"/>
              </w:pPr>
              <w:r>
                <w:tab/>
                <w:t>Análisis de Datos</w:t>
              </w:r>
              <w:r w:rsidRPr="00CA5D7F">
                <w:ptab w:relativeTo="margin" w:alignment="right" w:leader="dot"/>
              </w:r>
              <w:r w:rsidRPr="00CA5D7F">
                <w:t>2</w:t>
              </w:r>
            </w:p>
            <w:p w14:paraId="73306BE4" w14:textId="6B572EED" w:rsidR="00CA5D7F" w:rsidRDefault="00A84C67" w:rsidP="00CA5D7F">
              <w:pPr>
                <w:spacing w:line="480" w:lineRule="auto"/>
              </w:pPr>
              <w:r>
                <w:t>Resultados</w:t>
              </w:r>
              <w:r w:rsidR="00CA5D7F" w:rsidRPr="00CA5D7F">
                <w:ptab w:relativeTo="margin" w:alignment="right" w:leader="dot"/>
              </w:r>
              <w:r w:rsidR="00CA5D7F" w:rsidRPr="00CA5D7F">
                <w:t>2</w:t>
              </w:r>
            </w:p>
            <w:p w14:paraId="33C0FC9E" w14:textId="5951D576" w:rsidR="00CA5D7F" w:rsidRDefault="00CA5D7F" w:rsidP="00CA5D7F">
              <w:pPr>
                <w:spacing w:line="480" w:lineRule="auto"/>
              </w:pPr>
              <w:r>
                <w:t>Conclusiones y Discusión</w:t>
              </w:r>
              <w:r w:rsidRPr="00CA5D7F">
                <w:ptab w:relativeTo="margin" w:alignment="right" w:leader="dot"/>
              </w:r>
              <w:r w:rsidRPr="00CA5D7F">
                <w:t>2</w:t>
              </w:r>
            </w:p>
            <w:p w14:paraId="55E56631" w14:textId="3FC03184" w:rsidR="00CA5D7F" w:rsidRPr="00CA5D7F" w:rsidRDefault="00CA5D7F" w:rsidP="00CA5D7F">
              <w:pPr>
                <w:spacing w:line="480" w:lineRule="auto"/>
              </w:pPr>
              <w:r>
                <w:t>Bibliografía</w:t>
              </w:r>
              <w:r w:rsidR="00C4752C">
                <w:t xml:space="preserve"> </w:t>
              </w:r>
              <w:r w:rsidRPr="00CA5D7F">
                <w:ptab w:relativeTo="margin" w:alignment="right" w:leader="dot"/>
              </w:r>
              <w:r w:rsidRPr="00CA5D7F">
                <w:t>2</w:t>
              </w:r>
            </w:p>
            <w:p w14:paraId="1B3E37F0" w14:textId="39A9DFDC" w:rsidR="00444C38" w:rsidRPr="0011205F" w:rsidRDefault="00A80F0C" w:rsidP="00CA5D7F">
              <w:pPr>
                <w:pStyle w:val="TOC3"/>
                <w:spacing w:line="480" w:lineRule="auto"/>
                <w:rPr>
                  <w:rFonts w:ascii="Times New Roman" w:hAnsi="Times New Roman"/>
                  <w:sz w:val="24"/>
                  <w:szCs w:val="24"/>
                </w:rPr>
              </w:pPr>
            </w:p>
          </w:sdtContent>
        </w:sdt>
      </w:sdtContent>
    </w:sdt>
    <w:p w14:paraId="3F902496" w14:textId="77777777" w:rsidR="00454331" w:rsidRDefault="00454331" w:rsidP="00454331">
      <w:pPr>
        <w:spacing w:line="480" w:lineRule="auto"/>
        <w:contextualSpacing/>
        <w:jc w:val="both"/>
      </w:pPr>
    </w:p>
    <w:p w14:paraId="17D85707" w14:textId="77777777" w:rsidR="00454331" w:rsidRDefault="00454331" w:rsidP="00454331">
      <w:pPr>
        <w:spacing w:line="480" w:lineRule="auto"/>
        <w:contextualSpacing/>
        <w:jc w:val="both"/>
      </w:pPr>
    </w:p>
    <w:p w14:paraId="491ED1BA" w14:textId="77777777" w:rsidR="00454331" w:rsidRDefault="00454331" w:rsidP="00454331">
      <w:pPr>
        <w:spacing w:line="480" w:lineRule="auto"/>
        <w:contextualSpacing/>
        <w:jc w:val="both"/>
      </w:pPr>
    </w:p>
    <w:p w14:paraId="73D9D4FD" w14:textId="77777777" w:rsidR="00D74432" w:rsidRDefault="00D74432">
      <w:pPr>
        <w:pStyle w:val="TableofFigures"/>
        <w:tabs>
          <w:tab w:val="right" w:leader="dot" w:pos="9010"/>
        </w:tabs>
      </w:pPr>
    </w:p>
    <w:p w14:paraId="06CCDF21" w14:textId="77777777" w:rsidR="00D74432" w:rsidRDefault="00D74432">
      <w:pPr>
        <w:pStyle w:val="TableofFigures"/>
        <w:tabs>
          <w:tab w:val="right" w:leader="dot" w:pos="9010"/>
        </w:tabs>
      </w:pPr>
    </w:p>
    <w:p w14:paraId="3DD20A8F" w14:textId="28DDAB33" w:rsidR="00D74432" w:rsidRPr="0011205F" w:rsidRDefault="00D74432" w:rsidP="00D74432">
      <w:pPr>
        <w:pStyle w:val="TOCHeading"/>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lastRenderedPageBreak/>
        <w:t>INDICE DE FIGURAS</w:t>
      </w:r>
    </w:p>
    <w:p w14:paraId="7C98BA25" w14:textId="77777777" w:rsidR="00D74432" w:rsidRDefault="00D74432">
      <w:pPr>
        <w:pStyle w:val="TableofFigures"/>
        <w:tabs>
          <w:tab w:val="right" w:leader="dot" w:pos="9010"/>
        </w:tabs>
      </w:pPr>
    </w:p>
    <w:p w14:paraId="0A2A1063" w14:textId="77777777" w:rsidR="00D74432" w:rsidRDefault="00D74432">
      <w:pPr>
        <w:pStyle w:val="TableofFigures"/>
        <w:tabs>
          <w:tab w:val="right" w:leader="dot" w:pos="9010"/>
        </w:tabs>
      </w:pPr>
    </w:p>
    <w:p w14:paraId="0AC34BA8" w14:textId="77777777" w:rsidR="00D74432" w:rsidRDefault="00D74432">
      <w:pPr>
        <w:pStyle w:val="TableofFigures"/>
        <w:tabs>
          <w:tab w:val="right" w:leader="dot" w:pos="9010"/>
        </w:tabs>
      </w:pPr>
    </w:p>
    <w:p w14:paraId="013A2D86" w14:textId="77777777" w:rsidR="00D74432" w:rsidRDefault="00D74432">
      <w:pPr>
        <w:pStyle w:val="TableofFigures"/>
        <w:tabs>
          <w:tab w:val="right" w:leader="dot" w:pos="9010"/>
        </w:tabs>
      </w:pPr>
    </w:p>
    <w:p w14:paraId="2C1A829D" w14:textId="77777777" w:rsidR="00D74432" w:rsidRDefault="00D74432">
      <w:pPr>
        <w:pStyle w:val="TableofFigures"/>
        <w:tabs>
          <w:tab w:val="right" w:leader="dot" w:pos="9010"/>
        </w:tabs>
        <w:rPr>
          <w:noProof/>
        </w:rPr>
      </w:pPr>
      <w:r>
        <w:fldChar w:fldCharType="begin"/>
      </w:r>
      <w:r>
        <w:instrText xml:space="preserve"> TOC \h \z \c "Ilustración" </w:instrText>
      </w:r>
      <w:r>
        <w:fldChar w:fldCharType="separate"/>
      </w:r>
      <w:hyperlink w:anchor="_Toc450578176" w:history="1">
        <w:r w:rsidRPr="0048483A">
          <w:rPr>
            <w:rStyle w:val="Hyperlink"/>
            <w:noProof/>
          </w:rPr>
          <w:t>Figura 1. “Un trago” como una unidad de bebida estándar (UBE) que equivale a 10 gramos de alcohol y está caracterizada por el tipo de licor consumido, la cantidad y su respectiva concentración de alcohol</w:t>
        </w:r>
        <w:r>
          <w:rPr>
            <w:noProof/>
            <w:webHidden/>
          </w:rPr>
          <w:tab/>
        </w:r>
        <w:r>
          <w:rPr>
            <w:noProof/>
            <w:webHidden/>
          </w:rPr>
          <w:fldChar w:fldCharType="begin"/>
        </w:r>
        <w:r>
          <w:rPr>
            <w:noProof/>
            <w:webHidden/>
          </w:rPr>
          <w:instrText xml:space="preserve"> PAGEREF _Toc450578176 \h </w:instrText>
        </w:r>
        <w:r>
          <w:rPr>
            <w:noProof/>
            <w:webHidden/>
          </w:rPr>
        </w:r>
        <w:r>
          <w:rPr>
            <w:noProof/>
            <w:webHidden/>
          </w:rPr>
          <w:fldChar w:fldCharType="separate"/>
        </w:r>
        <w:r>
          <w:rPr>
            <w:noProof/>
            <w:webHidden/>
          </w:rPr>
          <w:t>29</w:t>
        </w:r>
        <w:r>
          <w:rPr>
            <w:noProof/>
            <w:webHidden/>
          </w:rPr>
          <w:fldChar w:fldCharType="end"/>
        </w:r>
      </w:hyperlink>
    </w:p>
    <w:p w14:paraId="10118932" w14:textId="77777777" w:rsidR="00D74432" w:rsidRDefault="00D74432">
      <w:pPr>
        <w:pStyle w:val="TableofFigures"/>
        <w:tabs>
          <w:tab w:val="right" w:leader="dot" w:pos="9010"/>
        </w:tabs>
        <w:rPr>
          <w:noProof/>
        </w:rPr>
      </w:pPr>
      <w:hyperlink w:anchor="_Toc450578177" w:history="1">
        <w:r w:rsidRPr="0048483A">
          <w:rPr>
            <w:rStyle w:val="Hyperlink"/>
            <w:noProof/>
          </w:rPr>
          <w:t>Figura 2. Composición porcentual de la muestra en función del género y la edad</w:t>
        </w:r>
        <w:r>
          <w:rPr>
            <w:noProof/>
            <w:webHidden/>
          </w:rPr>
          <w:tab/>
        </w:r>
        <w:r>
          <w:rPr>
            <w:noProof/>
            <w:webHidden/>
          </w:rPr>
          <w:fldChar w:fldCharType="begin"/>
        </w:r>
        <w:r>
          <w:rPr>
            <w:noProof/>
            <w:webHidden/>
          </w:rPr>
          <w:instrText xml:space="preserve"> PAGEREF _Toc450578177 \h </w:instrText>
        </w:r>
        <w:r>
          <w:rPr>
            <w:noProof/>
            <w:webHidden/>
          </w:rPr>
        </w:r>
        <w:r>
          <w:rPr>
            <w:noProof/>
            <w:webHidden/>
          </w:rPr>
          <w:fldChar w:fldCharType="separate"/>
        </w:r>
        <w:r>
          <w:rPr>
            <w:noProof/>
            <w:webHidden/>
          </w:rPr>
          <w:t>42</w:t>
        </w:r>
        <w:r>
          <w:rPr>
            <w:noProof/>
            <w:webHidden/>
          </w:rPr>
          <w:fldChar w:fldCharType="end"/>
        </w:r>
      </w:hyperlink>
    </w:p>
    <w:p w14:paraId="0BC8F392" w14:textId="77777777" w:rsidR="00D74432" w:rsidRDefault="00D74432">
      <w:pPr>
        <w:pStyle w:val="TableofFigures"/>
        <w:tabs>
          <w:tab w:val="right" w:leader="dot" w:pos="9010"/>
        </w:tabs>
        <w:rPr>
          <w:noProof/>
        </w:rPr>
      </w:pPr>
      <w:hyperlink w:anchor="_Toc450578178" w:history="1">
        <w:r w:rsidRPr="0048483A">
          <w:rPr>
            <w:rStyle w:val="Hyperlink"/>
            <w:noProof/>
          </w:rPr>
          <w:t>Figura 3. Histograma de la edad</w:t>
        </w:r>
        <w:r>
          <w:rPr>
            <w:noProof/>
            <w:webHidden/>
          </w:rPr>
          <w:tab/>
        </w:r>
        <w:r>
          <w:rPr>
            <w:noProof/>
            <w:webHidden/>
          </w:rPr>
          <w:fldChar w:fldCharType="begin"/>
        </w:r>
        <w:r>
          <w:rPr>
            <w:noProof/>
            <w:webHidden/>
          </w:rPr>
          <w:instrText xml:space="preserve"> PAGEREF _Toc450578178 \h </w:instrText>
        </w:r>
        <w:r>
          <w:rPr>
            <w:noProof/>
            <w:webHidden/>
          </w:rPr>
        </w:r>
        <w:r>
          <w:rPr>
            <w:noProof/>
            <w:webHidden/>
          </w:rPr>
          <w:fldChar w:fldCharType="separate"/>
        </w:r>
        <w:r>
          <w:rPr>
            <w:noProof/>
            <w:webHidden/>
          </w:rPr>
          <w:t>42</w:t>
        </w:r>
        <w:r>
          <w:rPr>
            <w:noProof/>
            <w:webHidden/>
          </w:rPr>
          <w:fldChar w:fldCharType="end"/>
        </w:r>
      </w:hyperlink>
    </w:p>
    <w:p w14:paraId="3734E88E" w14:textId="77777777" w:rsidR="00D74432" w:rsidRDefault="00D74432">
      <w:pPr>
        <w:pStyle w:val="TableofFigures"/>
        <w:tabs>
          <w:tab w:val="right" w:leader="dot" w:pos="9010"/>
        </w:tabs>
        <w:rPr>
          <w:noProof/>
        </w:rPr>
      </w:pPr>
      <w:hyperlink w:anchor="_Toc450578179" w:history="1">
        <w:r w:rsidRPr="0048483A">
          <w:rPr>
            <w:rStyle w:val="Hyperlink"/>
            <w:noProof/>
          </w:rPr>
          <w:t>Figura 4. Distribución porcentual de los individuos en las diferentes carreras</w:t>
        </w:r>
        <w:r>
          <w:rPr>
            <w:noProof/>
            <w:webHidden/>
          </w:rPr>
          <w:tab/>
        </w:r>
        <w:r>
          <w:rPr>
            <w:noProof/>
            <w:webHidden/>
          </w:rPr>
          <w:fldChar w:fldCharType="begin"/>
        </w:r>
        <w:r>
          <w:rPr>
            <w:noProof/>
            <w:webHidden/>
          </w:rPr>
          <w:instrText xml:space="preserve"> PAGEREF _Toc450578179 \h </w:instrText>
        </w:r>
        <w:r>
          <w:rPr>
            <w:noProof/>
            <w:webHidden/>
          </w:rPr>
        </w:r>
        <w:r>
          <w:rPr>
            <w:noProof/>
            <w:webHidden/>
          </w:rPr>
          <w:fldChar w:fldCharType="separate"/>
        </w:r>
        <w:r>
          <w:rPr>
            <w:noProof/>
            <w:webHidden/>
          </w:rPr>
          <w:t>44</w:t>
        </w:r>
        <w:r>
          <w:rPr>
            <w:noProof/>
            <w:webHidden/>
          </w:rPr>
          <w:fldChar w:fldCharType="end"/>
        </w:r>
      </w:hyperlink>
    </w:p>
    <w:p w14:paraId="03CA5220" w14:textId="77777777" w:rsidR="00D74432" w:rsidRDefault="00D74432">
      <w:pPr>
        <w:pStyle w:val="TableofFigures"/>
        <w:tabs>
          <w:tab w:val="right" w:leader="dot" w:pos="9010"/>
        </w:tabs>
        <w:rPr>
          <w:noProof/>
        </w:rPr>
      </w:pPr>
      <w:hyperlink w:anchor="_Toc450578180" w:history="1">
        <w:r w:rsidRPr="0048483A">
          <w:rPr>
            <w:rStyle w:val="Hyperlink"/>
            <w:noProof/>
          </w:rPr>
          <w:t>Figura 5. Histograma del puntaje AUDIT total</w:t>
        </w:r>
        <w:r>
          <w:rPr>
            <w:noProof/>
            <w:webHidden/>
          </w:rPr>
          <w:tab/>
        </w:r>
        <w:r>
          <w:rPr>
            <w:noProof/>
            <w:webHidden/>
          </w:rPr>
          <w:fldChar w:fldCharType="begin"/>
        </w:r>
        <w:r>
          <w:rPr>
            <w:noProof/>
            <w:webHidden/>
          </w:rPr>
          <w:instrText xml:space="preserve"> PAGEREF _Toc450578180 \h </w:instrText>
        </w:r>
        <w:r>
          <w:rPr>
            <w:noProof/>
            <w:webHidden/>
          </w:rPr>
        </w:r>
        <w:r>
          <w:rPr>
            <w:noProof/>
            <w:webHidden/>
          </w:rPr>
          <w:fldChar w:fldCharType="separate"/>
        </w:r>
        <w:r>
          <w:rPr>
            <w:noProof/>
            <w:webHidden/>
          </w:rPr>
          <w:t>45</w:t>
        </w:r>
        <w:r>
          <w:rPr>
            <w:noProof/>
            <w:webHidden/>
          </w:rPr>
          <w:fldChar w:fldCharType="end"/>
        </w:r>
      </w:hyperlink>
    </w:p>
    <w:p w14:paraId="03BD547E" w14:textId="77777777" w:rsidR="00D74432" w:rsidRDefault="00D74432">
      <w:pPr>
        <w:pStyle w:val="TableofFigures"/>
        <w:tabs>
          <w:tab w:val="right" w:leader="dot" w:pos="9010"/>
        </w:tabs>
        <w:rPr>
          <w:noProof/>
        </w:rPr>
      </w:pPr>
      <w:hyperlink w:anchor="_Toc450578181" w:history="1">
        <w:r w:rsidRPr="0048483A">
          <w:rPr>
            <w:rStyle w:val="Hyperlink"/>
            <w:noProof/>
          </w:rPr>
          <w:t>Figura 6. Boxplot del puntaje AUDIT en función del género</w:t>
        </w:r>
        <w:r>
          <w:rPr>
            <w:noProof/>
            <w:webHidden/>
          </w:rPr>
          <w:tab/>
        </w:r>
        <w:r>
          <w:rPr>
            <w:noProof/>
            <w:webHidden/>
          </w:rPr>
          <w:fldChar w:fldCharType="begin"/>
        </w:r>
        <w:r>
          <w:rPr>
            <w:noProof/>
            <w:webHidden/>
          </w:rPr>
          <w:instrText xml:space="preserve"> PAGEREF _Toc450578181 \h </w:instrText>
        </w:r>
        <w:r>
          <w:rPr>
            <w:noProof/>
            <w:webHidden/>
          </w:rPr>
        </w:r>
        <w:r>
          <w:rPr>
            <w:noProof/>
            <w:webHidden/>
          </w:rPr>
          <w:fldChar w:fldCharType="separate"/>
        </w:r>
        <w:r>
          <w:rPr>
            <w:noProof/>
            <w:webHidden/>
          </w:rPr>
          <w:t>47</w:t>
        </w:r>
        <w:r>
          <w:rPr>
            <w:noProof/>
            <w:webHidden/>
          </w:rPr>
          <w:fldChar w:fldCharType="end"/>
        </w:r>
      </w:hyperlink>
    </w:p>
    <w:p w14:paraId="115F2876" w14:textId="77777777" w:rsidR="00D74432" w:rsidRDefault="00D74432">
      <w:pPr>
        <w:pStyle w:val="TableofFigures"/>
        <w:tabs>
          <w:tab w:val="right" w:leader="dot" w:pos="9010"/>
        </w:tabs>
        <w:rPr>
          <w:noProof/>
        </w:rPr>
      </w:pPr>
      <w:hyperlink w:anchor="_Toc450578182" w:history="1">
        <w:r w:rsidRPr="0048483A">
          <w:rPr>
            <w:rStyle w:val="Hyperlink"/>
            <w:noProof/>
          </w:rPr>
          <w:t>Figura 7.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r>
          <w:rPr>
            <w:noProof/>
            <w:webHidden/>
          </w:rPr>
          <w:tab/>
        </w:r>
        <w:r>
          <w:rPr>
            <w:noProof/>
            <w:webHidden/>
          </w:rPr>
          <w:fldChar w:fldCharType="begin"/>
        </w:r>
        <w:r>
          <w:rPr>
            <w:noProof/>
            <w:webHidden/>
          </w:rPr>
          <w:instrText xml:space="preserve"> PAGEREF _Toc450578182 \h </w:instrText>
        </w:r>
        <w:r>
          <w:rPr>
            <w:noProof/>
            <w:webHidden/>
          </w:rPr>
        </w:r>
        <w:r>
          <w:rPr>
            <w:noProof/>
            <w:webHidden/>
          </w:rPr>
          <w:fldChar w:fldCharType="separate"/>
        </w:r>
        <w:r>
          <w:rPr>
            <w:noProof/>
            <w:webHidden/>
          </w:rPr>
          <w:t>49</w:t>
        </w:r>
        <w:r>
          <w:rPr>
            <w:noProof/>
            <w:webHidden/>
          </w:rPr>
          <w:fldChar w:fldCharType="end"/>
        </w:r>
      </w:hyperlink>
    </w:p>
    <w:p w14:paraId="0AA003AC" w14:textId="77777777" w:rsidR="00D74432" w:rsidRDefault="00D74432">
      <w:pPr>
        <w:pStyle w:val="TableofFigures"/>
        <w:tabs>
          <w:tab w:val="right" w:leader="dot" w:pos="9010"/>
        </w:tabs>
        <w:rPr>
          <w:noProof/>
        </w:rPr>
      </w:pPr>
      <w:hyperlink w:anchor="_Toc450578183" w:history="1">
        <w:r w:rsidRPr="0048483A">
          <w:rPr>
            <w:rStyle w:val="Hyperlink"/>
            <w:noProof/>
          </w:rPr>
          <w:t>Figura 8. Boxplot del puntaje AUDIT en función del género para los menores de edad</w:t>
        </w:r>
        <w:r>
          <w:rPr>
            <w:noProof/>
            <w:webHidden/>
          </w:rPr>
          <w:tab/>
        </w:r>
        <w:r>
          <w:rPr>
            <w:noProof/>
            <w:webHidden/>
          </w:rPr>
          <w:fldChar w:fldCharType="begin"/>
        </w:r>
        <w:r>
          <w:rPr>
            <w:noProof/>
            <w:webHidden/>
          </w:rPr>
          <w:instrText xml:space="preserve"> PAGEREF _Toc450578183 \h </w:instrText>
        </w:r>
        <w:r>
          <w:rPr>
            <w:noProof/>
            <w:webHidden/>
          </w:rPr>
        </w:r>
        <w:r>
          <w:rPr>
            <w:noProof/>
            <w:webHidden/>
          </w:rPr>
          <w:fldChar w:fldCharType="separate"/>
        </w:r>
        <w:r>
          <w:rPr>
            <w:noProof/>
            <w:webHidden/>
          </w:rPr>
          <w:t>50</w:t>
        </w:r>
        <w:r>
          <w:rPr>
            <w:noProof/>
            <w:webHidden/>
          </w:rPr>
          <w:fldChar w:fldCharType="end"/>
        </w:r>
      </w:hyperlink>
    </w:p>
    <w:p w14:paraId="37B997EE" w14:textId="77777777" w:rsidR="00D74432" w:rsidRDefault="00D74432">
      <w:pPr>
        <w:pStyle w:val="TableofFigures"/>
        <w:tabs>
          <w:tab w:val="right" w:leader="dot" w:pos="9010"/>
        </w:tabs>
        <w:rPr>
          <w:noProof/>
        </w:rPr>
      </w:pPr>
      <w:hyperlink w:anchor="_Toc450578184" w:history="1">
        <w:r w:rsidRPr="0048483A">
          <w:rPr>
            <w:rStyle w:val="Hyperlink"/>
            <w:noProof/>
          </w:rPr>
          <w:t>Figura 9. Boxplot del puntaje AUDIT en función de la carrera que cursa el encuestado</w:t>
        </w:r>
        <w:r>
          <w:rPr>
            <w:noProof/>
            <w:webHidden/>
          </w:rPr>
          <w:tab/>
        </w:r>
        <w:r>
          <w:rPr>
            <w:noProof/>
            <w:webHidden/>
          </w:rPr>
          <w:fldChar w:fldCharType="begin"/>
        </w:r>
        <w:r>
          <w:rPr>
            <w:noProof/>
            <w:webHidden/>
          </w:rPr>
          <w:instrText xml:space="preserve"> PAGEREF _Toc450578184 \h </w:instrText>
        </w:r>
        <w:r>
          <w:rPr>
            <w:noProof/>
            <w:webHidden/>
          </w:rPr>
        </w:r>
        <w:r>
          <w:rPr>
            <w:noProof/>
            <w:webHidden/>
          </w:rPr>
          <w:fldChar w:fldCharType="separate"/>
        </w:r>
        <w:r>
          <w:rPr>
            <w:noProof/>
            <w:webHidden/>
          </w:rPr>
          <w:t>52</w:t>
        </w:r>
        <w:r>
          <w:rPr>
            <w:noProof/>
            <w:webHidden/>
          </w:rPr>
          <w:fldChar w:fldCharType="end"/>
        </w:r>
      </w:hyperlink>
    </w:p>
    <w:p w14:paraId="66065302" w14:textId="77777777" w:rsidR="00D74432" w:rsidRDefault="00D74432">
      <w:pPr>
        <w:pStyle w:val="TableofFigures"/>
        <w:tabs>
          <w:tab w:val="right" w:leader="dot" w:pos="9010"/>
        </w:tabs>
        <w:rPr>
          <w:noProof/>
        </w:rPr>
      </w:pPr>
      <w:hyperlink w:anchor="_Toc450578185" w:history="1">
        <w:r w:rsidRPr="0048483A">
          <w:rPr>
            <w:rStyle w:val="Hyperlink"/>
            <w:noProof/>
          </w:rPr>
          <w:t>Figura 10. Categorías de respuesta por variable en el dominio de Consumo de riesgo de alcohol</w:t>
        </w:r>
        <w:r>
          <w:rPr>
            <w:noProof/>
            <w:webHidden/>
          </w:rPr>
          <w:tab/>
        </w:r>
        <w:r>
          <w:rPr>
            <w:noProof/>
            <w:webHidden/>
          </w:rPr>
          <w:fldChar w:fldCharType="begin"/>
        </w:r>
        <w:r>
          <w:rPr>
            <w:noProof/>
            <w:webHidden/>
          </w:rPr>
          <w:instrText xml:space="preserve"> PAGEREF _Toc450578185 \h </w:instrText>
        </w:r>
        <w:r>
          <w:rPr>
            <w:noProof/>
            <w:webHidden/>
          </w:rPr>
        </w:r>
        <w:r>
          <w:rPr>
            <w:noProof/>
            <w:webHidden/>
          </w:rPr>
          <w:fldChar w:fldCharType="separate"/>
        </w:r>
        <w:r>
          <w:rPr>
            <w:noProof/>
            <w:webHidden/>
          </w:rPr>
          <w:t>54</w:t>
        </w:r>
        <w:r>
          <w:rPr>
            <w:noProof/>
            <w:webHidden/>
          </w:rPr>
          <w:fldChar w:fldCharType="end"/>
        </w:r>
      </w:hyperlink>
    </w:p>
    <w:p w14:paraId="1BAB73DB" w14:textId="77777777" w:rsidR="00D74432" w:rsidRDefault="00D74432">
      <w:pPr>
        <w:pStyle w:val="TableofFigures"/>
        <w:tabs>
          <w:tab w:val="right" w:leader="dot" w:pos="9010"/>
        </w:tabs>
        <w:rPr>
          <w:noProof/>
        </w:rPr>
      </w:pPr>
      <w:hyperlink w:anchor="_Toc450578186" w:history="1">
        <w:r w:rsidRPr="0048483A">
          <w:rPr>
            <w:rStyle w:val="Hyperlink"/>
            <w:noProof/>
          </w:rPr>
          <w:t>Figura 11. Categorías de respuesta por variable en el dominio de Dependencia</w:t>
        </w:r>
        <w:r>
          <w:rPr>
            <w:noProof/>
            <w:webHidden/>
          </w:rPr>
          <w:tab/>
        </w:r>
        <w:r>
          <w:rPr>
            <w:noProof/>
            <w:webHidden/>
          </w:rPr>
          <w:fldChar w:fldCharType="begin"/>
        </w:r>
        <w:r>
          <w:rPr>
            <w:noProof/>
            <w:webHidden/>
          </w:rPr>
          <w:instrText xml:space="preserve"> PAGEREF _Toc450578186 \h </w:instrText>
        </w:r>
        <w:r>
          <w:rPr>
            <w:noProof/>
            <w:webHidden/>
          </w:rPr>
        </w:r>
        <w:r>
          <w:rPr>
            <w:noProof/>
            <w:webHidden/>
          </w:rPr>
          <w:fldChar w:fldCharType="separate"/>
        </w:r>
        <w:r>
          <w:rPr>
            <w:noProof/>
            <w:webHidden/>
          </w:rPr>
          <w:t>55</w:t>
        </w:r>
        <w:r>
          <w:rPr>
            <w:noProof/>
            <w:webHidden/>
          </w:rPr>
          <w:fldChar w:fldCharType="end"/>
        </w:r>
      </w:hyperlink>
    </w:p>
    <w:p w14:paraId="1B886344" w14:textId="77777777" w:rsidR="00D74432" w:rsidRDefault="00D74432">
      <w:pPr>
        <w:pStyle w:val="TableofFigures"/>
        <w:tabs>
          <w:tab w:val="right" w:leader="dot" w:pos="9010"/>
        </w:tabs>
        <w:rPr>
          <w:noProof/>
        </w:rPr>
      </w:pPr>
      <w:hyperlink w:anchor="_Toc450578187" w:history="1">
        <w:r w:rsidRPr="0048483A">
          <w:rPr>
            <w:rStyle w:val="Hyperlink"/>
            <w:noProof/>
          </w:rPr>
          <w:t>Figura 12. Categorías de respuesta por variable en el dominio de Consumo perjudicial</w:t>
        </w:r>
        <w:r>
          <w:rPr>
            <w:noProof/>
            <w:webHidden/>
          </w:rPr>
          <w:tab/>
        </w:r>
        <w:r>
          <w:rPr>
            <w:noProof/>
            <w:webHidden/>
          </w:rPr>
          <w:fldChar w:fldCharType="begin"/>
        </w:r>
        <w:r>
          <w:rPr>
            <w:noProof/>
            <w:webHidden/>
          </w:rPr>
          <w:instrText xml:space="preserve"> PAGEREF _Toc450578187 \h </w:instrText>
        </w:r>
        <w:r>
          <w:rPr>
            <w:noProof/>
            <w:webHidden/>
          </w:rPr>
        </w:r>
        <w:r>
          <w:rPr>
            <w:noProof/>
            <w:webHidden/>
          </w:rPr>
          <w:fldChar w:fldCharType="separate"/>
        </w:r>
        <w:r>
          <w:rPr>
            <w:noProof/>
            <w:webHidden/>
          </w:rPr>
          <w:t>56</w:t>
        </w:r>
        <w:r>
          <w:rPr>
            <w:noProof/>
            <w:webHidden/>
          </w:rPr>
          <w:fldChar w:fldCharType="end"/>
        </w:r>
      </w:hyperlink>
    </w:p>
    <w:p w14:paraId="5A54DED9" w14:textId="77777777" w:rsidR="00D74432" w:rsidRDefault="00D74432">
      <w:pPr>
        <w:pStyle w:val="TableofFigures"/>
        <w:tabs>
          <w:tab w:val="right" w:leader="dot" w:pos="9010"/>
        </w:tabs>
        <w:rPr>
          <w:noProof/>
        </w:rPr>
      </w:pPr>
      <w:hyperlink w:anchor="_Toc450578188" w:history="1">
        <w:r w:rsidRPr="0048483A">
          <w:rPr>
            <w:rStyle w:val="Hyperlink"/>
            <w:noProof/>
          </w:rPr>
          <w:t>Figura 13. Importancia de las variables originales sobre los ejes principales calculados</w:t>
        </w:r>
        <w:r>
          <w:rPr>
            <w:noProof/>
            <w:webHidden/>
          </w:rPr>
          <w:tab/>
        </w:r>
        <w:r>
          <w:rPr>
            <w:noProof/>
            <w:webHidden/>
          </w:rPr>
          <w:fldChar w:fldCharType="begin"/>
        </w:r>
        <w:r>
          <w:rPr>
            <w:noProof/>
            <w:webHidden/>
          </w:rPr>
          <w:instrText xml:space="preserve"> PAGEREF _Toc450578188 \h </w:instrText>
        </w:r>
        <w:r>
          <w:rPr>
            <w:noProof/>
            <w:webHidden/>
          </w:rPr>
        </w:r>
        <w:r>
          <w:rPr>
            <w:noProof/>
            <w:webHidden/>
          </w:rPr>
          <w:fldChar w:fldCharType="separate"/>
        </w:r>
        <w:r>
          <w:rPr>
            <w:noProof/>
            <w:webHidden/>
          </w:rPr>
          <w:t>58</w:t>
        </w:r>
        <w:r>
          <w:rPr>
            <w:noProof/>
            <w:webHidden/>
          </w:rPr>
          <w:fldChar w:fldCharType="end"/>
        </w:r>
      </w:hyperlink>
    </w:p>
    <w:p w14:paraId="04F61F0D" w14:textId="77777777" w:rsidR="00D74432" w:rsidRDefault="00D74432">
      <w:pPr>
        <w:pStyle w:val="TableofFigures"/>
        <w:tabs>
          <w:tab w:val="right" w:leader="dot" w:pos="9010"/>
        </w:tabs>
        <w:rPr>
          <w:noProof/>
        </w:rPr>
      </w:pPr>
      <w:hyperlink w:anchor="_Toc450578189" w:history="1">
        <w:r w:rsidRPr="0048483A">
          <w:rPr>
            <w:rStyle w:val="Hyperlink"/>
            <w:noProof/>
          </w:rPr>
          <w:t>Figura 14. Representación del plano cartesiano</w:t>
        </w:r>
        <w:r>
          <w:rPr>
            <w:noProof/>
            <w:webHidden/>
          </w:rPr>
          <w:tab/>
        </w:r>
        <w:r>
          <w:rPr>
            <w:noProof/>
            <w:webHidden/>
          </w:rPr>
          <w:fldChar w:fldCharType="begin"/>
        </w:r>
        <w:r>
          <w:rPr>
            <w:noProof/>
            <w:webHidden/>
          </w:rPr>
          <w:instrText xml:space="preserve"> PAGEREF _Toc450578189 \h </w:instrText>
        </w:r>
        <w:r>
          <w:rPr>
            <w:noProof/>
            <w:webHidden/>
          </w:rPr>
        </w:r>
        <w:r>
          <w:rPr>
            <w:noProof/>
            <w:webHidden/>
          </w:rPr>
          <w:fldChar w:fldCharType="separate"/>
        </w:r>
        <w:r>
          <w:rPr>
            <w:noProof/>
            <w:webHidden/>
          </w:rPr>
          <w:t>59</w:t>
        </w:r>
        <w:r>
          <w:rPr>
            <w:noProof/>
            <w:webHidden/>
          </w:rPr>
          <w:fldChar w:fldCharType="end"/>
        </w:r>
      </w:hyperlink>
    </w:p>
    <w:p w14:paraId="7111DEA1" w14:textId="77777777" w:rsidR="00D74432" w:rsidRDefault="00D74432">
      <w:pPr>
        <w:pStyle w:val="TableofFigures"/>
        <w:tabs>
          <w:tab w:val="right" w:leader="dot" w:pos="9010"/>
        </w:tabs>
        <w:rPr>
          <w:noProof/>
        </w:rPr>
      </w:pPr>
      <w:hyperlink w:anchor="_Toc450578190" w:history="1">
        <w:r w:rsidRPr="0048483A">
          <w:rPr>
            <w:rStyle w:val="Hyperlink"/>
            <w:noProof/>
          </w:rPr>
          <w:t>Figura 15. Mapa perceptual estimado a partir del MCA</w:t>
        </w:r>
        <w:r>
          <w:rPr>
            <w:noProof/>
            <w:webHidden/>
          </w:rPr>
          <w:tab/>
        </w:r>
        <w:r>
          <w:rPr>
            <w:noProof/>
            <w:webHidden/>
          </w:rPr>
          <w:fldChar w:fldCharType="begin"/>
        </w:r>
        <w:r>
          <w:rPr>
            <w:noProof/>
            <w:webHidden/>
          </w:rPr>
          <w:instrText xml:space="preserve"> PAGEREF _Toc450578190 \h </w:instrText>
        </w:r>
        <w:r>
          <w:rPr>
            <w:noProof/>
            <w:webHidden/>
          </w:rPr>
        </w:r>
        <w:r>
          <w:rPr>
            <w:noProof/>
            <w:webHidden/>
          </w:rPr>
          <w:fldChar w:fldCharType="separate"/>
        </w:r>
        <w:r>
          <w:rPr>
            <w:noProof/>
            <w:webHidden/>
          </w:rPr>
          <w:t>60</w:t>
        </w:r>
        <w:r>
          <w:rPr>
            <w:noProof/>
            <w:webHidden/>
          </w:rPr>
          <w:fldChar w:fldCharType="end"/>
        </w:r>
      </w:hyperlink>
    </w:p>
    <w:p w14:paraId="5596CD6F" w14:textId="77777777" w:rsidR="00D74432" w:rsidRDefault="00D74432">
      <w:pPr>
        <w:pStyle w:val="TableofFigures"/>
        <w:tabs>
          <w:tab w:val="right" w:leader="dot" w:pos="9010"/>
        </w:tabs>
        <w:rPr>
          <w:noProof/>
        </w:rPr>
      </w:pPr>
      <w:hyperlink w:anchor="_Toc450578191" w:history="1">
        <w:r w:rsidRPr="0048483A">
          <w:rPr>
            <w:rStyle w:val="Hyperlink"/>
            <w:noProof/>
          </w:rPr>
          <w:t>Figura 16. Posicionamiento de los individuos sobre el mapa perceptual</w:t>
        </w:r>
        <w:r>
          <w:rPr>
            <w:noProof/>
            <w:webHidden/>
          </w:rPr>
          <w:tab/>
        </w:r>
        <w:r>
          <w:rPr>
            <w:noProof/>
            <w:webHidden/>
          </w:rPr>
          <w:fldChar w:fldCharType="begin"/>
        </w:r>
        <w:r>
          <w:rPr>
            <w:noProof/>
            <w:webHidden/>
          </w:rPr>
          <w:instrText xml:space="preserve"> PAGEREF _Toc450578191 \h </w:instrText>
        </w:r>
        <w:r>
          <w:rPr>
            <w:noProof/>
            <w:webHidden/>
          </w:rPr>
        </w:r>
        <w:r>
          <w:rPr>
            <w:noProof/>
            <w:webHidden/>
          </w:rPr>
          <w:fldChar w:fldCharType="separate"/>
        </w:r>
        <w:r>
          <w:rPr>
            <w:noProof/>
            <w:webHidden/>
          </w:rPr>
          <w:t>61</w:t>
        </w:r>
        <w:r>
          <w:rPr>
            <w:noProof/>
            <w:webHidden/>
          </w:rPr>
          <w:fldChar w:fldCharType="end"/>
        </w:r>
      </w:hyperlink>
    </w:p>
    <w:p w14:paraId="3376EE47" w14:textId="77777777" w:rsidR="00A050FD" w:rsidRDefault="00D74432" w:rsidP="00454331">
      <w:pPr>
        <w:spacing w:line="480" w:lineRule="auto"/>
        <w:contextualSpacing/>
        <w:jc w:val="both"/>
      </w:pPr>
      <w:r>
        <w:fldChar w:fldCharType="end"/>
      </w:r>
    </w:p>
    <w:p w14:paraId="1553FA69" w14:textId="77777777" w:rsidR="00D74432" w:rsidRDefault="00D74432" w:rsidP="00454331">
      <w:pPr>
        <w:spacing w:line="480" w:lineRule="auto"/>
        <w:contextualSpacing/>
        <w:jc w:val="both"/>
      </w:pPr>
    </w:p>
    <w:p w14:paraId="51BA54E0" w14:textId="77777777" w:rsidR="00D74432" w:rsidRDefault="00D74432" w:rsidP="00454331">
      <w:pPr>
        <w:spacing w:line="480" w:lineRule="auto"/>
        <w:contextualSpacing/>
        <w:jc w:val="both"/>
      </w:pPr>
    </w:p>
    <w:p w14:paraId="74570132" w14:textId="77777777" w:rsidR="00D74432" w:rsidRDefault="00D74432" w:rsidP="00454331">
      <w:pPr>
        <w:spacing w:line="480" w:lineRule="auto"/>
        <w:contextualSpacing/>
        <w:jc w:val="both"/>
      </w:pPr>
    </w:p>
    <w:p w14:paraId="48D5C39D" w14:textId="77777777" w:rsidR="00D74432" w:rsidRDefault="00D74432" w:rsidP="00454331">
      <w:pPr>
        <w:spacing w:line="480" w:lineRule="auto"/>
        <w:contextualSpacing/>
        <w:jc w:val="both"/>
      </w:pPr>
    </w:p>
    <w:p w14:paraId="4BBE3FF7" w14:textId="77777777" w:rsidR="00D74432" w:rsidRDefault="00D74432" w:rsidP="00454331">
      <w:pPr>
        <w:spacing w:line="480" w:lineRule="auto"/>
        <w:contextualSpacing/>
        <w:jc w:val="both"/>
      </w:pPr>
    </w:p>
    <w:p w14:paraId="5CA8D014" w14:textId="77777777" w:rsidR="00D74432" w:rsidRDefault="00D74432" w:rsidP="00454331">
      <w:pPr>
        <w:spacing w:line="480" w:lineRule="auto"/>
        <w:contextualSpacing/>
        <w:jc w:val="both"/>
      </w:pPr>
    </w:p>
    <w:p w14:paraId="534377F1" w14:textId="77777777" w:rsidR="00D74432" w:rsidRDefault="00D74432" w:rsidP="00454331">
      <w:pPr>
        <w:spacing w:line="480" w:lineRule="auto"/>
        <w:contextualSpacing/>
        <w:jc w:val="both"/>
      </w:pPr>
    </w:p>
    <w:p w14:paraId="5E5D28DF" w14:textId="77777777" w:rsidR="00D74432" w:rsidRDefault="00D74432" w:rsidP="00454331">
      <w:pPr>
        <w:spacing w:line="480" w:lineRule="auto"/>
        <w:contextualSpacing/>
        <w:jc w:val="both"/>
      </w:pPr>
    </w:p>
    <w:p w14:paraId="36F5E86D" w14:textId="77777777" w:rsidR="00D74432" w:rsidRDefault="00D74432" w:rsidP="00454331">
      <w:pPr>
        <w:spacing w:line="480" w:lineRule="auto"/>
        <w:contextualSpacing/>
        <w:jc w:val="both"/>
      </w:pPr>
    </w:p>
    <w:p w14:paraId="12E26947" w14:textId="77777777" w:rsidR="00D74432" w:rsidRDefault="00D74432" w:rsidP="00454331">
      <w:pPr>
        <w:spacing w:line="480" w:lineRule="auto"/>
        <w:contextualSpacing/>
        <w:jc w:val="both"/>
      </w:pPr>
    </w:p>
    <w:p w14:paraId="24A58F26" w14:textId="065BC56B" w:rsidR="00D74432" w:rsidRPr="0011205F" w:rsidRDefault="00D74432" w:rsidP="00D74432">
      <w:pPr>
        <w:pStyle w:val="TOCHeading"/>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lastRenderedPageBreak/>
        <w:t xml:space="preserve">INDICE DE </w:t>
      </w:r>
      <w:r>
        <w:rPr>
          <w:rFonts w:ascii="Times New Roman" w:hAnsi="Times New Roman" w:cs="Times New Roman"/>
          <w:color w:val="auto"/>
          <w:sz w:val="24"/>
          <w:szCs w:val="24"/>
          <w:lang w:val="es-ES"/>
        </w:rPr>
        <w:t>TABLAS</w:t>
      </w:r>
    </w:p>
    <w:p w14:paraId="4E853114" w14:textId="77777777" w:rsidR="00D74432" w:rsidRDefault="00D74432" w:rsidP="00454331">
      <w:pPr>
        <w:spacing w:line="480" w:lineRule="auto"/>
        <w:contextualSpacing/>
        <w:jc w:val="both"/>
      </w:pPr>
    </w:p>
    <w:p w14:paraId="66B8ADE5" w14:textId="77777777" w:rsidR="00D74432" w:rsidRDefault="00D74432" w:rsidP="00454331">
      <w:pPr>
        <w:spacing w:line="480" w:lineRule="auto"/>
        <w:contextualSpacing/>
        <w:jc w:val="both"/>
      </w:pPr>
    </w:p>
    <w:p w14:paraId="3CE5C042"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r>
        <w:fldChar w:fldCharType="begin"/>
      </w:r>
      <w:r>
        <w:instrText xml:space="preserve"> TOC \h \z \c "Tabla" </w:instrText>
      </w:r>
      <w:r>
        <w:fldChar w:fldCharType="separate"/>
      </w:r>
      <w:hyperlink w:anchor="_Toc450578289" w:history="1">
        <w:r w:rsidRPr="00BD7473">
          <w:rPr>
            <w:rStyle w:val="Hyperlink"/>
            <w:noProof/>
          </w:rPr>
          <w:t>Tabla 1. Estadísticas descriptivas de la edad</w:t>
        </w:r>
        <w:r>
          <w:rPr>
            <w:noProof/>
            <w:webHidden/>
          </w:rPr>
          <w:tab/>
        </w:r>
        <w:r>
          <w:rPr>
            <w:noProof/>
            <w:webHidden/>
          </w:rPr>
          <w:fldChar w:fldCharType="begin"/>
        </w:r>
        <w:r>
          <w:rPr>
            <w:noProof/>
            <w:webHidden/>
          </w:rPr>
          <w:instrText xml:space="preserve"> PAGEREF _Toc450578289 \h </w:instrText>
        </w:r>
        <w:r>
          <w:rPr>
            <w:noProof/>
            <w:webHidden/>
          </w:rPr>
        </w:r>
        <w:r>
          <w:rPr>
            <w:noProof/>
            <w:webHidden/>
          </w:rPr>
          <w:fldChar w:fldCharType="separate"/>
        </w:r>
        <w:r>
          <w:rPr>
            <w:noProof/>
            <w:webHidden/>
          </w:rPr>
          <w:t>44</w:t>
        </w:r>
        <w:r>
          <w:rPr>
            <w:noProof/>
            <w:webHidden/>
          </w:rPr>
          <w:fldChar w:fldCharType="end"/>
        </w:r>
      </w:hyperlink>
    </w:p>
    <w:p w14:paraId="550D6E74"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0" w:history="1">
        <w:r w:rsidRPr="00BD7473">
          <w:rPr>
            <w:rStyle w:val="Hyperlink"/>
            <w:noProof/>
          </w:rPr>
          <w:t>Tabla 2. Estadísticas descriptivas del puntaje AUDIT total</w:t>
        </w:r>
        <w:r>
          <w:rPr>
            <w:noProof/>
            <w:webHidden/>
          </w:rPr>
          <w:tab/>
        </w:r>
        <w:r>
          <w:rPr>
            <w:noProof/>
            <w:webHidden/>
          </w:rPr>
          <w:fldChar w:fldCharType="begin"/>
        </w:r>
        <w:r>
          <w:rPr>
            <w:noProof/>
            <w:webHidden/>
          </w:rPr>
          <w:instrText xml:space="preserve"> PAGEREF _Toc450578290 \h </w:instrText>
        </w:r>
        <w:r>
          <w:rPr>
            <w:noProof/>
            <w:webHidden/>
          </w:rPr>
        </w:r>
        <w:r>
          <w:rPr>
            <w:noProof/>
            <w:webHidden/>
          </w:rPr>
          <w:fldChar w:fldCharType="separate"/>
        </w:r>
        <w:r>
          <w:rPr>
            <w:noProof/>
            <w:webHidden/>
          </w:rPr>
          <w:t>47</w:t>
        </w:r>
        <w:r>
          <w:rPr>
            <w:noProof/>
            <w:webHidden/>
          </w:rPr>
          <w:fldChar w:fldCharType="end"/>
        </w:r>
      </w:hyperlink>
    </w:p>
    <w:p w14:paraId="7F53471B"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1" w:history="1">
        <w:r w:rsidRPr="00BD7473">
          <w:rPr>
            <w:rStyle w:val="Hyperlink"/>
            <w:noProof/>
          </w:rPr>
          <w:t>Tabla 3. Estadísticas descriptivas del puntaje AUDIT por género</w:t>
        </w:r>
        <w:r>
          <w:rPr>
            <w:noProof/>
            <w:webHidden/>
          </w:rPr>
          <w:tab/>
        </w:r>
        <w:r>
          <w:rPr>
            <w:noProof/>
            <w:webHidden/>
          </w:rPr>
          <w:fldChar w:fldCharType="begin"/>
        </w:r>
        <w:r>
          <w:rPr>
            <w:noProof/>
            <w:webHidden/>
          </w:rPr>
          <w:instrText xml:space="preserve"> PAGEREF _Toc450578291 \h </w:instrText>
        </w:r>
        <w:r>
          <w:rPr>
            <w:noProof/>
            <w:webHidden/>
          </w:rPr>
        </w:r>
        <w:r>
          <w:rPr>
            <w:noProof/>
            <w:webHidden/>
          </w:rPr>
          <w:fldChar w:fldCharType="separate"/>
        </w:r>
        <w:r>
          <w:rPr>
            <w:noProof/>
            <w:webHidden/>
          </w:rPr>
          <w:t>49</w:t>
        </w:r>
        <w:r>
          <w:rPr>
            <w:noProof/>
            <w:webHidden/>
          </w:rPr>
          <w:fldChar w:fldCharType="end"/>
        </w:r>
      </w:hyperlink>
    </w:p>
    <w:p w14:paraId="38DBD763"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2" w:history="1">
        <w:r w:rsidRPr="00BD7473">
          <w:rPr>
            <w:rStyle w:val="Hyperlink"/>
            <w:noProof/>
          </w:rPr>
          <w:t>Tabla 4. Estadísticas descriptivas del puntaje AUDIT por género en el grupo de menores de edad</w:t>
        </w:r>
        <w:r>
          <w:rPr>
            <w:noProof/>
            <w:webHidden/>
          </w:rPr>
          <w:tab/>
        </w:r>
        <w:r>
          <w:rPr>
            <w:noProof/>
            <w:webHidden/>
          </w:rPr>
          <w:fldChar w:fldCharType="begin"/>
        </w:r>
        <w:r>
          <w:rPr>
            <w:noProof/>
            <w:webHidden/>
          </w:rPr>
          <w:instrText xml:space="preserve"> PAGEREF _Toc450578292 \h </w:instrText>
        </w:r>
        <w:r>
          <w:rPr>
            <w:noProof/>
            <w:webHidden/>
          </w:rPr>
        </w:r>
        <w:r>
          <w:rPr>
            <w:noProof/>
            <w:webHidden/>
          </w:rPr>
          <w:fldChar w:fldCharType="separate"/>
        </w:r>
        <w:r>
          <w:rPr>
            <w:noProof/>
            <w:webHidden/>
          </w:rPr>
          <w:t>52</w:t>
        </w:r>
        <w:r>
          <w:rPr>
            <w:noProof/>
            <w:webHidden/>
          </w:rPr>
          <w:fldChar w:fldCharType="end"/>
        </w:r>
      </w:hyperlink>
    </w:p>
    <w:p w14:paraId="64E2BF1D"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3" w:history="1">
        <w:r w:rsidRPr="00BD7473">
          <w:rPr>
            <w:rStyle w:val="Hyperlink"/>
            <w:noProof/>
          </w:rPr>
          <w:t>Tabla 5. Frecuencia absoluta en orden decreciente del número de estudiantes con puntajes AUDIT totales por encima de los límites tolerables</w:t>
        </w:r>
        <w:r>
          <w:rPr>
            <w:noProof/>
            <w:webHidden/>
          </w:rPr>
          <w:tab/>
        </w:r>
        <w:r>
          <w:rPr>
            <w:noProof/>
            <w:webHidden/>
          </w:rPr>
          <w:fldChar w:fldCharType="begin"/>
        </w:r>
        <w:r>
          <w:rPr>
            <w:noProof/>
            <w:webHidden/>
          </w:rPr>
          <w:instrText xml:space="preserve"> PAGEREF _Toc450578293 \h </w:instrText>
        </w:r>
        <w:r>
          <w:rPr>
            <w:noProof/>
            <w:webHidden/>
          </w:rPr>
        </w:r>
        <w:r>
          <w:rPr>
            <w:noProof/>
            <w:webHidden/>
          </w:rPr>
          <w:fldChar w:fldCharType="separate"/>
        </w:r>
        <w:r>
          <w:rPr>
            <w:noProof/>
            <w:webHidden/>
          </w:rPr>
          <w:t>55</w:t>
        </w:r>
        <w:r>
          <w:rPr>
            <w:noProof/>
            <w:webHidden/>
          </w:rPr>
          <w:fldChar w:fldCharType="end"/>
        </w:r>
      </w:hyperlink>
    </w:p>
    <w:p w14:paraId="69CAA6AE"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4" w:history="1">
        <w:r w:rsidRPr="00BD7473">
          <w:rPr>
            <w:rStyle w:val="Hyperlink"/>
            <w:noProof/>
          </w:rPr>
          <w:t>Tabla 6. Frecuencias absolutas de la variable “lesiones personales ocasionadas por el consumo de alcohol” en el pasado y presente discriminados por género y grupo de edad</w:t>
        </w:r>
        <w:r>
          <w:rPr>
            <w:noProof/>
            <w:webHidden/>
          </w:rPr>
          <w:tab/>
        </w:r>
        <w:r>
          <w:rPr>
            <w:noProof/>
            <w:webHidden/>
          </w:rPr>
          <w:fldChar w:fldCharType="begin"/>
        </w:r>
        <w:r>
          <w:rPr>
            <w:noProof/>
            <w:webHidden/>
          </w:rPr>
          <w:instrText xml:space="preserve"> PAGEREF _Toc450578294 \h </w:instrText>
        </w:r>
        <w:r>
          <w:rPr>
            <w:noProof/>
            <w:webHidden/>
          </w:rPr>
        </w:r>
        <w:r>
          <w:rPr>
            <w:noProof/>
            <w:webHidden/>
          </w:rPr>
          <w:fldChar w:fldCharType="separate"/>
        </w:r>
        <w:r>
          <w:rPr>
            <w:noProof/>
            <w:webHidden/>
          </w:rPr>
          <w:t>64</w:t>
        </w:r>
        <w:r>
          <w:rPr>
            <w:noProof/>
            <w:webHidden/>
          </w:rPr>
          <w:fldChar w:fldCharType="end"/>
        </w:r>
      </w:hyperlink>
    </w:p>
    <w:p w14:paraId="1E6957AD" w14:textId="77777777" w:rsidR="00D74432" w:rsidRDefault="00D74432">
      <w:pPr>
        <w:pStyle w:val="TableofFigures"/>
        <w:tabs>
          <w:tab w:val="right" w:leader="dot" w:pos="9010"/>
        </w:tabs>
        <w:rPr>
          <w:rFonts w:asciiTheme="minorHAnsi" w:eastAsiaTheme="minorEastAsia" w:hAnsiTheme="minorHAnsi" w:cstheme="minorBidi"/>
          <w:noProof/>
          <w:sz w:val="22"/>
          <w:szCs w:val="22"/>
          <w:lang w:val="es-CO" w:eastAsia="es-CO"/>
        </w:rPr>
      </w:pPr>
      <w:hyperlink w:anchor="_Toc450578295" w:history="1">
        <w:r w:rsidRPr="00BD7473">
          <w:rPr>
            <w:rStyle w:val="Hyperlink"/>
            <w:noProof/>
          </w:rPr>
          <w:t>Tabla 7. Frecuencias absolutas de la variable “preocupación por consumo de alcohol” en el pasado y presente discriminados por género y grupo de edad</w:t>
        </w:r>
        <w:r>
          <w:rPr>
            <w:noProof/>
            <w:webHidden/>
          </w:rPr>
          <w:tab/>
        </w:r>
        <w:r>
          <w:rPr>
            <w:noProof/>
            <w:webHidden/>
          </w:rPr>
          <w:fldChar w:fldCharType="begin"/>
        </w:r>
        <w:r>
          <w:rPr>
            <w:noProof/>
            <w:webHidden/>
          </w:rPr>
          <w:instrText xml:space="preserve"> PAGEREF _Toc450578295 \h </w:instrText>
        </w:r>
        <w:r>
          <w:rPr>
            <w:noProof/>
            <w:webHidden/>
          </w:rPr>
        </w:r>
        <w:r>
          <w:rPr>
            <w:noProof/>
            <w:webHidden/>
          </w:rPr>
          <w:fldChar w:fldCharType="separate"/>
        </w:r>
        <w:r>
          <w:rPr>
            <w:noProof/>
            <w:webHidden/>
          </w:rPr>
          <w:t>65</w:t>
        </w:r>
        <w:r>
          <w:rPr>
            <w:noProof/>
            <w:webHidden/>
          </w:rPr>
          <w:fldChar w:fldCharType="end"/>
        </w:r>
      </w:hyperlink>
    </w:p>
    <w:p w14:paraId="55F41E08" w14:textId="77777777" w:rsidR="00D74432" w:rsidRDefault="00D74432" w:rsidP="00454331">
      <w:pPr>
        <w:spacing w:line="480" w:lineRule="auto"/>
        <w:contextualSpacing/>
        <w:jc w:val="both"/>
      </w:pPr>
      <w:r>
        <w:fldChar w:fldCharType="end"/>
      </w:r>
    </w:p>
    <w:p w14:paraId="1130EBB5" w14:textId="77777777" w:rsidR="00D74432" w:rsidRDefault="00D74432" w:rsidP="00454331">
      <w:pPr>
        <w:spacing w:line="480" w:lineRule="auto"/>
        <w:contextualSpacing/>
        <w:jc w:val="both"/>
      </w:pPr>
    </w:p>
    <w:p w14:paraId="1CCF2738" w14:textId="77777777" w:rsidR="00D74432" w:rsidRDefault="00D74432" w:rsidP="00454331">
      <w:pPr>
        <w:spacing w:line="480" w:lineRule="auto"/>
        <w:contextualSpacing/>
        <w:jc w:val="both"/>
      </w:pPr>
    </w:p>
    <w:p w14:paraId="5220461E" w14:textId="77777777" w:rsidR="00D74432" w:rsidRDefault="00D74432" w:rsidP="00454331">
      <w:pPr>
        <w:spacing w:line="480" w:lineRule="auto"/>
        <w:contextualSpacing/>
        <w:jc w:val="both"/>
      </w:pPr>
    </w:p>
    <w:p w14:paraId="3B2EBE45" w14:textId="77777777" w:rsidR="00D74432" w:rsidRDefault="00D74432" w:rsidP="00454331">
      <w:pPr>
        <w:spacing w:line="480" w:lineRule="auto"/>
        <w:contextualSpacing/>
        <w:jc w:val="both"/>
      </w:pPr>
    </w:p>
    <w:p w14:paraId="0B4640F3" w14:textId="77777777" w:rsidR="00D74432" w:rsidRDefault="00D74432" w:rsidP="00454331">
      <w:pPr>
        <w:spacing w:line="480" w:lineRule="auto"/>
        <w:contextualSpacing/>
        <w:jc w:val="both"/>
      </w:pPr>
    </w:p>
    <w:p w14:paraId="213662A0" w14:textId="77777777" w:rsidR="00D74432" w:rsidRDefault="00D74432" w:rsidP="00454331">
      <w:pPr>
        <w:spacing w:line="480" w:lineRule="auto"/>
        <w:contextualSpacing/>
        <w:jc w:val="both"/>
      </w:pPr>
    </w:p>
    <w:p w14:paraId="3E725E61" w14:textId="77777777" w:rsidR="00D74432" w:rsidRDefault="00D74432" w:rsidP="00454331">
      <w:pPr>
        <w:spacing w:line="480" w:lineRule="auto"/>
        <w:contextualSpacing/>
        <w:jc w:val="both"/>
      </w:pPr>
    </w:p>
    <w:p w14:paraId="449B894D" w14:textId="77777777" w:rsidR="00D74432" w:rsidRDefault="00D74432" w:rsidP="00454331">
      <w:pPr>
        <w:spacing w:line="480" w:lineRule="auto"/>
        <w:contextualSpacing/>
        <w:jc w:val="both"/>
      </w:pPr>
    </w:p>
    <w:p w14:paraId="1DEF358D" w14:textId="77777777" w:rsidR="00D74432" w:rsidRDefault="00D74432" w:rsidP="00454331">
      <w:pPr>
        <w:spacing w:line="480" w:lineRule="auto"/>
        <w:contextualSpacing/>
        <w:jc w:val="both"/>
      </w:pPr>
    </w:p>
    <w:p w14:paraId="7CE62F3F" w14:textId="77777777" w:rsidR="00D74432" w:rsidRDefault="00D74432" w:rsidP="00454331">
      <w:pPr>
        <w:spacing w:line="480" w:lineRule="auto"/>
        <w:contextualSpacing/>
        <w:jc w:val="both"/>
      </w:pPr>
    </w:p>
    <w:p w14:paraId="25AF799A" w14:textId="77777777" w:rsidR="00D74432" w:rsidRDefault="00D74432" w:rsidP="00454331">
      <w:pPr>
        <w:spacing w:line="480" w:lineRule="auto"/>
        <w:contextualSpacing/>
        <w:jc w:val="both"/>
      </w:pPr>
    </w:p>
    <w:p w14:paraId="57D8CA35" w14:textId="77777777" w:rsidR="00D74432" w:rsidRDefault="00D74432" w:rsidP="00454331">
      <w:pPr>
        <w:spacing w:line="480" w:lineRule="auto"/>
        <w:contextualSpacing/>
        <w:jc w:val="both"/>
      </w:pPr>
    </w:p>
    <w:p w14:paraId="32D2351D" w14:textId="77777777" w:rsidR="00D74432" w:rsidRDefault="00D74432" w:rsidP="00454331">
      <w:pPr>
        <w:spacing w:line="480" w:lineRule="auto"/>
        <w:contextualSpacing/>
        <w:jc w:val="both"/>
      </w:pPr>
    </w:p>
    <w:p w14:paraId="454C558D" w14:textId="77777777" w:rsidR="00D74432" w:rsidRDefault="00D74432" w:rsidP="00454331">
      <w:pPr>
        <w:spacing w:line="480" w:lineRule="auto"/>
        <w:contextualSpacing/>
        <w:jc w:val="both"/>
      </w:pPr>
    </w:p>
    <w:p w14:paraId="1C7AEF05" w14:textId="77777777" w:rsidR="00D74432" w:rsidRDefault="00D74432" w:rsidP="00454331">
      <w:pPr>
        <w:spacing w:line="480" w:lineRule="auto"/>
        <w:contextualSpacing/>
        <w:jc w:val="both"/>
      </w:pPr>
    </w:p>
    <w:p w14:paraId="333062C4" w14:textId="77777777" w:rsidR="00D74432" w:rsidRDefault="00D74432" w:rsidP="00454331">
      <w:pPr>
        <w:spacing w:line="480" w:lineRule="auto"/>
        <w:contextualSpacing/>
        <w:jc w:val="both"/>
      </w:pPr>
    </w:p>
    <w:p w14:paraId="7E730DB7" w14:textId="0913FDEE" w:rsidR="00214952" w:rsidRPr="00E4710C" w:rsidRDefault="00906071" w:rsidP="00E4710C">
      <w:pPr>
        <w:spacing w:line="480" w:lineRule="auto"/>
        <w:jc w:val="both"/>
        <w:rPr>
          <w:b/>
        </w:rPr>
      </w:pPr>
      <w:bookmarkStart w:id="0" w:name="_GoBack"/>
      <w:bookmarkEnd w:id="0"/>
      <w:r w:rsidRPr="00E4710C">
        <w:rPr>
          <w:b/>
        </w:rPr>
        <w:lastRenderedPageBreak/>
        <w:t>Introducción</w:t>
      </w:r>
    </w:p>
    <w:p w14:paraId="0EE9DE00" w14:textId="77777777" w:rsidR="00A379C9" w:rsidRPr="00A379C9" w:rsidRDefault="00A379C9" w:rsidP="00A379C9">
      <w:pPr>
        <w:spacing w:line="480" w:lineRule="auto"/>
        <w:jc w:val="both"/>
        <w:rPr>
          <w:b/>
        </w:rPr>
      </w:pPr>
    </w:p>
    <w:p w14:paraId="0F0D33EF" w14:textId="77777777" w:rsidR="006C2F8D" w:rsidRDefault="009F01AD" w:rsidP="006C2F8D">
      <w:pPr>
        <w:spacing w:line="480" w:lineRule="auto"/>
        <w:ind w:left="284" w:firstLine="284"/>
        <w:jc w:val="both"/>
      </w:pPr>
      <w:r>
        <w:t>El alcohol es la sustancia psicoactiva más consumida en Colombia y a pesar de ser</w:t>
      </w:r>
      <w:r w:rsidR="00F935C4">
        <w:t xml:space="preserve"> una sustancia prohibida para ser consumida por</w:t>
      </w:r>
      <w:r>
        <w:t xml:space="preserve"> menores de edad, que en nuestro país son los 18 años, el 20% de la población entre los 12 y los 17 años refiere haberlo consumido según lo establece el último Estudio Nacional de Consumo de Sustancias Psicoactivas llevado a cabo por el Ministerio de Protección Social (2013).</w:t>
      </w:r>
      <w:r w:rsidR="00F935C4">
        <w:t xml:space="preserve"> </w:t>
      </w:r>
    </w:p>
    <w:p w14:paraId="4FB593B7" w14:textId="3C5A844A" w:rsidR="006C2F8D" w:rsidRDefault="00F935C4" w:rsidP="006C2F8D">
      <w:pPr>
        <w:spacing w:line="480" w:lineRule="auto"/>
        <w:ind w:left="284" w:firstLine="284"/>
        <w:jc w:val="both"/>
      </w:pPr>
      <w:r>
        <w:t xml:space="preserve">Dicha situación es preocupante debido a que uno de los principales motivos por los cuales se prohíbe el consumo de alcohol a los jóvenes que se encuentran en este rango de edad es el riesgo particularmente aumentado para ésta población. </w:t>
      </w:r>
      <w:r w:rsidR="009F01AD">
        <w:t xml:space="preserve"> </w:t>
      </w:r>
      <w:r>
        <w:t>Algunas de las consecuencias que acarrea el consumo de alcohol en la adolescencia incluye problemas médicos, muerte por intoxicación, violencia, agresiones físicas, accidentes de tránsito, violaciones</w:t>
      </w:r>
      <w:r w:rsidR="00A379C9">
        <w:t>,</w:t>
      </w:r>
      <w:r>
        <w:t xml:space="preserve"> comportamiento sexual riesgoso, impacto a nivel psicológico, disfunción familiar, diferentes tipos de lesiones, </w:t>
      </w:r>
      <w:r w:rsidR="009E4226">
        <w:t xml:space="preserve">actos criminales, discapacidad, </w:t>
      </w:r>
      <w:r>
        <w:t>depresión</w:t>
      </w:r>
      <w:r w:rsidR="009E4226">
        <w:t>, trastornos del estado de ánimo</w:t>
      </w:r>
      <w:r>
        <w:t xml:space="preserve"> y suicidio (U.S. Department of Health and Human Services, 2007). </w:t>
      </w:r>
    </w:p>
    <w:p w14:paraId="08EB1631" w14:textId="6E7162D8" w:rsidR="0080196D" w:rsidRPr="00F64C32" w:rsidRDefault="0080196D" w:rsidP="006C2F8D">
      <w:pPr>
        <w:spacing w:line="480" w:lineRule="auto"/>
        <w:ind w:left="284" w:firstLine="284"/>
        <w:jc w:val="both"/>
        <w:rPr>
          <w:lang w:val="es-CO"/>
        </w:rPr>
      </w:pPr>
      <w:r>
        <w:t>Además, d</w:t>
      </w:r>
      <w:r w:rsidR="00F935C4">
        <w:t xml:space="preserve">esde la perspectiva biológica, </w:t>
      </w:r>
      <w:r>
        <w:t xml:space="preserve">diversos estudios científicos han demostrado que el cerebro adolescente aún no se ha terminado de desarrollar totalmente sino hasta pasados los 21 años, reiterando así el riesgo </w:t>
      </w:r>
      <w:r w:rsidR="00A379C9">
        <w:t>implícito en el consumo de</w:t>
      </w:r>
      <w:r>
        <w:t xml:space="preserve"> alcohol antes de que el lóbulo frontal del cerebro esté totalmente desarrollado (</w:t>
      </w:r>
      <w:r w:rsidR="007F1E5A">
        <w:t>Squeglia, Jacobus &amp; Tapert, 2009</w:t>
      </w:r>
      <w:r w:rsidR="006C2F8D">
        <w:t xml:space="preserve">; </w:t>
      </w:r>
      <w:r w:rsidR="007A34E3" w:rsidRPr="00F64C32">
        <w:rPr>
          <w:lang w:val="es-CO"/>
        </w:rPr>
        <w:t>Silveri, 2012; Chambers, Taylor &amp; Potenza, 2003</w:t>
      </w:r>
      <w:r w:rsidR="006C2F8D" w:rsidRPr="00F64C32">
        <w:rPr>
          <w:lang w:val="es-CO"/>
        </w:rPr>
        <w:t xml:space="preserve">). </w:t>
      </w:r>
    </w:p>
    <w:p w14:paraId="2C3399B7" w14:textId="5A2BA2F0" w:rsidR="005971B0" w:rsidRDefault="009E4226" w:rsidP="005971B0">
      <w:pPr>
        <w:spacing w:line="480" w:lineRule="auto"/>
        <w:ind w:left="284" w:firstLine="284"/>
        <w:jc w:val="both"/>
      </w:pPr>
      <w:r w:rsidRPr="00432E7A">
        <w:rPr>
          <w:lang w:val="es-ES_tradnl"/>
        </w:rPr>
        <w:t xml:space="preserve">Diversos factores </w:t>
      </w:r>
      <w:r w:rsidR="00432E7A" w:rsidRPr="00432E7A">
        <w:rPr>
          <w:lang w:val="es-ES_tradnl"/>
        </w:rPr>
        <w:t>influyen en el que un joven decida o no tomar alcohol en la adolescencia</w:t>
      </w:r>
      <w:r w:rsidR="00432E7A">
        <w:rPr>
          <w:lang w:val="es-ES_tradnl"/>
        </w:rPr>
        <w:t>,</w:t>
      </w:r>
      <w:r w:rsidR="00432E7A" w:rsidRPr="00432E7A">
        <w:rPr>
          <w:lang w:val="es-ES_tradnl"/>
        </w:rPr>
        <w:t xml:space="preserve"> entre los cuales se encuentran factores biológicos, psicológicos y sociales que serán específicos para cada adolescente. La cultura, el entorno, el grupo de amigos, la familia, la estructura de personalidad y la genética entre otros pueden ser factores ya sea de riesgo o de protecció</w:t>
      </w:r>
      <w:r w:rsidR="00432E7A">
        <w:rPr>
          <w:lang w:val="es-ES_tradnl"/>
        </w:rPr>
        <w:t xml:space="preserve">n que influirán en la toma </w:t>
      </w:r>
      <w:r w:rsidR="005971B0">
        <w:rPr>
          <w:lang w:val="es-ES_tradnl"/>
        </w:rPr>
        <w:t xml:space="preserve">de decisiones de éstos jóvenes en </w:t>
      </w:r>
      <w:r w:rsidR="005971B0">
        <w:rPr>
          <w:lang w:val="es-ES_tradnl"/>
        </w:rPr>
        <w:lastRenderedPageBreak/>
        <w:t xml:space="preserve">relación con el consumo de alcohol y demás drogas. </w:t>
      </w:r>
      <w:r w:rsidR="005971B0">
        <w:t xml:space="preserve">(U.S. Department of Health and Human Services, 2007). </w:t>
      </w:r>
    </w:p>
    <w:p w14:paraId="724D3CC2" w14:textId="785101FB" w:rsidR="00F67096" w:rsidRDefault="00F67096" w:rsidP="005971B0">
      <w:pPr>
        <w:spacing w:line="480" w:lineRule="auto"/>
        <w:ind w:left="284" w:firstLine="284"/>
        <w:jc w:val="both"/>
      </w:pPr>
      <w:r>
        <w:t xml:space="preserve">Por todo lo anterior se vuelve imperante llevar a cabo acciones educativas y preventivas en el contexto universitario ya que la población aquí contenida se encuentra en edad de alto riesgo y vulnerabilidad para usar alcohol indebidamente, situación que impacta no solamente el rendimiento académico de los estudiantes sino también la integridad de sus vidas en todos los aspectos. </w:t>
      </w:r>
    </w:p>
    <w:p w14:paraId="25AA8091" w14:textId="4E78F875" w:rsidR="005C7339" w:rsidRPr="00432E7A" w:rsidRDefault="005C7339" w:rsidP="009F01AD">
      <w:pPr>
        <w:spacing w:line="480" w:lineRule="auto"/>
        <w:ind w:left="284" w:firstLine="284"/>
        <w:jc w:val="both"/>
        <w:rPr>
          <w:lang w:val="es-ES_tradnl"/>
        </w:rPr>
      </w:pPr>
    </w:p>
    <w:p w14:paraId="718C5807" w14:textId="3C5D1FA4" w:rsidR="00645FB8" w:rsidRDefault="00645FB8" w:rsidP="00906071">
      <w:pPr>
        <w:spacing w:line="480" w:lineRule="auto"/>
        <w:jc w:val="both"/>
        <w:rPr>
          <w:b/>
          <w:lang w:val="es-ES_tradnl"/>
        </w:rPr>
      </w:pPr>
    </w:p>
    <w:p w14:paraId="5B93B3A8" w14:textId="77777777" w:rsidR="00491148" w:rsidRDefault="00491148" w:rsidP="00906071">
      <w:pPr>
        <w:spacing w:line="480" w:lineRule="auto"/>
        <w:jc w:val="both"/>
        <w:rPr>
          <w:b/>
          <w:lang w:val="es-ES_tradnl"/>
        </w:rPr>
      </w:pPr>
    </w:p>
    <w:p w14:paraId="4C601CEE" w14:textId="77777777" w:rsidR="00491148" w:rsidRDefault="00491148" w:rsidP="00906071">
      <w:pPr>
        <w:spacing w:line="480" w:lineRule="auto"/>
        <w:jc w:val="both"/>
        <w:rPr>
          <w:b/>
          <w:lang w:val="es-ES_tradnl"/>
        </w:rPr>
      </w:pPr>
    </w:p>
    <w:p w14:paraId="1E42BBB1" w14:textId="77777777" w:rsidR="00491148" w:rsidRDefault="00491148" w:rsidP="00906071">
      <w:pPr>
        <w:spacing w:line="480" w:lineRule="auto"/>
        <w:jc w:val="both"/>
        <w:rPr>
          <w:b/>
          <w:lang w:val="es-ES_tradnl"/>
        </w:rPr>
      </w:pPr>
    </w:p>
    <w:p w14:paraId="012737FE" w14:textId="77777777" w:rsidR="00491148" w:rsidRDefault="00491148" w:rsidP="00906071">
      <w:pPr>
        <w:spacing w:line="480" w:lineRule="auto"/>
        <w:jc w:val="both"/>
        <w:rPr>
          <w:b/>
          <w:lang w:val="es-ES_tradnl"/>
        </w:rPr>
      </w:pPr>
    </w:p>
    <w:p w14:paraId="589BB1B6" w14:textId="77777777" w:rsidR="00491148" w:rsidRDefault="00491148" w:rsidP="00906071">
      <w:pPr>
        <w:spacing w:line="480" w:lineRule="auto"/>
        <w:jc w:val="both"/>
        <w:rPr>
          <w:b/>
          <w:lang w:val="es-ES_tradnl"/>
        </w:rPr>
      </w:pPr>
    </w:p>
    <w:p w14:paraId="67FD73EC" w14:textId="77777777" w:rsidR="00491148" w:rsidRDefault="00491148" w:rsidP="00906071">
      <w:pPr>
        <w:spacing w:line="480" w:lineRule="auto"/>
        <w:jc w:val="both"/>
        <w:rPr>
          <w:b/>
          <w:lang w:val="es-ES_tradnl"/>
        </w:rPr>
      </w:pPr>
    </w:p>
    <w:p w14:paraId="0155241E" w14:textId="77777777" w:rsidR="00491148" w:rsidRDefault="00491148" w:rsidP="00906071">
      <w:pPr>
        <w:spacing w:line="480" w:lineRule="auto"/>
        <w:jc w:val="both"/>
        <w:rPr>
          <w:b/>
          <w:lang w:val="es-ES_tradnl"/>
        </w:rPr>
      </w:pPr>
    </w:p>
    <w:p w14:paraId="3A573E48" w14:textId="77777777" w:rsidR="00491148" w:rsidRDefault="00491148" w:rsidP="00906071">
      <w:pPr>
        <w:spacing w:line="480" w:lineRule="auto"/>
        <w:jc w:val="both"/>
        <w:rPr>
          <w:b/>
          <w:lang w:val="es-ES_tradnl"/>
        </w:rPr>
      </w:pPr>
    </w:p>
    <w:p w14:paraId="3FFD3084" w14:textId="77777777" w:rsidR="00491148" w:rsidRDefault="00491148" w:rsidP="00906071">
      <w:pPr>
        <w:spacing w:line="480" w:lineRule="auto"/>
        <w:jc w:val="both"/>
        <w:rPr>
          <w:b/>
          <w:lang w:val="es-ES_tradnl"/>
        </w:rPr>
      </w:pPr>
    </w:p>
    <w:p w14:paraId="478291CA" w14:textId="77777777" w:rsidR="00491148" w:rsidRDefault="00491148" w:rsidP="00906071">
      <w:pPr>
        <w:spacing w:line="480" w:lineRule="auto"/>
        <w:jc w:val="both"/>
        <w:rPr>
          <w:b/>
          <w:lang w:val="es-ES_tradnl"/>
        </w:rPr>
      </w:pPr>
    </w:p>
    <w:p w14:paraId="771FD091" w14:textId="77777777" w:rsidR="00491148" w:rsidRDefault="00491148" w:rsidP="00906071">
      <w:pPr>
        <w:spacing w:line="480" w:lineRule="auto"/>
        <w:jc w:val="both"/>
        <w:rPr>
          <w:b/>
          <w:lang w:val="es-ES_tradnl"/>
        </w:rPr>
      </w:pPr>
    </w:p>
    <w:p w14:paraId="1A9130E1" w14:textId="77777777" w:rsidR="00491148" w:rsidRDefault="00491148" w:rsidP="00906071">
      <w:pPr>
        <w:spacing w:line="480" w:lineRule="auto"/>
        <w:jc w:val="both"/>
        <w:rPr>
          <w:b/>
          <w:lang w:val="es-ES_tradnl"/>
        </w:rPr>
      </w:pPr>
    </w:p>
    <w:p w14:paraId="6F3B0D85" w14:textId="77777777" w:rsidR="00491148" w:rsidRDefault="00491148" w:rsidP="00906071">
      <w:pPr>
        <w:spacing w:line="480" w:lineRule="auto"/>
        <w:jc w:val="both"/>
        <w:rPr>
          <w:b/>
          <w:lang w:val="es-ES_tradnl"/>
        </w:rPr>
      </w:pPr>
    </w:p>
    <w:p w14:paraId="5368E155" w14:textId="77777777" w:rsidR="00E4710C" w:rsidRDefault="00E4710C" w:rsidP="00906071">
      <w:pPr>
        <w:spacing w:line="480" w:lineRule="auto"/>
        <w:jc w:val="both"/>
        <w:rPr>
          <w:b/>
          <w:lang w:val="es-ES_tradnl"/>
        </w:rPr>
      </w:pPr>
    </w:p>
    <w:p w14:paraId="79996759" w14:textId="77777777" w:rsidR="00E4710C" w:rsidRDefault="00E4710C" w:rsidP="00906071">
      <w:pPr>
        <w:spacing w:line="480" w:lineRule="auto"/>
        <w:jc w:val="both"/>
        <w:rPr>
          <w:b/>
          <w:lang w:val="es-ES_tradnl"/>
        </w:rPr>
      </w:pPr>
    </w:p>
    <w:p w14:paraId="1E4C586F" w14:textId="77777777" w:rsidR="00A050FD" w:rsidRPr="00432E7A" w:rsidRDefault="00A050FD" w:rsidP="00906071">
      <w:pPr>
        <w:spacing w:line="480" w:lineRule="auto"/>
        <w:jc w:val="both"/>
        <w:rPr>
          <w:b/>
          <w:lang w:val="es-ES_tradnl"/>
        </w:rPr>
      </w:pPr>
    </w:p>
    <w:p w14:paraId="244DD82C" w14:textId="712E9190" w:rsidR="00EF3BDB" w:rsidRPr="00432E7A" w:rsidRDefault="00906071" w:rsidP="00E4710C">
      <w:pPr>
        <w:pStyle w:val="ListParagraph"/>
        <w:numPr>
          <w:ilvl w:val="0"/>
          <w:numId w:val="2"/>
        </w:numPr>
        <w:spacing w:line="480" w:lineRule="auto"/>
        <w:ind w:left="0" w:firstLine="284"/>
        <w:jc w:val="both"/>
        <w:rPr>
          <w:b/>
          <w:lang w:val="es-ES_tradnl"/>
        </w:rPr>
      </w:pPr>
      <w:r w:rsidRPr="00432E7A">
        <w:rPr>
          <w:b/>
          <w:lang w:val="es-ES_tradnl"/>
        </w:rPr>
        <w:lastRenderedPageBreak/>
        <w:t>Pregunta de Investigación</w:t>
      </w:r>
    </w:p>
    <w:p w14:paraId="7E9A0FDE" w14:textId="104C6609" w:rsidR="00A76B36" w:rsidRDefault="00EF3BDB" w:rsidP="005B7C9B">
      <w:pPr>
        <w:spacing w:line="480" w:lineRule="auto"/>
        <w:ind w:firstLine="284"/>
        <w:jc w:val="both"/>
      </w:pPr>
      <w:r w:rsidRPr="00432E7A">
        <w:rPr>
          <w:lang w:val="es-ES_tradnl"/>
        </w:rPr>
        <w:t xml:space="preserve">¿Qué </w:t>
      </w:r>
      <w:r w:rsidR="00936E7E" w:rsidRPr="00432E7A">
        <w:rPr>
          <w:lang w:val="es-ES_tradnl"/>
        </w:rPr>
        <w:t xml:space="preserve">relaciones existen </w:t>
      </w:r>
      <w:r w:rsidRPr="00432E7A">
        <w:rPr>
          <w:lang w:val="es-ES_tradnl"/>
        </w:rPr>
        <w:t>entre los patrones de consumo de alcohol y el género, la edad y la</w:t>
      </w:r>
      <w:r w:rsidRPr="00CA6A43">
        <w:t xml:space="preserve">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2556E8C7" w14:textId="77777777" w:rsidR="00064F7D" w:rsidRDefault="00064F7D" w:rsidP="005B7C9B">
      <w:pPr>
        <w:spacing w:line="480" w:lineRule="auto"/>
        <w:ind w:firstLine="284"/>
        <w:jc w:val="both"/>
      </w:pPr>
    </w:p>
    <w:p w14:paraId="584BBD1C" w14:textId="77777777" w:rsidR="00906071" w:rsidRDefault="00906071" w:rsidP="005B7C9B">
      <w:pPr>
        <w:spacing w:line="480" w:lineRule="auto"/>
        <w:ind w:firstLine="284"/>
        <w:jc w:val="both"/>
      </w:pPr>
    </w:p>
    <w:p w14:paraId="6CA2B096" w14:textId="77777777" w:rsidR="00906071" w:rsidRDefault="00906071" w:rsidP="005B7C9B">
      <w:pPr>
        <w:spacing w:line="480" w:lineRule="auto"/>
        <w:ind w:firstLine="284"/>
        <w:jc w:val="both"/>
      </w:pPr>
    </w:p>
    <w:p w14:paraId="2EAF0A59" w14:textId="77777777" w:rsidR="00491148" w:rsidRDefault="00491148" w:rsidP="005B7C9B">
      <w:pPr>
        <w:spacing w:line="480" w:lineRule="auto"/>
        <w:ind w:firstLine="284"/>
        <w:jc w:val="both"/>
      </w:pPr>
    </w:p>
    <w:p w14:paraId="0C2CD2C6" w14:textId="77777777" w:rsidR="00491148" w:rsidRDefault="00491148" w:rsidP="005B7C9B">
      <w:pPr>
        <w:spacing w:line="480" w:lineRule="auto"/>
        <w:ind w:firstLine="284"/>
        <w:jc w:val="both"/>
      </w:pPr>
    </w:p>
    <w:p w14:paraId="2E9EB29F" w14:textId="77777777" w:rsidR="00491148" w:rsidRDefault="00491148" w:rsidP="005B7C9B">
      <w:pPr>
        <w:spacing w:line="480" w:lineRule="auto"/>
        <w:ind w:firstLine="284"/>
        <w:jc w:val="both"/>
      </w:pPr>
    </w:p>
    <w:p w14:paraId="19375C8C" w14:textId="77777777" w:rsidR="00491148" w:rsidRDefault="00491148" w:rsidP="005B7C9B">
      <w:pPr>
        <w:spacing w:line="480" w:lineRule="auto"/>
        <w:ind w:firstLine="284"/>
        <w:jc w:val="both"/>
      </w:pPr>
    </w:p>
    <w:p w14:paraId="7BE63814" w14:textId="77777777" w:rsidR="00491148" w:rsidRDefault="00491148" w:rsidP="005B7C9B">
      <w:pPr>
        <w:spacing w:line="480" w:lineRule="auto"/>
        <w:ind w:firstLine="284"/>
        <w:jc w:val="both"/>
      </w:pPr>
    </w:p>
    <w:p w14:paraId="4A025392" w14:textId="77777777" w:rsidR="00491148" w:rsidRDefault="00491148" w:rsidP="005B7C9B">
      <w:pPr>
        <w:spacing w:line="480" w:lineRule="auto"/>
        <w:ind w:firstLine="284"/>
        <w:jc w:val="both"/>
      </w:pPr>
    </w:p>
    <w:p w14:paraId="564CEF10" w14:textId="77777777" w:rsidR="00491148" w:rsidRDefault="00491148" w:rsidP="005B7C9B">
      <w:pPr>
        <w:spacing w:line="480" w:lineRule="auto"/>
        <w:ind w:firstLine="284"/>
        <w:jc w:val="both"/>
      </w:pPr>
    </w:p>
    <w:p w14:paraId="607C2FA6" w14:textId="77777777" w:rsidR="00491148" w:rsidRDefault="00491148" w:rsidP="005B7C9B">
      <w:pPr>
        <w:spacing w:line="480" w:lineRule="auto"/>
        <w:ind w:firstLine="284"/>
        <w:jc w:val="both"/>
      </w:pPr>
    </w:p>
    <w:p w14:paraId="173CD04B" w14:textId="77777777" w:rsidR="00491148" w:rsidRDefault="00491148" w:rsidP="005B7C9B">
      <w:pPr>
        <w:spacing w:line="480" w:lineRule="auto"/>
        <w:ind w:firstLine="284"/>
        <w:jc w:val="both"/>
      </w:pPr>
    </w:p>
    <w:p w14:paraId="130F90AF" w14:textId="77777777" w:rsidR="00491148" w:rsidRDefault="00491148" w:rsidP="005B7C9B">
      <w:pPr>
        <w:spacing w:line="480" w:lineRule="auto"/>
        <w:ind w:firstLine="284"/>
        <w:jc w:val="both"/>
      </w:pPr>
    </w:p>
    <w:p w14:paraId="572E4F55" w14:textId="77777777" w:rsidR="00491148" w:rsidRDefault="00491148" w:rsidP="005B7C9B">
      <w:pPr>
        <w:spacing w:line="480" w:lineRule="auto"/>
        <w:ind w:firstLine="284"/>
        <w:jc w:val="both"/>
      </w:pPr>
    </w:p>
    <w:p w14:paraId="26A64DD7" w14:textId="77777777" w:rsidR="00491148" w:rsidRDefault="00491148" w:rsidP="005B7C9B">
      <w:pPr>
        <w:spacing w:line="480" w:lineRule="auto"/>
        <w:ind w:firstLine="284"/>
        <w:jc w:val="both"/>
      </w:pPr>
    </w:p>
    <w:p w14:paraId="55050267" w14:textId="77777777" w:rsidR="00491148" w:rsidRDefault="00491148" w:rsidP="005B7C9B">
      <w:pPr>
        <w:spacing w:line="480" w:lineRule="auto"/>
        <w:ind w:firstLine="284"/>
        <w:jc w:val="both"/>
      </w:pPr>
    </w:p>
    <w:p w14:paraId="3C3A0654" w14:textId="77777777" w:rsidR="00491148" w:rsidRDefault="00491148" w:rsidP="005B7C9B">
      <w:pPr>
        <w:spacing w:line="480" w:lineRule="auto"/>
        <w:ind w:firstLine="284"/>
        <w:jc w:val="both"/>
      </w:pPr>
    </w:p>
    <w:p w14:paraId="1911A759" w14:textId="77777777" w:rsidR="00491148" w:rsidRDefault="00491148" w:rsidP="005B7C9B">
      <w:pPr>
        <w:spacing w:line="480" w:lineRule="auto"/>
        <w:ind w:firstLine="284"/>
        <w:jc w:val="both"/>
      </w:pPr>
    </w:p>
    <w:p w14:paraId="554DCB36" w14:textId="77777777" w:rsidR="00491148" w:rsidRDefault="00491148" w:rsidP="005B7C9B">
      <w:pPr>
        <w:spacing w:line="480" w:lineRule="auto"/>
        <w:ind w:firstLine="284"/>
        <w:jc w:val="both"/>
      </w:pPr>
    </w:p>
    <w:p w14:paraId="2479B434" w14:textId="77777777" w:rsidR="00491148" w:rsidRDefault="00491148" w:rsidP="005B7C9B">
      <w:pPr>
        <w:spacing w:line="480" w:lineRule="auto"/>
        <w:ind w:firstLine="284"/>
        <w:jc w:val="both"/>
      </w:pPr>
    </w:p>
    <w:p w14:paraId="6C0303B5" w14:textId="77777777" w:rsidR="00491148" w:rsidRDefault="00491148" w:rsidP="005B7C9B">
      <w:pPr>
        <w:spacing w:line="480" w:lineRule="auto"/>
        <w:ind w:firstLine="284"/>
        <w:jc w:val="both"/>
      </w:pPr>
    </w:p>
    <w:p w14:paraId="58C229E2" w14:textId="77777777" w:rsidR="00491148" w:rsidRPr="00214952" w:rsidRDefault="00491148" w:rsidP="005B7C9B">
      <w:pPr>
        <w:spacing w:line="480" w:lineRule="auto"/>
        <w:ind w:firstLine="284"/>
        <w:jc w:val="both"/>
      </w:pPr>
    </w:p>
    <w:p w14:paraId="74392397" w14:textId="02FDDC78" w:rsidR="00EB1C36" w:rsidRPr="00064F7D" w:rsidRDefault="00906071" w:rsidP="00E4710C">
      <w:pPr>
        <w:pStyle w:val="ListParagraph"/>
        <w:numPr>
          <w:ilvl w:val="0"/>
          <w:numId w:val="2"/>
        </w:numPr>
        <w:spacing w:line="480" w:lineRule="auto"/>
        <w:ind w:left="0" w:firstLine="284"/>
        <w:jc w:val="both"/>
        <w:rPr>
          <w:b/>
        </w:rPr>
      </w:pPr>
      <w:r>
        <w:rPr>
          <w:b/>
        </w:rPr>
        <w:lastRenderedPageBreak/>
        <w:t>Objetivos</w:t>
      </w:r>
    </w:p>
    <w:p w14:paraId="6109855D" w14:textId="77777777" w:rsidR="00403A5E" w:rsidRPr="00403A5E" w:rsidRDefault="0086404E" w:rsidP="00E4710C">
      <w:pPr>
        <w:pStyle w:val="ListParagraph"/>
        <w:numPr>
          <w:ilvl w:val="1"/>
          <w:numId w:val="2"/>
        </w:numPr>
        <w:spacing w:line="480" w:lineRule="auto"/>
        <w:ind w:left="0" w:firstLine="284"/>
        <w:jc w:val="both"/>
      </w:pPr>
      <w:r w:rsidRPr="00403A5E">
        <w:rPr>
          <w:b/>
        </w:rPr>
        <w:t>Objetivo General</w:t>
      </w:r>
      <w:r w:rsidR="00403A5E">
        <w:rPr>
          <w:b/>
        </w:rPr>
        <w:t xml:space="preserve">: </w:t>
      </w:r>
    </w:p>
    <w:p w14:paraId="7C20F9A8" w14:textId="0987B5E1" w:rsidR="00A76B36" w:rsidRDefault="0086404E" w:rsidP="00E4710C">
      <w:pPr>
        <w:pStyle w:val="ListParagraph"/>
        <w:numPr>
          <w:ilvl w:val="2"/>
          <w:numId w:val="2"/>
        </w:numPr>
        <w:spacing w:line="480" w:lineRule="auto"/>
        <w:ind w:left="0" w:firstLine="284"/>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7AFB1CA" w14:textId="77777777" w:rsidR="006D3D3B" w:rsidRDefault="006D3D3B" w:rsidP="006D3D3B">
      <w:pPr>
        <w:pStyle w:val="ListParagraph"/>
        <w:spacing w:line="480" w:lineRule="auto"/>
        <w:ind w:left="284"/>
        <w:jc w:val="both"/>
      </w:pPr>
    </w:p>
    <w:p w14:paraId="451FEC4C" w14:textId="50D4DA0C" w:rsidR="0086404E" w:rsidRPr="00403A5E" w:rsidRDefault="0086404E" w:rsidP="00E4710C">
      <w:pPr>
        <w:pStyle w:val="ListParagraph"/>
        <w:numPr>
          <w:ilvl w:val="1"/>
          <w:numId w:val="2"/>
        </w:numPr>
        <w:spacing w:line="480" w:lineRule="auto"/>
        <w:ind w:left="0" w:firstLine="284"/>
        <w:jc w:val="both"/>
      </w:pPr>
      <w:r w:rsidRPr="00403A5E">
        <w:rPr>
          <w:b/>
        </w:rPr>
        <w:t>Objetivos Específicos</w:t>
      </w:r>
    </w:p>
    <w:p w14:paraId="23EC73BD" w14:textId="581CF802" w:rsidR="0086404E" w:rsidRPr="00CA6A43" w:rsidRDefault="0086404E" w:rsidP="00E4710C">
      <w:pPr>
        <w:pStyle w:val="ListParagraph"/>
        <w:numPr>
          <w:ilvl w:val="0"/>
          <w:numId w:val="1"/>
        </w:numPr>
        <w:spacing w:line="480" w:lineRule="auto"/>
        <w:ind w:left="0" w:firstLine="284"/>
        <w:jc w:val="both"/>
        <w:rPr>
          <w:b/>
        </w:rPr>
      </w:pPr>
      <w:r w:rsidRPr="00CA6A43">
        <w:t xml:space="preserve">Caracterizar los patrones de consumo de alcohol en un grupo de estudiantes de </w:t>
      </w:r>
      <w:r w:rsidR="004F6877">
        <w:t xml:space="preserve">una universidad privada </w:t>
      </w:r>
      <w:r w:rsidRPr="00CA6A43">
        <w:t>de la ciudad de Cali según su nivel de riesgo.</w:t>
      </w:r>
    </w:p>
    <w:p w14:paraId="573BFA4D" w14:textId="77777777" w:rsidR="00214952" w:rsidRPr="00491148" w:rsidRDefault="0086404E" w:rsidP="00E4710C">
      <w:pPr>
        <w:pStyle w:val="ListParagraph"/>
        <w:numPr>
          <w:ilvl w:val="0"/>
          <w:numId w:val="1"/>
        </w:numPr>
        <w:spacing w:line="480" w:lineRule="auto"/>
        <w:ind w:left="0" w:firstLine="284"/>
        <w:jc w:val="both"/>
        <w:rPr>
          <w:b/>
        </w:rPr>
      </w:pPr>
      <w:r w:rsidRPr="00CA6A43">
        <w:t>Analizar las diferencias entre los patrones de consumo de alcohol según la edad, el sexo y la carrera.</w:t>
      </w:r>
    </w:p>
    <w:p w14:paraId="4AB22845" w14:textId="77777777" w:rsidR="00491148" w:rsidRDefault="00491148" w:rsidP="00491148">
      <w:pPr>
        <w:spacing w:line="480" w:lineRule="auto"/>
        <w:jc w:val="both"/>
        <w:rPr>
          <w:b/>
        </w:rPr>
      </w:pPr>
    </w:p>
    <w:p w14:paraId="19AD9ACF" w14:textId="77777777" w:rsidR="00491148" w:rsidRDefault="00491148" w:rsidP="00491148">
      <w:pPr>
        <w:spacing w:line="480" w:lineRule="auto"/>
        <w:jc w:val="both"/>
        <w:rPr>
          <w:b/>
        </w:rPr>
      </w:pPr>
    </w:p>
    <w:p w14:paraId="3418A5BB" w14:textId="77777777" w:rsidR="00491148" w:rsidRDefault="00491148" w:rsidP="00491148">
      <w:pPr>
        <w:spacing w:line="480" w:lineRule="auto"/>
        <w:jc w:val="both"/>
        <w:rPr>
          <w:b/>
        </w:rPr>
      </w:pPr>
    </w:p>
    <w:p w14:paraId="309AC90E" w14:textId="77777777" w:rsidR="00491148" w:rsidRDefault="00491148" w:rsidP="00491148">
      <w:pPr>
        <w:spacing w:line="480" w:lineRule="auto"/>
        <w:jc w:val="both"/>
        <w:rPr>
          <w:b/>
        </w:rPr>
      </w:pPr>
    </w:p>
    <w:p w14:paraId="3D1FFAEC" w14:textId="77777777" w:rsidR="00491148" w:rsidRDefault="00491148" w:rsidP="00491148">
      <w:pPr>
        <w:spacing w:line="480" w:lineRule="auto"/>
        <w:jc w:val="both"/>
        <w:rPr>
          <w:b/>
        </w:rPr>
      </w:pPr>
    </w:p>
    <w:p w14:paraId="0EEA0B9A" w14:textId="77777777" w:rsidR="00491148" w:rsidRDefault="00491148" w:rsidP="00491148">
      <w:pPr>
        <w:spacing w:line="480" w:lineRule="auto"/>
        <w:jc w:val="both"/>
        <w:rPr>
          <w:b/>
        </w:rPr>
      </w:pPr>
    </w:p>
    <w:p w14:paraId="43CBBA95" w14:textId="77777777" w:rsidR="00491148" w:rsidRDefault="00491148" w:rsidP="00491148">
      <w:pPr>
        <w:spacing w:line="480" w:lineRule="auto"/>
        <w:jc w:val="both"/>
        <w:rPr>
          <w:b/>
        </w:rPr>
      </w:pPr>
    </w:p>
    <w:p w14:paraId="79C1C356" w14:textId="77777777" w:rsidR="00491148" w:rsidRDefault="00491148" w:rsidP="00491148">
      <w:pPr>
        <w:spacing w:line="480" w:lineRule="auto"/>
        <w:jc w:val="both"/>
        <w:rPr>
          <w:b/>
        </w:rPr>
      </w:pPr>
    </w:p>
    <w:p w14:paraId="196FB8F3" w14:textId="77777777" w:rsidR="00491148" w:rsidRDefault="00491148" w:rsidP="00491148">
      <w:pPr>
        <w:spacing w:line="480" w:lineRule="auto"/>
        <w:jc w:val="both"/>
        <w:rPr>
          <w:b/>
        </w:rPr>
      </w:pPr>
    </w:p>
    <w:p w14:paraId="6E16FBBF" w14:textId="77777777" w:rsidR="00491148" w:rsidRDefault="00491148" w:rsidP="00491148">
      <w:pPr>
        <w:spacing w:line="480" w:lineRule="auto"/>
        <w:jc w:val="both"/>
        <w:rPr>
          <w:b/>
        </w:rPr>
      </w:pPr>
    </w:p>
    <w:p w14:paraId="02C4B471" w14:textId="77777777" w:rsidR="00491148" w:rsidRDefault="00491148" w:rsidP="00491148">
      <w:pPr>
        <w:spacing w:line="480" w:lineRule="auto"/>
        <w:jc w:val="both"/>
        <w:rPr>
          <w:b/>
        </w:rPr>
      </w:pPr>
    </w:p>
    <w:p w14:paraId="4F4B15D0" w14:textId="77777777" w:rsidR="00491148" w:rsidRDefault="00491148" w:rsidP="00491148">
      <w:pPr>
        <w:spacing w:line="480" w:lineRule="auto"/>
        <w:jc w:val="both"/>
        <w:rPr>
          <w:b/>
        </w:rPr>
      </w:pPr>
    </w:p>
    <w:p w14:paraId="0E90A057" w14:textId="77777777" w:rsidR="00491148" w:rsidRDefault="00491148" w:rsidP="00491148">
      <w:pPr>
        <w:spacing w:line="480" w:lineRule="auto"/>
        <w:jc w:val="both"/>
        <w:rPr>
          <w:b/>
        </w:rPr>
      </w:pPr>
    </w:p>
    <w:p w14:paraId="5D63D091" w14:textId="77777777" w:rsidR="00491148" w:rsidRDefault="00491148" w:rsidP="00491148">
      <w:pPr>
        <w:spacing w:line="480" w:lineRule="auto"/>
        <w:jc w:val="both"/>
        <w:rPr>
          <w:b/>
        </w:rPr>
      </w:pPr>
    </w:p>
    <w:p w14:paraId="2B54ED1B" w14:textId="77777777" w:rsidR="00214952" w:rsidRPr="00214952" w:rsidRDefault="00214952" w:rsidP="005B7C9B">
      <w:pPr>
        <w:pStyle w:val="ListParagraph"/>
        <w:spacing w:line="480" w:lineRule="auto"/>
        <w:ind w:left="0" w:firstLine="284"/>
        <w:jc w:val="both"/>
        <w:rPr>
          <w:b/>
        </w:rPr>
      </w:pPr>
    </w:p>
    <w:p w14:paraId="25FE576C" w14:textId="04F38B32" w:rsidR="00214952" w:rsidRDefault="00906071" w:rsidP="00E4710C">
      <w:pPr>
        <w:pStyle w:val="ListParagraph"/>
        <w:numPr>
          <w:ilvl w:val="0"/>
          <w:numId w:val="10"/>
        </w:numPr>
        <w:spacing w:line="480" w:lineRule="auto"/>
        <w:jc w:val="both"/>
        <w:rPr>
          <w:b/>
        </w:rPr>
      </w:pPr>
      <w:r>
        <w:rPr>
          <w:b/>
        </w:rPr>
        <w:lastRenderedPageBreak/>
        <w:t>Hipótesis</w:t>
      </w:r>
    </w:p>
    <w:p w14:paraId="3868DD63" w14:textId="24623F29" w:rsidR="00A76B36" w:rsidRDefault="00214952" w:rsidP="005B7C9B">
      <w:pPr>
        <w:pStyle w:val="ListParagraph"/>
        <w:spacing w:line="480" w:lineRule="auto"/>
        <w:ind w:left="0" w:firstLine="284"/>
        <w:jc w:val="both"/>
      </w:pPr>
      <w:r>
        <w:t xml:space="preserve">     </w:t>
      </w:r>
      <w:r w:rsidR="00EB1C36">
        <w:t xml:space="preserve">La hipótesis de trabajo del presente estudio es </w:t>
      </w:r>
      <w:r w:rsidR="00355C20">
        <w:t xml:space="preserve">que </w:t>
      </w:r>
      <w:r w:rsidR="00EB1C36" w:rsidRPr="00B242A2">
        <w:t>hay una relación</w:t>
      </w:r>
      <w:r w:rsidR="00EB1C36">
        <w:t xml:space="preserve"> entre los patrones de consumo de alcohol, la edad, el género y la carrera en un grupo de 326 estudiantes de </w:t>
      </w:r>
      <w:r w:rsidR="004F6877">
        <w:t xml:space="preserve">una universidad privada </w:t>
      </w:r>
      <w:r w:rsidR="00EB1C36">
        <w:t>de la ciudad de Cali.</w:t>
      </w:r>
    </w:p>
    <w:p w14:paraId="67FC0909" w14:textId="77777777" w:rsidR="007316BA" w:rsidRDefault="007316BA" w:rsidP="005B7C9B">
      <w:pPr>
        <w:pStyle w:val="ListParagraph"/>
        <w:spacing w:line="480" w:lineRule="auto"/>
        <w:ind w:left="0" w:firstLine="284"/>
        <w:jc w:val="both"/>
      </w:pPr>
    </w:p>
    <w:p w14:paraId="3B5FA326" w14:textId="77777777" w:rsidR="00491148" w:rsidRDefault="00491148" w:rsidP="005B7C9B">
      <w:pPr>
        <w:pStyle w:val="ListParagraph"/>
        <w:spacing w:line="480" w:lineRule="auto"/>
        <w:ind w:left="0" w:firstLine="284"/>
        <w:jc w:val="both"/>
      </w:pPr>
    </w:p>
    <w:p w14:paraId="5F02C138" w14:textId="77777777" w:rsidR="00491148" w:rsidRDefault="00491148" w:rsidP="005B7C9B">
      <w:pPr>
        <w:pStyle w:val="ListParagraph"/>
        <w:spacing w:line="480" w:lineRule="auto"/>
        <w:ind w:left="0" w:firstLine="284"/>
        <w:jc w:val="both"/>
      </w:pPr>
    </w:p>
    <w:p w14:paraId="07BB6813" w14:textId="77777777" w:rsidR="00491148" w:rsidRDefault="00491148" w:rsidP="005B7C9B">
      <w:pPr>
        <w:pStyle w:val="ListParagraph"/>
        <w:spacing w:line="480" w:lineRule="auto"/>
        <w:ind w:left="0" w:firstLine="284"/>
        <w:jc w:val="both"/>
      </w:pPr>
    </w:p>
    <w:p w14:paraId="3B945581" w14:textId="77777777" w:rsidR="00491148" w:rsidRDefault="00491148" w:rsidP="005B7C9B">
      <w:pPr>
        <w:pStyle w:val="ListParagraph"/>
        <w:spacing w:line="480" w:lineRule="auto"/>
        <w:ind w:left="0" w:firstLine="284"/>
        <w:jc w:val="both"/>
      </w:pPr>
    </w:p>
    <w:p w14:paraId="44A0FCF8" w14:textId="77777777" w:rsidR="00491148" w:rsidRDefault="00491148" w:rsidP="005B7C9B">
      <w:pPr>
        <w:pStyle w:val="ListParagraph"/>
        <w:spacing w:line="480" w:lineRule="auto"/>
        <w:ind w:left="0" w:firstLine="284"/>
        <w:jc w:val="both"/>
      </w:pPr>
    </w:p>
    <w:p w14:paraId="6F159E64" w14:textId="77777777" w:rsidR="00491148" w:rsidRDefault="00491148" w:rsidP="005B7C9B">
      <w:pPr>
        <w:pStyle w:val="ListParagraph"/>
        <w:spacing w:line="480" w:lineRule="auto"/>
        <w:ind w:left="0" w:firstLine="284"/>
        <w:jc w:val="both"/>
      </w:pPr>
    </w:p>
    <w:p w14:paraId="2B6A5C8A" w14:textId="77777777" w:rsidR="00491148" w:rsidRDefault="00491148" w:rsidP="005B7C9B">
      <w:pPr>
        <w:pStyle w:val="ListParagraph"/>
        <w:spacing w:line="480" w:lineRule="auto"/>
        <w:ind w:left="0" w:firstLine="284"/>
        <w:jc w:val="both"/>
      </w:pPr>
    </w:p>
    <w:p w14:paraId="2A6CD780" w14:textId="77777777" w:rsidR="00491148" w:rsidRDefault="00491148" w:rsidP="005B7C9B">
      <w:pPr>
        <w:pStyle w:val="ListParagraph"/>
        <w:spacing w:line="480" w:lineRule="auto"/>
        <w:ind w:left="0" w:firstLine="284"/>
        <w:jc w:val="both"/>
      </w:pPr>
    </w:p>
    <w:p w14:paraId="2C941A46" w14:textId="77777777" w:rsidR="00491148" w:rsidRDefault="00491148" w:rsidP="005B7C9B">
      <w:pPr>
        <w:pStyle w:val="ListParagraph"/>
        <w:spacing w:line="480" w:lineRule="auto"/>
        <w:ind w:left="0" w:firstLine="284"/>
        <w:jc w:val="both"/>
      </w:pPr>
    </w:p>
    <w:p w14:paraId="48C0C1ED" w14:textId="77777777" w:rsidR="00491148" w:rsidRDefault="00491148" w:rsidP="005B7C9B">
      <w:pPr>
        <w:pStyle w:val="ListParagraph"/>
        <w:spacing w:line="480" w:lineRule="auto"/>
        <w:ind w:left="0" w:firstLine="284"/>
        <w:jc w:val="both"/>
      </w:pPr>
    </w:p>
    <w:p w14:paraId="25DC7A6A" w14:textId="77777777" w:rsidR="00491148" w:rsidRDefault="00491148" w:rsidP="005B7C9B">
      <w:pPr>
        <w:pStyle w:val="ListParagraph"/>
        <w:spacing w:line="480" w:lineRule="auto"/>
        <w:ind w:left="0" w:firstLine="284"/>
        <w:jc w:val="both"/>
      </w:pPr>
    </w:p>
    <w:p w14:paraId="1650FBC4" w14:textId="77777777" w:rsidR="00491148" w:rsidRDefault="00491148" w:rsidP="005B7C9B">
      <w:pPr>
        <w:pStyle w:val="ListParagraph"/>
        <w:spacing w:line="480" w:lineRule="auto"/>
        <w:ind w:left="0" w:firstLine="284"/>
        <w:jc w:val="both"/>
      </w:pPr>
    </w:p>
    <w:p w14:paraId="3BD75E14" w14:textId="77777777" w:rsidR="00491148" w:rsidRDefault="00491148" w:rsidP="005B7C9B">
      <w:pPr>
        <w:pStyle w:val="ListParagraph"/>
        <w:spacing w:line="480" w:lineRule="auto"/>
        <w:ind w:left="0" w:firstLine="284"/>
        <w:jc w:val="both"/>
      </w:pPr>
    </w:p>
    <w:p w14:paraId="5040F0DE" w14:textId="77777777" w:rsidR="00491148" w:rsidRDefault="00491148" w:rsidP="005B7C9B">
      <w:pPr>
        <w:pStyle w:val="ListParagraph"/>
        <w:spacing w:line="480" w:lineRule="auto"/>
        <w:ind w:left="0" w:firstLine="284"/>
        <w:jc w:val="both"/>
      </w:pPr>
    </w:p>
    <w:p w14:paraId="6665590D" w14:textId="77777777" w:rsidR="00491148" w:rsidRDefault="00491148" w:rsidP="005B7C9B">
      <w:pPr>
        <w:pStyle w:val="ListParagraph"/>
        <w:spacing w:line="480" w:lineRule="auto"/>
        <w:ind w:left="0" w:firstLine="284"/>
        <w:jc w:val="both"/>
      </w:pPr>
    </w:p>
    <w:p w14:paraId="591630D9" w14:textId="77777777" w:rsidR="00491148" w:rsidRDefault="00491148" w:rsidP="005B7C9B">
      <w:pPr>
        <w:pStyle w:val="ListParagraph"/>
        <w:spacing w:line="480" w:lineRule="auto"/>
        <w:ind w:left="0" w:firstLine="284"/>
        <w:jc w:val="both"/>
      </w:pPr>
    </w:p>
    <w:p w14:paraId="435CC89A" w14:textId="77777777" w:rsidR="00491148" w:rsidRDefault="00491148" w:rsidP="005B7C9B">
      <w:pPr>
        <w:pStyle w:val="ListParagraph"/>
        <w:spacing w:line="480" w:lineRule="auto"/>
        <w:ind w:left="0" w:firstLine="284"/>
        <w:jc w:val="both"/>
      </w:pPr>
    </w:p>
    <w:p w14:paraId="179CEEC9" w14:textId="77777777" w:rsidR="00CD0E9F" w:rsidRDefault="00CD0E9F" w:rsidP="00A050FD">
      <w:pPr>
        <w:spacing w:line="480" w:lineRule="auto"/>
        <w:jc w:val="both"/>
      </w:pPr>
    </w:p>
    <w:p w14:paraId="71E94C60" w14:textId="77777777" w:rsidR="00A050FD" w:rsidRDefault="00A050FD" w:rsidP="00A050FD">
      <w:pPr>
        <w:spacing w:line="480" w:lineRule="auto"/>
        <w:jc w:val="both"/>
      </w:pPr>
    </w:p>
    <w:p w14:paraId="1E23F11B" w14:textId="77777777" w:rsidR="00A050FD" w:rsidRDefault="00A050FD" w:rsidP="00A050FD">
      <w:pPr>
        <w:spacing w:line="480" w:lineRule="auto"/>
        <w:jc w:val="both"/>
      </w:pPr>
    </w:p>
    <w:p w14:paraId="13E3A709" w14:textId="643820B5" w:rsidR="005676C8" w:rsidRPr="00CA6DE1" w:rsidRDefault="00906071" w:rsidP="00E4710C">
      <w:pPr>
        <w:pStyle w:val="ListParagraph"/>
        <w:numPr>
          <w:ilvl w:val="0"/>
          <w:numId w:val="9"/>
        </w:numPr>
        <w:spacing w:line="480" w:lineRule="auto"/>
        <w:ind w:left="0" w:firstLine="284"/>
        <w:jc w:val="both"/>
      </w:pPr>
      <w:r>
        <w:rPr>
          <w:b/>
        </w:rPr>
        <w:lastRenderedPageBreak/>
        <w:t>Marco Teórico</w:t>
      </w:r>
    </w:p>
    <w:p w14:paraId="22E48970" w14:textId="77777777" w:rsidR="00CA6DE1" w:rsidRPr="00064F7D" w:rsidRDefault="00CA6DE1" w:rsidP="00CA6DE1">
      <w:pPr>
        <w:pStyle w:val="ListParagraph"/>
        <w:spacing w:line="480" w:lineRule="auto"/>
        <w:ind w:left="284"/>
        <w:jc w:val="both"/>
      </w:pPr>
    </w:p>
    <w:p w14:paraId="35F2C844" w14:textId="77777777" w:rsidR="00C32C02" w:rsidRDefault="005676C8" w:rsidP="005B7C9B">
      <w:pPr>
        <w:spacing w:line="480" w:lineRule="auto"/>
        <w:ind w:firstLine="284"/>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005DA492" w:rsidR="00783970" w:rsidRPr="00CA6A43" w:rsidRDefault="00783970" w:rsidP="004F6877">
      <w:pPr>
        <w:spacing w:line="480" w:lineRule="auto"/>
        <w:ind w:firstLine="284"/>
        <w:jc w:val="both"/>
      </w:pPr>
      <w:r w:rsidRPr="00CA6A43">
        <w:t xml:space="preserve">Siendo el comportamiento humano uno de los objetivos de estudio fundamentales para la psicología, se vuelve preponderante el estudio del </w:t>
      </w:r>
      <w:r w:rsidR="005676C8" w:rsidRPr="00CA6A43">
        <w:t xml:space="preserve">consumo de </w:t>
      </w:r>
      <w:r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00C32C02" w:rsidRPr="00CA6A43">
        <w:t>,</w:t>
      </w:r>
      <w:r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0CE5FEF5" w14:textId="299692D1" w:rsidR="00783970" w:rsidRPr="00CA6A43" w:rsidRDefault="00783970" w:rsidP="005B7C9B">
      <w:pPr>
        <w:spacing w:line="480" w:lineRule="auto"/>
        <w:ind w:firstLine="284"/>
        <w:contextualSpacing/>
        <w:jc w:val="both"/>
      </w:pPr>
      <w:r w:rsidRPr="00CA6A43">
        <w:t xml:space="preserve">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w:t>
      </w:r>
      <w:r w:rsidRPr="00CA6A43">
        <w:lastRenderedPageBreak/>
        <w:t>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2375B4B1" w14:textId="58B55A2A" w:rsidR="00970E0C" w:rsidRPr="00CA6A43" w:rsidRDefault="00AA055D" w:rsidP="005B7C9B">
      <w:pPr>
        <w:spacing w:line="480" w:lineRule="auto"/>
        <w:ind w:firstLine="284"/>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w:t>
      </w:r>
      <w:r w:rsidR="00906071">
        <w:t>do por Gantiva, Bello, Vanegas y</w:t>
      </w:r>
      <w:r w:rsidR="00252241" w:rsidRPr="00CA6A43">
        <w:t xml:space="preserve">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906071">
        <w:t xml:space="preserve"> Montaño, Morales, Gomez, Vera y</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48482DEB" w14:textId="17D8393F" w:rsidR="002B3CD7" w:rsidRPr="00CA6A43" w:rsidRDefault="00063C8A" w:rsidP="005B7C9B">
      <w:pPr>
        <w:spacing w:line="480" w:lineRule="auto"/>
        <w:ind w:firstLine="284"/>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 xml:space="preserve">de los cuales 1.9 millones son hombres y 0.6 millones son mujeres. Dentro de este grupo, los jóvenes entre 18 y 24 años son los que </w:t>
      </w:r>
      <w:r w:rsidRPr="001E2476">
        <w:lastRenderedPageBreak/>
        <w:t>presentan el mayor impacto en cuanto a consumo perjudicial de alcohol, siendo</w:t>
      </w:r>
      <w:r w:rsidRPr="00CA6A43">
        <w:t xml:space="preserve"> este rango de edad el de la mayoría</w:t>
      </w:r>
      <w:r w:rsidR="002B458C">
        <w:t xml:space="preserve"> de estudiantes universitarios.</w:t>
      </w:r>
    </w:p>
    <w:p w14:paraId="6E72A277" w14:textId="2A00A1B5" w:rsidR="00783970" w:rsidRPr="00CA6A43" w:rsidRDefault="00783970" w:rsidP="005B7C9B">
      <w:pPr>
        <w:spacing w:line="480" w:lineRule="auto"/>
        <w:ind w:firstLine="284"/>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14020D4E" w14:textId="77777777" w:rsidR="00CD0E9F" w:rsidRDefault="00783970" w:rsidP="00CD0E9F">
      <w:pPr>
        <w:spacing w:line="480" w:lineRule="auto"/>
        <w:ind w:firstLine="284"/>
        <w:jc w:val="both"/>
      </w:pPr>
      <w:r w:rsidRPr="00CA6A43">
        <w:t>El NIAAA (2007) refiere que en diferentes regiones alrededor del mundo se ha encontrado que los factores de riesgo y de protección entre los estudiantes universitarios son similares</w:t>
      </w:r>
      <w:r w:rsidR="00854074" w:rsidRPr="00CA6A43">
        <w:t>,</w:t>
      </w:r>
      <w:r w:rsidRPr="00CA6A43">
        <w:t xml:space="preserve"> mencionando que entre </w:t>
      </w:r>
      <w:r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 xml:space="preserve">Sustancias </w:t>
      </w:r>
      <w:r w:rsidR="00B25C5F" w:rsidRPr="00CA6A43">
        <w:lastRenderedPageBreak/>
        <w:t>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093607B0" w14:textId="77777777" w:rsidR="00CD0E9F" w:rsidRDefault="00970E0C" w:rsidP="00CD0E9F">
      <w:pPr>
        <w:spacing w:line="480" w:lineRule="auto"/>
        <w:ind w:firstLine="284"/>
        <w:jc w:val="both"/>
      </w:pP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2886C945" w14:textId="1B558A17" w:rsidR="009C1F83" w:rsidRPr="00CA6A43" w:rsidRDefault="00C85AB8" w:rsidP="00CD0E9F">
      <w:pPr>
        <w:spacing w:line="480" w:lineRule="auto"/>
        <w:ind w:firstLine="284"/>
        <w:jc w:val="both"/>
      </w:pPr>
      <w:r w:rsidRPr="00CA6A43">
        <w:t>El alcohol está relac</w:t>
      </w:r>
      <w:r w:rsidR="00EA32D9" w:rsidRPr="00CA6A43">
        <w:t>ionado con diversas situaciones que no solamente afectan</w:t>
      </w:r>
      <w:r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 xml:space="preserve">World Mental Health </w:t>
      </w:r>
      <w:r w:rsidR="00552E53" w:rsidRPr="00CA6A43">
        <w:rPr>
          <w:i/>
        </w:rPr>
        <w:lastRenderedPageBreak/>
        <w:t>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71BC24F7" w14:textId="77777777" w:rsidR="00CD0E9F" w:rsidRDefault="00850DDC" w:rsidP="00CD0E9F">
      <w:pPr>
        <w:spacing w:line="480" w:lineRule="auto"/>
        <w:ind w:firstLine="284"/>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307A129" w14:textId="59E30F8A" w:rsidR="0009260E" w:rsidRPr="00CA6A43" w:rsidRDefault="009C1F83" w:rsidP="00CD0E9F">
      <w:pPr>
        <w:spacing w:line="480" w:lineRule="auto"/>
        <w:ind w:firstLine="284"/>
        <w:jc w:val="both"/>
      </w:pPr>
      <w:r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 xml:space="preserve">La dependencia química incrementa </w:t>
      </w:r>
      <w:r w:rsidR="00767E92" w:rsidRPr="00CD0E9F">
        <w:rPr>
          <w:sz w:val="22"/>
          <w:szCs w:val="22"/>
        </w:rPr>
        <w:t>el riesgo de desarrollar desó</w:t>
      </w:r>
      <w:r w:rsidRPr="00CD0E9F">
        <w:rPr>
          <w:sz w:val="22"/>
          <w:szCs w:val="22"/>
        </w:rPr>
        <w:t>rdenes mentales.</w:t>
      </w:r>
    </w:p>
    <w:p w14:paraId="4DA9299F" w14:textId="77777777" w:rsidR="00CD0E9F" w:rsidRP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Los desórdenes mentales incrementan el riesgo de desarrollar una dependencia</w:t>
      </w:r>
    </w:p>
    <w:p w14:paraId="52AD0869" w14:textId="475E4D7A" w:rsidR="0009260E" w:rsidRPr="00CD0E9F" w:rsidRDefault="00CD0E9F" w:rsidP="00CD0E9F">
      <w:pPr>
        <w:pStyle w:val="ListParagraph"/>
        <w:spacing w:line="360" w:lineRule="auto"/>
        <w:ind w:left="284"/>
        <w:jc w:val="both"/>
        <w:rPr>
          <w:sz w:val="22"/>
          <w:szCs w:val="22"/>
        </w:rPr>
      </w:pPr>
      <w:r w:rsidRPr="00CD0E9F">
        <w:rPr>
          <w:sz w:val="22"/>
          <w:szCs w:val="22"/>
        </w:rPr>
        <w:t xml:space="preserve">     </w:t>
      </w:r>
      <w:r w:rsidR="0009260E" w:rsidRPr="00CD0E9F">
        <w:rPr>
          <w:sz w:val="22"/>
          <w:szCs w:val="22"/>
        </w:rPr>
        <w:t>química.</w:t>
      </w:r>
    </w:p>
    <w:p w14:paraId="7B3EE46B" w14:textId="77777777" w:rsidR="00CD0E9F" w:rsidRP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 xml:space="preserve">Los síntomas psiquiátricos pueden afectar el inicio, la duración, o la respuesta al </w:t>
      </w:r>
    </w:p>
    <w:p w14:paraId="3FB221B9" w14:textId="12E07111" w:rsidR="0009260E" w:rsidRPr="00CD0E9F" w:rsidRDefault="00CD0E9F" w:rsidP="00CD0E9F">
      <w:pPr>
        <w:pStyle w:val="ListParagraph"/>
        <w:spacing w:line="360" w:lineRule="auto"/>
        <w:ind w:left="284"/>
        <w:jc w:val="both"/>
        <w:rPr>
          <w:sz w:val="22"/>
          <w:szCs w:val="22"/>
        </w:rPr>
      </w:pPr>
      <w:r w:rsidRPr="00CD0E9F">
        <w:rPr>
          <w:sz w:val="22"/>
          <w:szCs w:val="22"/>
        </w:rPr>
        <w:t xml:space="preserve">     </w:t>
      </w:r>
      <w:r w:rsidR="0009260E" w:rsidRPr="00CD0E9F">
        <w:rPr>
          <w:sz w:val="22"/>
          <w:szCs w:val="22"/>
        </w:rPr>
        <w:t>tratamiento de una dependencia química.</w:t>
      </w:r>
    </w:p>
    <w:p w14:paraId="2E715519" w14:textId="77777777" w:rsid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 xml:space="preserve">La dependencia química afecta la adherencia al tratamiento psiquiátrico y los resultados </w:t>
      </w:r>
    </w:p>
    <w:p w14:paraId="7DE18199" w14:textId="37AEF4A7" w:rsidR="0009260E" w:rsidRPr="00CD0E9F" w:rsidRDefault="00CD0E9F" w:rsidP="00CD0E9F">
      <w:pPr>
        <w:spacing w:line="360" w:lineRule="auto"/>
        <w:jc w:val="both"/>
        <w:rPr>
          <w:sz w:val="22"/>
          <w:szCs w:val="22"/>
        </w:rPr>
      </w:pPr>
      <w:r>
        <w:rPr>
          <w:sz w:val="22"/>
          <w:szCs w:val="22"/>
        </w:rPr>
        <w:lastRenderedPageBreak/>
        <w:t xml:space="preserve">     </w:t>
      </w:r>
      <w:r w:rsidRPr="00CD0E9F">
        <w:rPr>
          <w:sz w:val="22"/>
          <w:szCs w:val="22"/>
        </w:rPr>
        <w:t xml:space="preserve">  </w:t>
      </w:r>
      <w:r>
        <w:rPr>
          <w:sz w:val="22"/>
          <w:szCs w:val="22"/>
        </w:rPr>
        <w:t xml:space="preserve">   </w:t>
      </w:r>
      <w:r w:rsidR="0009260E" w:rsidRPr="00CD0E9F">
        <w:rPr>
          <w:sz w:val="22"/>
          <w:szCs w:val="22"/>
        </w:rPr>
        <w:t>clínicos.</w:t>
      </w:r>
    </w:p>
    <w:p w14:paraId="4DEC8375" w14:textId="77777777" w:rsid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 xml:space="preserve">Los síntomas psiquiátricos pueden surgir como resultado directo del abuso crónico de una </w:t>
      </w:r>
    </w:p>
    <w:p w14:paraId="25BC3CFC" w14:textId="0180C67B" w:rsidR="0009260E" w:rsidRPr="00CD0E9F" w:rsidRDefault="00CD0E9F" w:rsidP="00CD0E9F">
      <w:pPr>
        <w:pStyle w:val="ListParagraph"/>
        <w:spacing w:line="360" w:lineRule="auto"/>
        <w:ind w:left="284"/>
        <w:jc w:val="both"/>
        <w:rPr>
          <w:sz w:val="22"/>
          <w:szCs w:val="22"/>
        </w:rPr>
      </w:pPr>
      <w:r>
        <w:rPr>
          <w:sz w:val="22"/>
          <w:szCs w:val="22"/>
        </w:rPr>
        <w:t xml:space="preserve">     </w:t>
      </w:r>
      <w:r w:rsidR="0009260E" w:rsidRPr="00CD0E9F">
        <w:rPr>
          <w:sz w:val="22"/>
          <w:szCs w:val="22"/>
        </w:rPr>
        <w:t xml:space="preserve">sustancia o del síndrome de abstinencia. </w:t>
      </w:r>
    </w:p>
    <w:p w14:paraId="444AFF4D" w14:textId="77777777" w:rsidR="00CD0E9F" w:rsidRDefault="0009260E" w:rsidP="00E4710C">
      <w:pPr>
        <w:pStyle w:val="ListParagraph"/>
        <w:numPr>
          <w:ilvl w:val="0"/>
          <w:numId w:val="8"/>
        </w:numPr>
        <w:spacing w:line="360" w:lineRule="auto"/>
        <w:ind w:left="0" w:firstLine="284"/>
        <w:jc w:val="both"/>
        <w:rPr>
          <w:sz w:val="22"/>
          <w:szCs w:val="22"/>
        </w:rPr>
      </w:pPr>
      <w:r w:rsidRPr="00CD0E9F">
        <w:rPr>
          <w:sz w:val="22"/>
          <w:szCs w:val="22"/>
        </w:rPr>
        <w:t xml:space="preserve">Síntomas de desórdenes mentales pueden resultar como una consecuencia indirecta de una </w:t>
      </w:r>
    </w:p>
    <w:p w14:paraId="6DCAD603" w14:textId="4F667C21" w:rsidR="0009260E" w:rsidRPr="00CD0E9F" w:rsidRDefault="00CD0E9F" w:rsidP="00CD0E9F">
      <w:pPr>
        <w:pStyle w:val="ListParagraph"/>
        <w:spacing w:line="360" w:lineRule="auto"/>
        <w:ind w:left="284"/>
        <w:jc w:val="both"/>
        <w:rPr>
          <w:sz w:val="22"/>
          <w:szCs w:val="22"/>
        </w:rPr>
      </w:pPr>
      <w:r>
        <w:rPr>
          <w:sz w:val="22"/>
          <w:szCs w:val="22"/>
        </w:rPr>
        <w:t xml:space="preserve">     </w:t>
      </w:r>
      <w:r w:rsidR="0009260E" w:rsidRPr="00CD0E9F">
        <w:rPr>
          <w:sz w:val="22"/>
          <w:szCs w:val="22"/>
        </w:rPr>
        <w:t>dependencia química.</w:t>
      </w:r>
    </w:p>
    <w:p w14:paraId="29B4E2FE" w14:textId="77777777" w:rsidR="00CD0E9F" w:rsidRDefault="00676F3F" w:rsidP="00E4710C">
      <w:pPr>
        <w:pStyle w:val="ListParagraph"/>
        <w:numPr>
          <w:ilvl w:val="0"/>
          <w:numId w:val="8"/>
        </w:numPr>
        <w:spacing w:line="360" w:lineRule="auto"/>
        <w:ind w:left="0" w:firstLine="284"/>
        <w:jc w:val="both"/>
        <w:rPr>
          <w:sz w:val="22"/>
          <w:szCs w:val="22"/>
        </w:rPr>
      </w:pPr>
      <w:r w:rsidRPr="00CD0E9F">
        <w:rPr>
          <w:sz w:val="22"/>
          <w:szCs w:val="22"/>
        </w:rPr>
        <w:t>En el tiempo, los síntomas de una dependencia química y los síntomas de un desorden mental</w:t>
      </w:r>
    </w:p>
    <w:p w14:paraId="262E3254" w14:textId="72512808" w:rsidR="0009260E" w:rsidRPr="00CD0E9F" w:rsidRDefault="00CD0E9F" w:rsidP="00CD0E9F">
      <w:pPr>
        <w:pStyle w:val="ListParagraph"/>
        <w:spacing w:line="360" w:lineRule="auto"/>
        <w:ind w:left="284"/>
        <w:jc w:val="both"/>
        <w:rPr>
          <w:sz w:val="22"/>
          <w:szCs w:val="22"/>
        </w:rPr>
      </w:pPr>
      <w:r>
        <w:rPr>
          <w:sz w:val="22"/>
          <w:szCs w:val="22"/>
        </w:rPr>
        <w:t xml:space="preserve">    </w:t>
      </w:r>
      <w:r w:rsidR="00676F3F" w:rsidRPr="00CD0E9F">
        <w:rPr>
          <w:sz w:val="22"/>
          <w:szCs w:val="22"/>
        </w:rPr>
        <w:t xml:space="preserve"> pueden llegar a estar asociados o interrelacionados.</w:t>
      </w:r>
    </w:p>
    <w:p w14:paraId="2E79C0F4" w14:textId="77777777" w:rsidR="00CD0E9F" w:rsidRDefault="00CF3A77" w:rsidP="00E4710C">
      <w:pPr>
        <w:pStyle w:val="ListParagraph"/>
        <w:numPr>
          <w:ilvl w:val="0"/>
          <w:numId w:val="8"/>
        </w:numPr>
        <w:spacing w:line="360" w:lineRule="auto"/>
        <w:ind w:left="0" w:firstLine="284"/>
        <w:jc w:val="both"/>
        <w:rPr>
          <w:sz w:val="22"/>
          <w:szCs w:val="22"/>
        </w:rPr>
      </w:pPr>
      <w:r w:rsidRPr="00CD0E9F">
        <w:rPr>
          <w:sz w:val="22"/>
          <w:szCs w:val="22"/>
        </w:rPr>
        <w:t>Estos dos desórdenes</w:t>
      </w:r>
      <w:r w:rsidR="00F56E1C" w:rsidRPr="00CD0E9F">
        <w:rPr>
          <w:sz w:val="22"/>
          <w:szCs w:val="22"/>
        </w:rPr>
        <w:t xml:space="preserve"> pueden desarrollarse </w:t>
      </w:r>
      <w:r w:rsidRPr="00CD0E9F">
        <w:rPr>
          <w:sz w:val="22"/>
          <w:szCs w:val="22"/>
        </w:rPr>
        <w:t xml:space="preserve">de manera </w:t>
      </w:r>
      <w:r w:rsidR="00F56E1C" w:rsidRPr="00CD0E9F">
        <w:rPr>
          <w:sz w:val="22"/>
          <w:szCs w:val="22"/>
        </w:rPr>
        <w:t>independien</w:t>
      </w:r>
      <w:r w:rsidRPr="00CD0E9F">
        <w:rPr>
          <w:sz w:val="22"/>
          <w:szCs w:val="22"/>
        </w:rPr>
        <w:t>te</w:t>
      </w:r>
      <w:r w:rsidR="00C94A09" w:rsidRPr="00CD0E9F">
        <w:rPr>
          <w:sz w:val="22"/>
          <w:szCs w:val="22"/>
        </w:rPr>
        <w:t xml:space="preserve"> en diferentes momentos</w:t>
      </w:r>
      <w:r w:rsidRPr="00CD0E9F">
        <w:rPr>
          <w:sz w:val="22"/>
          <w:szCs w:val="22"/>
        </w:rPr>
        <w:t xml:space="preserve"> de </w:t>
      </w:r>
    </w:p>
    <w:p w14:paraId="13E64953" w14:textId="71E74533" w:rsidR="00676F3F" w:rsidRPr="00CD0E9F" w:rsidRDefault="00CD0E9F" w:rsidP="00CD0E9F">
      <w:pPr>
        <w:pStyle w:val="ListParagraph"/>
        <w:spacing w:line="360" w:lineRule="auto"/>
        <w:ind w:left="284"/>
        <w:jc w:val="both"/>
        <w:rPr>
          <w:sz w:val="22"/>
          <w:szCs w:val="22"/>
        </w:rPr>
      </w:pPr>
      <w:r>
        <w:rPr>
          <w:sz w:val="22"/>
          <w:szCs w:val="22"/>
        </w:rPr>
        <w:t xml:space="preserve">     </w:t>
      </w:r>
      <w:r w:rsidR="00CF3A77" w:rsidRPr="00CD0E9F">
        <w:rPr>
          <w:sz w:val="22"/>
          <w:szCs w:val="22"/>
        </w:rPr>
        <w:t>la vida del individuo</w:t>
      </w:r>
      <w:r w:rsidR="00C94A09" w:rsidRPr="00CD0E9F">
        <w:rPr>
          <w:sz w:val="22"/>
          <w:szCs w:val="22"/>
        </w:rPr>
        <w:t>.” (p. 9</w:t>
      </w:r>
      <w:r w:rsidR="00C24FD8" w:rsidRPr="00CD0E9F">
        <w:rPr>
          <w:sz w:val="22"/>
          <w:szCs w:val="22"/>
        </w:rPr>
        <w:t>-13).</w:t>
      </w:r>
    </w:p>
    <w:p w14:paraId="0A3AAE7B" w14:textId="77777777" w:rsidR="00D44B75" w:rsidRPr="00CA6A43" w:rsidRDefault="00D44B75" w:rsidP="005B7C9B">
      <w:pPr>
        <w:spacing w:line="480" w:lineRule="auto"/>
        <w:ind w:firstLine="284"/>
        <w:jc w:val="both"/>
      </w:pPr>
    </w:p>
    <w:p w14:paraId="2D2E0C4A" w14:textId="291D23B9" w:rsidR="00552E53" w:rsidRPr="00CA6A43" w:rsidRDefault="009C1F83" w:rsidP="005B7C9B">
      <w:pPr>
        <w:spacing w:line="480" w:lineRule="auto"/>
        <w:ind w:firstLine="284"/>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w:t>
      </w:r>
      <w:r w:rsidR="00870316" w:rsidRPr="00CA6A43">
        <w:lastRenderedPageBreak/>
        <w:t>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595356A4" w14:textId="040F070D" w:rsidR="00CD0E9F" w:rsidRDefault="00BB2F29" w:rsidP="00CD0E9F">
      <w:pPr>
        <w:spacing w:line="480" w:lineRule="auto"/>
        <w:ind w:firstLine="284"/>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CD0E9F">
        <w:t xml:space="preserve"> maduro. Grant et al.</w:t>
      </w:r>
      <w:r w:rsidR="00D77A20" w:rsidRPr="00CA6A43">
        <w:t xml:space="preserve"> (2001) citados por Rodriguez, Sanchis &amp; Bisquerra (2014) señalan que hay </w:t>
      </w:r>
      <w:r w:rsidR="00D77A20" w:rsidRPr="001E2476">
        <w:t>una correlación entre la edad de inicio del consumo de alcohol y el riesgo de ser dependient</w:t>
      </w:r>
      <w:r w:rsidR="00DA2E9E" w:rsidRPr="001E2476">
        <w:t>e al alcohol en la edad adulta, y en Colombia la edad pro</w:t>
      </w:r>
      <w:r w:rsidR="00764CBF" w:rsidRPr="001E2476">
        <w:t>medio de inicio son los 16 años entre los hombres y los 18 años entre las mujeres (Minister</w:t>
      </w:r>
      <w:r w:rsidR="00DB0AC4" w:rsidRPr="001E2476">
        <w:t>io de Protección Social, 2013).</w:t>
      </w:r>
    </w:p>
    <w:p w14:paraId="6F5BBA50" w14:textId="6D2FBE99" w:rsidR="00C85AB8" w:rsidRPr="00CA6A43" w:rsidRDefault="007A3982" w:rsidP="00CD0E9F">
      <w:pPr>
        <w:spacing w:line="480" w:lineRule="auto"/>
        <w:ind w:firstLine="284"/>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0D84D7C4" w14:textId="77777777" w:rsidR="00CD0E9F" w:rsidRDefault="00CD0E9F" w:rsidP="00CD0E9F">
      <w:pPr>
        <w:spacing w:line="480" w:lineRule="auto"/>
        <w:jc w:val="both"/>
      </w:pPr>
      <w:r>
        <w:lastRenderedPageBreak/>
        <w:tab/>
      </w:r>
      <w:r w:rsidR="00596E11"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34707EBE" w14:textId="77777777" w:rsidR="00CD0E9F" w:rsidRDefault="00A9493A" w:rsidP="00CD0E9F">
      <w:pPr>
        <w:spacing w:line="480" w:lineRule="auto"/>
        <w:ind w:firstLine="284"/>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w:t>
      </w:r>
      <w:r w:rsidRPr="00CA6A43">
        <w:lastRenderedPageBreak/>
        <w:t xml:space="preserve">existen intervenciones eficaces para la prevención y la intervención de dichos problemas (De Martini y Carey, 2010). </w:t>
      </w:r>
    </w:p>
    <w:p w14:paraId="3A9AB59A" w14:textId="55DE11A8" w:rsidR="0008025D" w:rsidRPr="00CA6A43" w:rsidRDefault="00A9493A" w:rsidP="00CD0E9F">
      <w:pPr>
        <w:spacing w:line="480" w:lineRule="auto"/>
        <w:ind w:firstLine="284"/>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512D7691" w14:textId="43583598" w:rsidR="00A336A6" w:rsidRPr="00CA6A43" w:rsidRDefault="00A9493A" w:rsidP="00CD0E9F">
      <w:pPr>
        <w:spacing w:line="480" w:lineRule="auto"/>
        <w:ind w:firstLine="284"/>
        <w:contextualSpacing/>
        <w:jc w:val="both"/>
      </w:pPr>
      <w:r w:rsidRPr="001E2476">
        <w:t>Según el Manual del AUDIT (Babor, Higgins-Biddle, Saunders y Monteiro, 2001), el 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9E420C9" w14:textId="4B156D73" w:rsidR="00A336A6" w:rsidRPr="00CA6A43" w:rsidRDefault="00A9493A" w:rsidP="00CD0E9F">
      <w:pPr>
        <w:spacing w:line="480" w:lineRule="auto"/>
        <w:ind w:firstLine="284"/>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7AF81B41" w14:textId="77777777" w:rsidR="00A336A6" w:rsidRPr="00CD0E9F" w:rsidRDefault="00A336A6" w:rsidP="00CD0E9F">
      <w:pPr>
        <w:spacing w:line="360" w:lineRule="auto"/>
        <w:ind w:firstLine="284"/>
        <w:contextualSpacing/>
        <w:jc w:val="both"/>
        <w:outlineLvl w:val="0"/>
        <w:rPr>
          <w:sz w:val="22"/>
          <w:szCs w:val="22"/>
        </w:rPr>
      </w:pPr>
      <w:r w:rsidRPr="00CD0E9F">
        <w:rPr>
          <w:sz w:val="22"/>
          <w:szCs w:val="22"/>
        </w:rPr>
        <w:t>“Criterios para el Abuso de Sustancias</w:t>
      </w:r>
    </w:p>
    <w:p w14:paraId="1B3A8A7F" w14:textId="2A0CE0B6" w:rsidR="00A336A6" w:rsidRPr="00CD0E9F" w:rsidRDefault="00A336A6" w:rsidP="00CD0E9F">
      <w:pPr>
        <w:spacing w:line="360" w:lineRule="auto"/>
        <w:ind w:left="284"/>
        <w:contextualSpacing/>
        <w:jc w:val="both"/>
        <w:rPr>
          <w:sz w:val="22"/>
          <w:szCs w:val="22"/>
        </w:rPr>
      </w:pPr>
      <w:r w:rsidRPr="00CD0E9F">
        <w:rPr>
          <w:sz w:val="22"/>
          <w:szCs w:val="22"/>
        </w:rPr>
        <w:t xml:space="preserve">A. Un patrón desadaptativo de consumo de sustancias que conlleva un deterioro o malestar </w:t>
      </w:r>
      <w:r w:rsidR="00CD0E9F" w:rsidRPr="00CD0E9F">
        <w:rPr>
          <w:sz w:val="22"/>
          <w:szCs w:val="22"/>
        </w:rPr>
        <w:t xml:space="preserve">   </w:t>
      </w:r>
      <w:r w:rsidRPr="00CD0E9F">
        <w:rPr>
          <w:sz w:val="22"/>
          <w:szCs w:val="22"/>
        </w:rPr>
        <w:t>clínicamente significativos, expresado por uno (o más) de los ítems siguientes durante un período de 12 meses:</w:t>
      </w:r>
    </w:p>
    <w:p w14:paraId="2FDFE39C" w14:textId="77777777" w:rsidR="00A336A6" w:rsidRPr="00CD0E9F" w:rsidRDefault="00A336A6" w:rsidP="00CD0E9F">
      <w:pPr>
        <w:spacing w:line="360" w:lineRule="auto"/>
        <w:ind w:left="284"/>
        <w:contextualSpacing/>
        <w:jc w:val="both"/>
        <w:rPr>
          <w:sz w:val="22"/>
          <w:szCs w:val="22"/>
        </w:rPr>
      </w:pPr>
      <w:r w:rsidRPr="00CD0E9F">
        <w:rPr>
          <w:sz w:val="22"/>
          <w:szCs w:val="22"/>
        </w:rPr>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D0E9F" w:rsidRDefault="00A336A6" w:rsidP="00CD0E9F">
      <w:pPr>
        <w:spacing w:line="360" w:lineRule="auto"/>
        <w:ind w:left="284"/>
        <w:contextualSpacing/>
        <w:jc w:val="both"/>
        <w:rPr>
          <w:sz w:val="22"/>
          <w:szCs w:val="22"/>
        </w:rPr>
      </w:pPr>
      <w:r w:rsidRPr="00CD0E9F">
        <w:rPr>
          <w:sz w:val="22"/>
          <w:szCs w:val="22"/>
        </w:rPr>
        <w:t>2. Consumo recurrente de la sustancia en situaciones en las que hacerlo es físicamente peligroso (p. ej., conducir un automóvil o accionar una máquina bajo los efectos de la sustancia).</w:t>
      </w:r>
    </w:p>
    <w:p w14:paraId="125A8D66" w14:textId="77777777" w:rsidR="00A336A6" w:rsidRPr="00CD0E9F" w:rsidRDefault="00A336A6" w:rsidP="00CD0E9F">
      <w:pPr>
        <w:spacing w:line="360" w:lineRule="auto"/>
        <w:ind w:left="284"/>
        <w:contextualSpacing/>
        <w:jc w:val="both"/>
        <w:rPr>
          <w:sz w:val="22"/>
          <w:szCs w:val="22"/>
        </w:rPr>
      </w:pPr>
      <w:r w:rsidRPr="00CD0E9F">
        <w:rPr>
          <w:sz w:val="22"/>
          <w:szCs w:val="22"/>
        </w:rPr>
        <w:t>3. Problemas legales repetidos relacionados con la sustancia (p. ej., arrestos por comportamiento escandaloso debido a la sustancia).</w:t>
      </w:r>
    </w:p>
    <w:p w14:paraId="36EF47E4" w14:textId="77777777" w:rsidR="00A336A6" w:rsidRPr="00CD0E9F" w:rsidRDefault="00A336A6" w:rsidP="00CD0E9F">
      <w:pPr>
        <w:spacing w:line="360" w:lineRule="auto"/>
        <w:ind w:left="284"/>
        <w:contextualSpacing/>
        <w:jc w:val="both"/>
        <w:rPr>
          <w:sz w:val="22"/>
          <w:szCs w:val="22"/>
        </w:rPr>
      </w:pPr>
      <w:r w:rsidRPr="00CD0E9F">
        <w:rPr>
          <w:sz w:val="22"/>
          <w:szCs w:val="22"/>
        </w:rPr>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D0E9F" w:rsidRDefault="00A336A6" w:rsidP="00CD0E9F">
      <w:pPr>
        <w:spacing w:line="360" w:lineRule="auto"/>
        <w:ind w:left="284"/>
        <w:contextualSpacing/>
        <w:jc w:val="both"/>
        <w:rPr>
          <w:sz w:val="22"/>
          <w:szCs w:val="22"/>
        </w:rPr>
      </w:pPr>
      <w:r w:rsidRPr="00CD0E9F">
        <w:rPr>
          <w:sz w:val="22"/>
          <w:szCs w:val="22"/>
        </w:rPr>
        <w:t>B. Los síntomas no han cumplido nunca los criterios para la dependencia de sustancias de esta clase de sustancia.” (p. 199)</w:t>
      </w:r>
    </w:p>
    <w:p w14:paraId="340653DE" w14:textId="77777777" w:rsidR="00A336A6" w:rsidRDefault="00A336A6" w:rsidP="00CD0E9F">
      <w:pPr>
        <w:spacing w:line="360" w:lineRule="auto"/>
        <w:ind w:firstLine="284"/>
        <w:contextualSpacing/>
        <w:jc w:val="both"/>
        <w:rPr>
          <w:sz w:val="22"/>
          <w:szCs w:val="22"/>
        </w:rPr>
      </w:pPr>
    </w:p>
    <w:p w14:paraId="1014AB9F" w14:textId="77777777" w:rsidR="00CD0E9F" w:rsidRDefault="00CD0E9F" w:rsidP="00CD0E9F">
      <w:pPr>
        <w:spacing w:line="360" w:lineRule="auto"/>
        <w:ind w:firstLine="284"/>
        <w:contextualSpacing/>
        <w:jc w:val="both"/>
        <w:rPr>
          <w:sz w:val="22"/>
          <w:szCs w:val="22"/>
        </w:rPr>
      </w:pPr>
    </w:p>
    <w:p w14:paraId="0408BA3F" w14:textId="77777777" w:rsidR="00CD0E9F" w:rsidRDefault="00CD0E9F" w:rsidP="00CD0E9F">
      <w:pPr>
        <w:spacing w:line="360" w:lineRule="auto"/>
        <w:ind w:firstLine="284"/>
        <w:contextualSpacing/>
        <w:jc w:val="both"/>
        <w:rPr>
          <w:sz w:val="22"/>
          <w:szCs w:val="22"/>
        </w:rPr>
      </w:pPr>
    </w:p>
    <w:p w14:paraId="5DDDC14D" w14:textId="77777777" w:rsidR="00CD0E9F" w:rsidRPr="00CD0E9F" w:rsidRDefault="00CD0E9F" w:rsidP="00CD0E9F">
      <w:pPr>
        <w:spacing w:line="360" w:lineRule="auto"/>
        <w:ind w:firstLine="284"/>
        <w:contextualSpacing/>
        <w:jc w:val="both"/>
        <w:rPr>
          <w:sz w:val="22"/>
          <w:szCs w:val="22"/>
        </w:rPr>
      </w:pPr>
    </w:p>
    <w:p w14:paraId="71CC48EE" w14:textId="77777777" w:rsidR="00A336A6" w:rsidRPr="00CD0E9F" w:rsidRDefault="00A336A6" w:rsidP="00CD0E9F">
      <w:pPr>
        <w:spacing w:line="360" w:lineRule="auto"/>
        <w:ind w:firstLine="284"/>
        <w:contextualSpacing/>
        <w:jc w:val="both"/>
        <w:outlineLvl w:val="0"/>
        <w:rPr>
          <w:sz w:val="22"/>
          <w:szCs w:val="22"/>
        </w:rPr>
      </w:pPr>
      <w:r w:rsidRPr="00CD0E9F">
        <w:rPr>
          <w:sz w:val="22"/>
          <w:szCs w:val="22"/>
        </w:rPr>
        <w:lastRenderedPageBreak/>
        <w:t>“Criterios para la dependencia de sustancias</w:t>
      </w:r>
    </w:p>
    <w:p w14:paraId="4516D822" w14:textId="77777777" w:rsidR="00A336A6" w:rsidRPr="00CD0E9F" w:rsidRDefault="00A336A6" w:rsidP="00CD0E9F">
      <w:pPr>
        <w:spacing w:line="360" w:lineRule="auto"/>
        <w:ind w:left="284"/>
        <w:contextualSpacing/>
        <w:jc w:val="both"/>
        <w:rPr>
          <w:sz w:val="22"/>
          <w:szCs w:val="22"/>
        </w:rPr>
      </w:pPr>
      <w:r w:rsidRPr="00CD0E9F">
        <w:rPr>
          <w:sz w:val="22"/>
          <w:szCs w:val="22"/>
        </w:rPr>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D0E9F" w:rsidRDefault="00A336A6" w:rsidP="00CD0E9F">
      <w:pPr>
        <w:spacing w:line="360" w:lineRule="auto"/>
        <w:ind w:firstLine="284"/>
        <w:contextualSpacing/>
        <w:jc w:val="both"/>
        <w:rPr>
          <w:sz w:val="22"/>
          <w:szCs w:val="22"/>
        </w:rPr>
      </w:pPr>
      <w:r w:rsidRPr="00CD0E9F">
        <w:rPr>
          <w:sz w:val="22"/>
          <w:szCs w:val="22"/>
        </w:rPr>
        <w:t>1. Tolerancia, definida por cualquiera de los siguientes ítems:</w:t>
      </w:r>
    </w:p>
    <w:p w14:paraId="5F31A85E" w14:textId="77777777" w:rsidR="00A336A6" w:rsidRPr="00CD0E9F" w:rsidRDefault="00A336A6" w:rsidP="00CD0E9F">
      <w:pPr>
        <w:spacing w:line="360" w:lineRule="auto"/>
        <w:ind w:left="284"/>
        <w:contextualSpacing/>
        <w:jc w:val="both"/>
        <w:rPr>
          <w:sz w:val="22"/>
          <w:szCs w:val="22"/>
        </w:rPr>
      </w:pPr>
      <w:r w:rsidRPr="00CD0E9F">
        <w:rPr>
          <w:sz w:val="22"/>
          <w:szCs w:val="22"/>
        </w:rPr>
        <w:t>(a) una necesidad de cantidades marcadamente crecientes de la sustancia para conseguir la intoxicación o el efecto deseado.</w:t>
      </w:r>
    </w:p>
    <w:p w14:paraId="0F1507BA" w14:textId="77777777" w:rsidR="00A336A6" w:rsidRPr="00CD0E9F" w:rsidRDefault="00A336A6" w:rsidP="00CD0E9F">
      <w:pPr>
        <w:spacing w:line="360" w:lineRule="auto"/>
        <w:ind w:left="284"/>
        <w:contextualSpacing/>
        <w:jc w:val="both"/>
        <w:rPr>
          <w:sz w:val="22"/>
          <w:szCs w:val="22"/>
        </w:rPr>
      </w:pPr>
      <w:r w:rsidRPr="00CD0E9F">
        <w:rPr>
          <w:sz w:val="22"/>
          <w:szCs w:val="22"/>
        </w:rPr>
        <w:t>(b) el efecto de las mismas cantidades de sustancia disminuye claramente con su consumo continuado.</w:t>
      </w:r>
    </w:p>
    <w:p w14:paraId="34D61B6D" w14:textId="77777777" w:rsidR="00A336A6" w:rsidRPr="00CD0E9F" w:rsidRDefault="00A336A6" w:rsidP="00CD0E9F">
      <w:pPr>
        <w:spacing w:line="360" w:lineRule="auto"/>
        <w:ind w:firstLine="284"/>
        <w:contextualSpacing/>
        <w:jc w:val="both"/>
        <w:rPr>
          <w:sz w:val="22"/>
          <w:szCs w:val="22"/>
        </w:rPr>
      </w:pPr>
      <w:r w:rsidRPr="00CD0E9F">
        <w:rPr>
          <w:sz w:val="22"/>
          <w:szCs w:val="22"/>
        </w:rPr>
        <w:t>2. Abstinencia, definida por cualquiera de los siguientes ítems:</w:t>
      </w:r>
    </w:p>
    <w:p w14:paraId="14E6E890" w14:textId="77777777" w:rsidR="00A336A6" w:rsidRPr="00CD0E9F" w:rsidRDefault="00A336A6" w:rsidP="00CD0E9F">
      <w:pPr>
        <w:spacing w:line="360" w:lineRule="auto"/>
        <w:ind w:left="284"/>
        <w:contextualSpacing/>
        <w:jc w:val="both"/>
        <w:rPr>
          <w:sz w:val="22"/>
          <w:szCs w:val="22"/>
        </w:rPr>
      </w:pPr>
      <w:r w:rsidRPr="00CD0E9F">
        <w:rPr>
          <w:sz w:val="22"/>
          <w:szCs w:val="22"/>
        </w:rPr>
        <w:t xml:space="preserve">(a) el síndrome de abstinencia característico para la sustancia (v. Criterios A y B de los criterios diagnósticos para la abstinencia de sustancias específicas). </w:t>
      </w:r>
    </w:p>
    <w:p w14:paraId="7974861F" w14:textId="77777777" w:rsidR="00A336A6" w:rsidRPr="00CD0E9F" w:rsidRDefault="00A336A6" w:rsidP="00CD0E9F">
      <w:pPr>
        <w:spacing w:line="360" w:lineRule="auto"/>
        <w:ind w:left="284"/>
        <w:contextualSpacing/>
        <w:jc w:val="both"/>
        <w:rPr>
          <w:sz w:val="22"/>
          <w:szCs w:val="22"/>
        </w:rPr>
      </w:pPr>
      <w:r w:rsidRPr="00CD0E9F">
        <w:rPr>
          <w:sz w:val="22"/>
          <w:szCs w:val="22"/>
        </w:rPr>
        <w:t>(b) se toma la misma sustancia (o una muy parecida) para aliviar o evitar los síntomas de abstinencia.</w:t>
      </w:r>
    </w:p>
    <w:p w14:paraId="064A3ABE" w14:textId="77777777" w:rsidR="00A336A6" w:rsidRPr="00CD0E9F" w:rsidRDefault="00A336A6" w:rsidP="00CD0E9F">
      <w:pPr>
        <w:spacing w:line="360" w:lineRule="auto"/>
        <w:ind w:left="284"/>
        <w:contextualSpacing/>
        <w:jc w:val="both"/>
        <w:rPr>
          <w:sz w:val="22"/>
          <w:szCs w:val="22"/>
        </w:rPr>
      </w:pPr>
      <w:r w:rsidRPr="00CD0E9F">
        <w:rPr>
          <w:sz w:val="22"/>
          <w:szCs w:val="22"/>
        </w:rPr>
        <w:t>3. La sustancia es tomada con frecuencia en cantidades mayores o durante un período más largo de lo que inicialmente se pretendía.</w:t>
      </w:r>
    </w:p>
    <w:p w14:paraId="68BC38A7" w14:textId="77777777" w:rsidR="00A336A6" w:rsidRPr="00CD0E9F" w:rsidRDefault="00A336A6" w:rsidP="00CD0E9F">
      <w:pPr>
        <w:spacing w:line="360" w:lineRule="auto"/>
        <w:ind w:left="284"/>
        <w:contextualSpacing/>
        <w:jc w:val="both"/>
        <w:rPr>
          <w:sz w:val="22"/>
          <w:szCs w:val="22"/>
        </w:rPr>
      </w:pPr>
      <w:r w:rsidRPr="00CD0E9F">
        <w:rPr>
          <w:sz w:val="22"/>
          <w:szCs w:val="22"/>
        </w:rPr>
        <w:t>4. Existe un deseo persistente o esfuerzos infructuosos de controlar o interrumpir el consumo de la sustancia.</w:t>
      </w:r>
    </w:p>
    <w:p w14:paraId="17D65043" w14:textId="77777777" w:rsidR="00A336A6" w:rsidRPr="00CD0E9F" w:rsidRDefault="00A336A6" w:rsidP="00CD0E9F">
      <w:pPr>
        <w:spacing w:line="360" w:lineRule="auto"/>
        <w:ind w:left="284"/>
        <w:contextualSpacing/>
        <w:jc w:val="both"/>
        <w:rPr>
          <w:sz w:val="22"/>
          <w:szCs w:val="22"/>
        </w:rPr>
      </w:pPr>
      <w:r w:rsidRPr="00CD0E9F">
        <w:rPr>
          <w:sz w:val="22"/>
          <w:szCs w:val="22"/>
        </w:rPr>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D0E9F" w:rsidRDefault="00A336A6" w:rsidP="00CD0E9F">
      <w:pPr>
        <w:spacing w:line="360" w:lineRule="auto"/>
        <w:ind w:left="284"/>
        <w:contextualSpacing/>
        <w:jc w:val="both"/>
        <w:rPr>
          <w:sz w:val="22"/>
          <w:szCs w:val="22"/>
        </w:rPr>
      </w:pPr>
      <w:r w:rsidRPr="00CD0E9F">
        <w:rPr>
          <w:sz w:val="22"/>
          <w:szCs w:val="22"/>
        </w:rPr>
        <w:t>6. Reducción de importantes actividades sociales, laborales o recreativas debido al consumo de la sustancia.</w:t>
      </w:r>
    </w:p>
    <w:p w14:paraId="74EE0448" w14:textId="77777777" w:rsidR="00A336A6" w:rsidRPr="00CD0E9F" w:rsidRDefault="00A336A6" w:rsidP="00CD0E9F">
      <w:pPr>
        <w:spacing w:line="360" w:lineRule="auto"/>
        <w:ind w:left="284"/>
        <w:contextualSpacing/>
        <w:jc w:val="both"/>
        <w:rPr>
          <w:sz w:val="22"/>
          <w:szCs w:val="22"/>
        </w:rPr>
      </w:pPr>
      <w:r w:rsidRPr="00CD0E9F">
        <w:rPr>
          <w:sz w:val="22"/>
          <w:szCs w:val="22"/>
        </w:rPr>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CD0E9F">
      <w:pPr>
        <w:spacing w:line="360" w:lineRule="auto"/>
        <w:ind w:firstLine="284"/>
        <w:contextualSpacing/>
        <w:jc w:val="both"/>
      </w:pPr>
    </w:p>
    <w:p w14:paraId="2F67880E" w14:textId="1834F60F" w:rsidR="000E584E" w:rsidRPr="00CA6A43" w:rsidRDefault="000E584E" w:rsidP="00796C82">
      <w:pPr>
        <w:spacing w:line="480" w:lineRule="auto"/>
        <w:ind w:firstLine="284"/>
        <w:contextualSpacing/>
        <w:jc w:val="both"/>
      </w:pPr>
      <w:r w:rsidRPr="00CA6A43">
        <w:t xml:space="preserve">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w:t>
      </w:r>
      <w:r w:rsidRPr="00CA6A43">
        <w:lastRenderedPageBreak/>
        <w:t>modelo estructurado por la Asociación Psiquiátrica Americana de los desórdenes relacionado</w:t>
      </w:r>
      <w:r w:rsidR="0088195B">
        <w:t>s con el consumo de sustancias.</w:t>
      </w:r>
    </w:p>
    <w:p w14:paraId="31DB5562" w14:textId="22417E70" w:rsidR="000E584E" w:rsidRPr="00CA6A43" w:rsidRDefault="000E584E" w:rsidP="005B7C9B">
      <w:pPr>
        <w:spacing w:line="480" w:lineRule="auto"/>
        <w:ind w:firstLine="284"/>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57A52DC2" w14:textId="77777777" w:rsidR="00A76B36" w:rsidRDefault="00A76B36" w:rsidP="005B7C9B">
      <w:pPr>
        <w:spacing w:line="480" w:lineRule="auto"/>
        <w:ind w:firstLine="284"/>
        <w:contextualSpacing/>
        <w:jc w:val="both"/>
        <w:rPr>
          <w:b/>
        </w:rPr>
      </w:pPr>
    </w:p>
    <w:p w14:paraId="7A5EEFD0" w14:textId="77777777" w:rsidR="007316BA" w:rsidRDefault="007316BA" w:rsidP="005B7C9B">
      <w:pPr>
        <w:spacing w:line="480" w:lineRule="auto"/>
        <w:ind w:firstLine="284"/>
        <w:contextualSpacing/>
        <w:jc w:val="both"/>
        <w:rPr>
          <w:b/>
        </w:rPr>
      </w:pPr>
    </w:p>
    <w:p w14:paraId="42D06980" w14:textId="77777777" w:rsidR="00796C82" w:rsidRDefault="00796C82" w:rsidP="005B7C9B">
      <w:pPr>
        <w:spacing w:line="480" w:lineRule="auto"/>
        <w:ind w:firstLine="284"/>
        <w:contextualSpacing/>
        <w:jc w:val="both"/>
        <w:rPr>
          <w:b/>
        </w:rPr>
      </w:pPr>
    </w:p>
    <w:p w14:paraId="506C3B5A" w14:textId="77777777" w:rsidR="00796C82" w:rsidRDefault="00796C82" w:rsidP="005B7C9B">
      <w:pPr>
        <w:spacing w:line="480" w:lineRule="auto"/>
        <w:ind w:firstLine="284"/>
        <w:contextualSpacing/>
        <w:jc w:val="both"/>
        <w:rPr>
          <w:b/>
        </w:rPr>
      </w:pPr>
    </w:p>
    <w:p w14:paraId="632DBC17" w14:textId="77777777" w:rsidR="00796C82" w:rsidRDefault="00796C82" w:rsidP="005B7C9B">
      <w:pPr>
        <w:spacing w:line="480" w:lineRule="auto"/>
        <w:ind w:firstLine="284"/>
        <w:contextualSpacing/>
        <w:jc w:val="both"/>
        <w:rPr>
          <w:b/>
        </w:rPr>
      </w:pPr>
    </w:p>
    <w:p w14:paraId="6C95BABC" w14:textId="77777777" w:rsidR="00796C82" w:rsidRDefault="00796C82" w:rsidP="005B7C9B">
      <w:pPr>
        <w:spacing w:line="480" w:lineRule="auto"/>
        <w:ind w:firstLine="284"/>
        <w:contextualSpacing/>
        <w:jc w:val="both"/>
        <w:rPr>
          <w:b/>
        </w:rPr>
      </w:pPr>
    </w:p>
    <w:p w14:paraId="4729AC37" w14:textId="77777777" w:rsidR="00796C82" w:rsidRDefault="00796C82" w:rsidP="005B7C9B">
      <w:pPr>
        <w:spacing w:line="480" w:lineRule="auto"/>
        <w:ind w:firstLine="284"/>
        <w:contextualSpacing/>
        <w:jc w:val="both"/>
        <w:rPr>
          <w:b/>
        </w:rPr>
      </w:pPr>
    </w:p>
    <w:p w14:paraId="24C0A5CE" w14:textId="77777777" w:rsidR="00796C82" w:rsidRDefault="00796C82" w:rsidP="005B7C9B">
      <w:pPr>
        <w:spacing w:line="480" w:lineRule="auto"/>
        <w:ind w:firstLine="284"/>
        <w:contextualSpacing/>
        <w:jc w:val="both"/>
        <w:rPr>
          <w:b/>
        </w:rPr>
      </w:pPr>
    </w:p>
    <w:p w14:paraId="0DA591ED" w14:textId="77777777" w:rsidR="00796C82" w:rsidRDefault="00796C82" w:rsidP="005B7C9B">
      <w:pPr>
        <w:spacing w:line="480" w:lineRule="auto"/>
        <w:ind w:firstLine="284"/>
        <w:contextualSpacing/>
        <w:jc w:val="both"/>
        <w:rPr>
          <w:b/>
        </w:rPr>
      </w:pPr>
    </w:p>
    <w:p w14:paraId="23DBEC85" w14:textId="77777777" w:rsidR="00796C82" w:rsidRDefault="00796C82" w:rsidP="005B7C9B">
      <w:pPr>
        <w:spacing w:line="480" w:lineRule="auto"/>
        <w:ind w:firstLine="284"/>
        <w:contextualSpacing/>
        <w:jc w:val="both"/>
        <w:rPr>
          <w:b/>
        </w:rPr>
      </w:pPr>
    </w:p>
    <w:p w14:paraId="470D5F5E" w14:textId="77777777" w:rsidR="00796C82" w:rsidRDefault="00796C82" w:rsidP="005B7C9B">
      <w:pPr>
        <w:spacing w:line="480" w:lineRule="auto"/>
        <w:ind w:firstLine="284"/>
        <w:contextualSpacing/>
        <w:jc w:val="both"/>
        <w:rPr>
          <w:b/>
        </w:rPr>
      </w:pPr>
    </w:p>
    <w:p w14:paraId="671063B3" w14:textId="77777777" w:rsidR="00796C82" w:rsidRDefault="00796C82" w:rsidP="005B7C9B">
      <w:pPr>
        <w:spacing w:line="480" w:lineRule="auto"/>
        <w:ind w:firstLine="284"/>
        <w:contextualSpacing/>
        <w:jc w:val="both"/>
        <w:rPr>
          <w:b/>
        </w:rPr>
      </w:pPr>
    </w:p>
    <w:p w14:paraId="7ACDBFF6" w14:textId="77777777" w:rsidR="00796C82" w:rsidRDefault="00796C82" w:rsidP="005B7C9B">
      <w:pPr>
        <w:spacing w:line="480" w:lineRule="auto"/>
        <w:ind w:firstLine="284"/>
        <w:contextualSpacing/>
        <w:jc w:val="both"/>
        <w:rPr>
          <w:b/>
        </w:rPr>
      </w:pPr>
    </w:p>
    <w:p w14:paraId="424A3CD3" w14:textId="77777777" w:rsidR="00796C82" w:rsidRDefault="00796C82" w:rsidP="005B7C9B">
      <w:pPr>
        <w:spacing w:line="480" w:lineRule="auto"/>
        <w:ind w:firstLine="284"/>
        <w:contextualSpacing/>
        <w:jc w:val="both"/>
        <w:rPr>
          <w:b/>
        </w:rPr>
      </w:pPr>
    </w:p>
    <w:p w14:paraId="350C3941" w14:textId="77777777" w:rsidR="00796C82" w:rsidRDefault="00796C82" w:rsidP="005B7C9B">
      <w:pPr>
        <w:spacing w:line="480" w:lineRule="auto"/>
        <w:ind w:firstLine="284"/>
        <w:contextualSpacing/>
        <w:jc w:val="both"/>
        <w:rPr>
          <w:b/>
        </w:rPr>
      </w:pPr>
    </w:p>
    <w:p w14:paraId="2722FEB1" w14:textId="77777777" w:rsidR="007316BA" w:rsidRPr="00CA6A43" w:rsidRDefault="007316BA" w:rsidP="005B7C9B">
      <w:pPr>
        <w:spacing w:line="480" w:lineRule="auto"/>
        <w:ind w:firstLine="284"/>
        <w:contextualSpacing/>
        <w:jc w:val="both"/>
        <w:rPr>
          <w:b/>
        </w:rPr>
      </w:pPr>
    </w:p>
    <w:p w14:paraId="0EEE006B" w14:textId="182CD481" w:rsidR="00E4710C" w:rsidRPr="00E4710C" w:rsidRDefault="00E4710C" w:rsidP="00E4710C">
      <w:pPr>
        <w:pStyle w:val="ListParagraph"/>
        <w:numPr>
          <w:ilvl w:val="0"/>
          <w:numId w:val="3"/>
        </w:numPr>
        <w:spacing w:line="480" w:lineRule="auto"/>
        <w:ind w:left="0" w:firstLine="284"/>
        <w:jc w:val="both"/>
        <w:rPr>
          <w:b/>
        </w:rPr>
      </w:pPr>
      <w:r>
        <w:rPr>
          <w:b/>
        </w:rPr>
        <w:lastRenderedPageBreak/>
        <w:t>Diseño de Investigación</w:t>
      </w:r>
    </w:p>
    <w:p w14:paraId="132FF5A1" w14:textId="77777777" w:rsidR="00403A5E" w:rsidRPr="00403A5E" w:rsidRDefault="00403A5E" w:rsidP="005B7C9B">
      <w:pPr>
        <w:spacing w:line="480" w:lineRule="auto"/>
        <w:ind w:firstLine="284"/>
        <w:jc w:val="both"/>
        <w:rPr>
          <w:b/>
        </w:rPr>
      </w:pPr>
    </w:p>
    <w:p w14:paraId="197EF82D" w14:textId="621003A5" w:rsidR="00D74E1B" w:rsidRPr="00FC7DC6" w:rsidRDefault="00A9493A" w:rsidP="00FC7DC6">
      <w:pPr>
        <w:spacing w:line="480" w:lineRule="auto"/>
        <w:ind w:firstLine="284"/>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6B2658FC" w14:textId="783FD889" w:rsidR="007B49DA" w:rsidRDefault="00A9493A" w:rsidP="005B7C9B">
      <w:pPr>
        <w:spacing w:line="480" w:lineRule="auto"/>
        <w:ind w:firstLine="284"/>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06BEA80F" w14:textId="77777777" w:rsidR="00E4710C" w:rsidRDefault="00E4710C" w:rsidP="005B7C9B">
      <w:pPr>
        <w:spacing w:line="480" w:lineRule="auto"/>
        <w:ind w:firstLine="284"/>
        <w:contextualSpacing/>
        <w:jc w:val="both"/>
      </w:pPr>
    </w:p>
    <w:p w14:paraId="5B4205F0" w14:textId="77777777" w:rsidR="00E4710C" w:rsidRDefault="00E4710C" w:rsidP="00E4710C">
      <w:pPr>
        <w:spacing w:line="480" w:lineRule="auto"/>
        <w:jc w:val="both"/>
      </w:pPr>
    </w:p>
    <w:p w14:paraId="1B68BA5E" w14:textId="77777777" w:rsidR="00FC7DC6" w:rsidRDefault="00FC7DC6" w:rsidP="005B7C9B">
      <w:pPr>
        <w:spacing w:line="480" w:lineRule="auto"/>
        <w:ind w:firstLine="284"/>
        <w:contextualSpacing/>
        <w:jc w:val="both"/>
      </w:pPr>
    </w:p>
    <w:p w14:paraId="1BC2716E" w14:textId="77777777" w:rsidR="00FC7DC6" w:rsidRDefault="00FC7DC6" w:rsidP="005B7C9B">
      <w:pPr>
        <w:spacing w:line="480" w:lineRule="auto"/>
        <w:ind w:firstLine="284"/>
        <w:contextualSpacing/>
        <w:jc w:val="both"/>
      </w:pPr>
    </w:p>
    <w:p w14:paraId="0D86552B" w14:textId="77777777" w:rsidR="00FC7DC6" w:rsidRDefault="00FC7DC6" w:rsidP="005B7C9B">
      <w:pPr>
        <w:spacing w:line="480" w:lineRule="auto"/>
        <w:ind w:firstLine="284"/>
        <w:contextualSpacing/>
        <w:jc w:val="both"/>
      </w:pPr>
    </w:p>
    <w:p w14:paraId="757DFBAE" w14:textId="77777777" w:rsidR="00FC7DC6" w:rsidRDefault="00FC7DC6" w:rsidP="005B7C9B">
      <w:pPr>
        <w:spacing w:line="480" w:lineRule="auto"/>
        <w:ind w:firstLine="284"/>
        <w:contextualSpacing/>
        <w:jc w:val="both"/>
      </w:pPr>
    </w:p>
    <w:p w14:paraId="7D2D30BA" w14:textId="77777777" w:rsidR="00FC7DC6" w:rsidRDefault="00FC7DC6" w:rsidP="005B7C9B">
      <w:pPr>
        <w:spacing w:line="480" w:lineRule="auto"/>
        <w:ind w:firstLine="284"/>
        <w:contextualSpacing/>
        <w:jc w:val="both"/>
      </w:pPr>
    </w:p>
    <w:p w14:paraId="49B34CC6" w14:textId="77777777" w:rsidR="00FC7DC6" w:rsidRDefault="00FC7DC6" w:rsidP="005B7C9B">
      <w:pPr>
        <w:spacing w:line="480" w:lineRule="auto"/>
        <w:ind w:firstLine="284"/>
        <w:contextualSpacing/>
        <w:jc w:val="both"/>
      </w:pPr>
    </w:p>
    <w:p w14:paraId="7E9535D9" w14:textId="77777777" w:rsidR="00FC7DC6" w:rsidRDefault="00FC7DC6" w:rsidP="005B7C9B">
      <w:pPr>
        <w:spacing w:line="480" w:lineRule="auto"/>
        <w:ind w:firstLine="284"/>
        <w:contextualSpacing/>
        <w:jc w:val="both"/>
      </w:pPr>
    </w:p>
    <w:p w14:paraId="3D3FB194" w14:textId="77777777" w:rsidR="00FC7DC6" w:rsidRDefault="00FC7DC6" w:rsidP="005B7C9B">
      <w:pPr>
        <w:spacing w:line="480" w:lineRule="auto"/>
        <w:ind w:firstLine="284"/>
        <w:contextualSpacing/>
        <w:jc w:val="both"/>
      </w:pPr>
    </w:p>
    <w:p w14:paraId="4F8C5C66" w14:textId="77777777" w:rsidR="00FC7DC6" w:rsidRDefault="00FC7DC6" w:rsidP="005B7C9B">
      <w:pPr>
        <w:spacing w:line="480" w:lineRule="auto"/>
        <w:ind w:firstLine="284"/>
        <w:contextualSpacing/>
        <w:jc w:val="both"/>
      </w:pPr>
    </w:p>
    <w:p w14:paraId="5CC58FB7" w14:textId="77777777" w:rsidR="00FC7DC6" w:rsidRDefault="00FC7DC6" w:rsidP="005B7C9B">
      <w:pPr>
        <w:spacing w:line="480" w:lineRule="auto"/>
        <w:ind w:firstLine="284"/>
        <w:contextualSpacing/>
        <w:jc w:val="both"/>
      </w:pPr>
    </w:p>
    <w:p w14:paraId="7DAE16BF" w14:textId="40C73B0D" w:rsidR="00403A5E" w:rsidRPr="00E4710C" w:rsidRDefault="00E4710C" w:rsidP="00E4710C">
      <w:pPr>
        <w:pStyle w:val="ListParagraph"/>
        <w:numPr>
          <w:ilvl w:val="0"/>
          <w:numId w:val="11"/>
        </w:numPr>
        <w:spacing w:line="480" w:lineRule="auto"/>
        <w:jc w:val="both"/>
        <w:rPr>
          <w:b/>
        </w:rPr>
      </w:pPr>
      <w:r>
        <w:rPr>
          <w:b/>
        </w:rPr>
        <w:lastRenderedPageBreak/>
        <w:t>Método</w:t>
      </w:r>
    </w:p>
    <w:p w14:paraId="252E731E" w14:textId="19A176AB" w:rsidR="00B66112" w:rsidRPr="00B66112" w:rsidRDefault="00E4710C" w:rsidP="00E4710C">
      <w:pPr>
        <w:pStyle w:val="ListParagraph"/>
        <w:numPr>
          <w:ilvl w:val="1"/>
          <w:numId w:val="3"/>
        </w:numPr>
        <w:spacing w:line="480" w:lineRule="auto"/>
        <w:ind w:left="0" w:firstLine="284"/>
        <w:jc w:val="both"/>
        <w:rPr>
          <w:b/>
        </w:rPr>
      </w:pPr>
      <w:r>
        <w:rPr>
          <w:b/>
        </w:rPr>
        <w:t>Participantes</w:t>
      </w:r>
    </w:p>
    <w:p w14:paraId="5C359BC0" w14:textId="77777777" w:rsidR="0008025D" w:rsidRDefault="0008025D" w:rsidP="005B7C9B">
      <w:pPr>
        <w:pStyle w:val="ListParagraph"/>
        <w:spacing w:line="480" w:lineRule="auto"/>
        <w:ind w:left="0" w:firstLine="284"/>
        <w:jc w:val="both"/>
        <w:rPr>
          <w:b/>
        </w:rPr>
      </w:pPr>
    </w:p>
    <w:p w14:paraId="6E3A4B71" w14:textId="77777777" w:rsidR="00FC7DC6" w:rsidRDefault="00D15A43" w:rsidP="00FC7DC6">
      <w:pPr>
        <w:pStyle w:val="ListParagraph"/>
        <w:spacing w:line="480" w:lineRule="auto"/>
        <w:ind w:left="0" w:firstLine="284"/>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0313BDCE" w14:textId="77777777" w:rsidR="00FC7DC6" w:rsidRDefault="00403A5E" w:rsidP="00FC7DC6">
      <w:pPr>
        <w:pStyle w:val="ListParagraph"/>
        <w:spacing w:line="480" w:lineRule="auto"/>
        <w:ind w:left="0" w:firstLine="284"/>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w:t>
      </w:r>
      <w:r w:rsidR="0031156F" w:rsidRPr="00CA6A43">
        <w:t>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5E654942" w14:textId="7A4A33E7" w:rsidR="004D3F76" w:rsidRDefault="00403A5E" w:rsidP="00FC7DC6">
      <w:pPr>
        <w:pStyle w:val="ListParagraph"/>
        <w:spacing w:line="480" w:lineRule="auto"/>
        <w:ind w:left="0" w:firstLine="284"/>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w:t>
      </w:r>
      <w:r w:rsidR="00C508FB">
        <w:lastRenderedPageBreak/>
        <w:t xml:space="preserve">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609381A5" w14:textId="53DFC36A" w:rsidR="00E4710C" w:rsidRDefault="007720FA" w:rsidP="00E4710C">
      <w:pPr>
        <w:pStyle w:val="ListParagraph"/>
        <w:spacing w:line="480" w:lineRule="auto"/>
        <w:ind w:left="0" w:firstLine="284"/>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estudiante. </w:t>
      </w:r>
      <w:r w:rsidR="00484A06">
        <w:t xml:space="preserve">También se aclaró que dichos datos estarían en manos de la coordinadora del programa de prevención quien también dictó el taller, aplicó el AUDIT y es la autora del presente estudio. </w:t>
      </w:r>
    </w:p>
    <w:p w14:paraId="552507F8" w14:textId="77777777" w:rsidR="00E4710C" w:rsidRDefault="00E4710C" w:rsidP="00E4710C">
      <w:pPr>
        <w:spacing w:line="480" w:lineRule="auto"/>
        <w:jc w:val="both"/>
      </w:pPr>
    </w:p>
    <w:p w14:paraId="6252405B" w14:textId="77777777" w:rsidR="00E4710C" w:rsidRDefault="00E4710C" w:rsidP="00E4710C">
      <w:pPr>
        <w:spacing w:line="480" w:lineRule="auto"/>
        <w:jc w:val="both"/>
      </w:pPr>
    </w:p>
    <w:p w14:paraId="087BD2C8" w14:textId="77777777" w:rsidR="00E4710C" w:rsidRDefault="00E4710C" w:rsidP="00E4710C">
      <w:pPr>
        <w:spacing w:line="480" w:lineRule="auto"/>
        <w:jc w:val="both"/>
      </w:pPr>
    </w:p>
    <w:p w14:paraId="1151EF77" w14:textId="77777777" w:rsidR="00E4710C" w:rsidRDefault="00E4710C" w:rsidP="00E4710C">
      <w:pPr>
        <w:spacing w:line="480" w:lineRule="auto"/>
        <w:jc w:val="both"/>
      </w:pPr>
    </w:p>
    <w:p w14:paraId="0F5C7389" w14:textId="77777777" w:rsidR="00E4710C" w:rsidRDefault="00E4710C" w:rsidP="00E4710C">
      <w:pPr>
        <w:spacing w:line="480" w:lineRule="auto"/>
        <w:jc w:val="both"/>
      </w:pPr>
    </w:p>
    <w:p w14:paraId="68C9174C" w14:textId="77777777" w:rsidR="00E4710C" w:rsidRDefault="00E4710C" w:rsidP="00E4710C">
      <w:pPr>
        <w:spacing w:line="480" w:lineRule="auto"/>
        <w:jc w:val="both"/>
      </w:pPr>
    </w:p>
    <w:p w14:paraId="058FB839" w14:textId="77777777" w:rsidR="00E4710C" w:rsidRDefault="00E4710C" w:rsidP="00E4710C">
      <w:pPr>
        <w:spacing w:line="480" w:lineRule="auto"/>
        <w:jc w:val="both"/>
      </w:pPr>
    </w:p>
    <w:p w14:paraId="759B0E9D" w14:textId="77777777" w:rsidR="00E4710C" w:rsidRDefault="00E4710C" w:rsidP="00E4710C">
      <w:pPr>
        <w:spacing w:line="480" w:lineRule="auto"/>
        <w:jc w:val="both"/>
      </w:pPr>
    </w:p>
    <w:p w14:paraId="588C87CF" w14:textId="77777777" w:rsidR="00E4710C" w:rsidRDefault="00E4710C" w:rsidP="00E4710C">
      <w:pPr>
        <w:spacing w:line="480" w:lineRule="auto"/>
        <w:jc w:val="both"/>
      </w:pPr>
    </w:p>
    <w:p w14:paraId="2242E3E5" w14:textId="77777777" w:rsidR="00E4710C" w:rsidRDefault="00E4710C" w:rsidP="00E4710C">
      <w:pPr>
        <w:spacing w:line="480" w:lineRule="auto"/>
        <w:jc w:val="both"/>
      </w:pPr>
    </w:p>
    <w:p w14:paraId="7E12E8BC" w14:textId="200FC5B1" w:rsidR="00403A5E" w:rsidRPr="00E4710C" w:rsidRDefault="00E4710C" w:rsidP="00E4710C">
      <w:pPr>
        <w:pStyle w:val="ListParagraph"/>
        <w:numPr>
          <w:ilvl w:val="0"/>
          <w:numId w:val="15"/>
        </w:numPr>
        <w:spacing w:line="480" w:lineRule="auto"/>
        <w:jc w:val="both"/>
        <w:rPr>
          <w:b/>
        </w:rPr>
      </w:pPr>
      <w:r>
        <w:rPr>
          <w:b/>
        </w:rPr>
        <w:lastRenderedPageBreak/>
        <w:t xml:space="preserve">   Instrumento</w:t>
      </w:r>
    </w:p>
    <w:p w14:paraId="3AA3BFC0" w14:textId="77777777" w:rsidR="00403A5E" w:rsidRPr="00403A5E" w:rsidRDefault="00403A5E" w:rsidP="005B7C9B">
      <w:pPr>
        <w:spacing w:line="480" w:lineRule="auto"/>
        <w:ind w:firstLine="284"/>
        <w:jc w:val="both"/>
        <w:rPr>
          <w:b/>
        </w:rPr>
      </w:pPr>
    </w:p>
    <w:p w14:paraId="1220CB6C" w14:textId="77777777" w:rsidR="00FC7DC6" w:rsidRDefault="000144E8" w:rsidP="00FC7DC6">
      <w:pPr>
        <w:pStyle w:val="ListParagraph"/>
        <w:spacing w:line="480" w:lineRule="auto"/>
        <w:ind w:left="0" w:firstLine="284"/>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26DD03A0" w14:textId="0F28AF80" w:rsidR="000774F6" w:rsidRDefault="000774F6" w:rsidP="00FC7DC6">
      <w:pPr>
        <w:pStyle w:val="ListParagraph"/>
        <w:spacing w:line="480" w:lineRule="auto"/>
        <w:ind w:left="0" w:firstLine="284"/>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5B7C9B">
      <w:pPr>
        <w:pStyle w:val="ListParagraph"/>
        <w:spacing w:line="480" w:lineRule="auto"/>
        <w:ind w:left="0" w:firstLine="284"/>
        <w:jc w:val="both"/>
      </w:pPr>
    </w:p>
    <w:p w14:paraId="5059FA1D" w14:textId="2CA6CF71" w:rsidR="000774F6" w:rsidRDefault="000774F6" w:rsidP="00FC7DC6">
      <w:pPr>
        <w:pStyle w:val="ListParagraph"/>
        <w:spacing w:line="480" w:lineRule="auto"/>
        <w:ind w:left="0" w:firstLine="284"/>
        <w:jc w:val="both"/>
      </w:pPr>
      <w:r>
        <w:lastRenderedPageBreak/>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418B4B57" w14:textId="04DF666F" w:rsidR="00653233" w:rsidRDefault="009C32B3" w:rsidP="00FC7DC6">
      <w:pPr>
        <w:pStyle w:val="ListParagraph"/>
        <w:spacing w:line="480" w:lineRule="auto"/>
        <w:ind w:left="0" w:firstLine="284"/>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 xml:space="preserve">Por otro lado, la dimensionalidad de una escala se refiere a una de las maneras de constatar la validez de constructo mediante la verificación de las dimensiones de la misma (Campo-Arias, Villamil-Vargas &amp; Herazo, 2013). La validez es “la capacidad que tiene el </w:t>
      </w:r>
      <w:r w:rsidR="00E96A96">
        <w:lastRenderedPageBreak/>
        <w:t>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587CB0BF" w14:textId="230BE82C" w:rsidR="009C32B3" w:rsidRDefault="00653233" w:rsidP="00FC7DC6">
      <w:pPr>
        <w:pStyle w:val="ListParagraph"/>
        <w:spacing w:line="480" w:lineRule="auto"/>
        <w:ind w:left="0" w:firstLine="284"/>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1"/>
      <w:r w:rsidR="009C32B3" w:rsidRPr="009C32B3">
        <w:rPr>
          <w:highlight w:val="yellow"/>
        </w:rPr>
        <w:t>1</w:t>
      </w:r>
      <w:commentRangeEnd w:id="1"/>
      <w:r w:rsidR="00D41B59">
        <w:rPr>
          <w:rStyle w:val="CommentReference"/>
        </w:rPr>
        <w:commentReference w:id="1"/>
      </w:r>
      <w:r w:rsidR="009C32B3" w:rsidRPr="009C32B3">
        <w:rPr>
          <w:highlight w:val="yellow"/>
        </w:rPr>
        <w:t>).</w:t>
      </w:r>
      <w:r w:rsidR="009C32B3">
        <w:t xml:space="preserve"> </w:t>
      </w:r>
      <w:r>
        <w:t xml:space="preserve">El AUDIT está conformado por 10 preguntas, cada una con un contenido en el ítem y  tres dominios. </w:t>
      </w:r>
      <w:r w:rsidRPr="00255EB2">
        <w:t>Las preguntas 1, 2 y 3 evalúan la frecuencia de consumo, la cantidad típica y la 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 xml:space="preserve">estas preguntas las que conforman el </w:t>
      </w:r>
      <w:r w:rsidR="00D04376">
        <w:lastRenderedPageBreak/>
        <w:t>último dominio de consumo perjudicial de alcohol (</w:t>
      </w:r>
      <w:r w:rsidR="0019627E">
        <w:t xml:space="preserve">Babor, Higgins-Biddle, Saunders y Monteiro, </w:t>
      </w:r>
      <w:r w:rsidR="00310870" w:rsidRPr="00F456C9">
        <w:t>2001).</w:t>
      </w:r>
    </w:p>
    <w:p w14:paraId="77D3FE2C" w14:textId="66581620" w:rsidR="0036571D" w:rsidRDefault="009C32B3" w:rsidP="00FC7DC6">
      <w:pPr>
        <w:pStyle w:val="ListParagraph"/>
        <w:spacing w:line="480" w:lineRule="auto"/>
        <w:ind w:left="0" w:firstLine="284"/>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28780158" w14:textId="2AB63DA2" w:rsidR="00973591" w:rsidRDefault="0099551A" w:rsidP="005B7C9B">
      <w:pPr>
        <w:pStyle w:val="ListParagraph"/>
        <w:spacing w:line="480" w:lineRule="auto"/>
        <w:ind w:left="0" w:firstLine="284"/>
        <w:jc w:val="both"/>
        <w:rPr>
          <w:lang w:val="es-CO"/>
        </w:rPr>
      </w:pPr>
      <w:r>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w:t>
      </w:r>
      <w:r w:rsidR="0036571D">
        <w:rPr>
          <w:lang w:val="es-CO"/>
        </w:rPr>
        <w:lastRenderedPageBreak/>
        <w:t>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5B7C9B">
      <w:pPr>
        <w:pStyle w:val="ListParagraph"/>
        <w:spacing w:line="480" w:lineRule="auto"/>
        <w:ind w:left="0" w:firstLine="284"/>
        <w:jc w:val="both"/>
        <w:rPr>
          <w:lang w:val="es-CO"/>
        </w:rPr>
      </w:pPr>
    </w:p>
    <w:p w14:paraId="38538CB5" w14:textId="77777777" w:rsidR="00A80F0C" w:rsidRDefault="00BB51F2" w:rsidP="00A80F0C">
      <w:pPr>
        <w:keepNext/>
        <w:spacing w:line="480" w:lineRule="auto"/>
        <w:ind w:firstLine="284"/>
        <w:jc w:val="both"/>
      </w:pPr>
      <w:r>
        <w:rPr>
          <w:noProof/>
          <w:lang w:val="es-CO" w:eastAsia="es-CO"/>
        </w:rPr>
        <w:drawing>
          <wp:inline distT="0" distB="0" distL="0" distR="0" wp14:anchorId="486FFF0F" wp14:editId="7FA6C537">
            <wp:extent cx="5257291" cy="2431007"/>
            <wp:effectExtent l="0" t="0" r="635" b="762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1606"/>
                    <a:stretch/>
                  </pic:blipFill>
                  <pic:spPr bwMode="auto">
                    <a:xfrm>
                      <a:off x="0" y="0"/>
                      <a:ext cx="5258386" cy="2431513"/>
                    </a:xfrm>
                    <a:prstGeom prst="rect">
                      <a:avLst/>
                    </a:prstGeom>
                    <a:noFill/>
                    <a:ln>
                      <a:noFill/>
                    </a:ln>
                    <a:extLst>
                      <a:ext uri="{53640926-AAD7-44D8-BBD7-CCE9431645EC}">
                        <a14:shadowObscured xmlns:a14="http://schemas.microsoft.com/office/drawing/2010/main"/>
                      </a:ext>
                    </a:extLst>
                  </pic:spPr>
                </pic:pic>
              </a:graphicData>
            </a:graphic>
          </wp:inline>
        </w:drawing>
      </w:r>
    </w:p>
    <w:p w14:paraId="491F1D76" w14:textId="2E222A0C" w:rsidR="0008025D" w:rsidRPr="00A80F0C" w:rsidRDefault="00A80F0C" w:rsidP="00A80F0C">
      <w:pPr>
        <w:pStyle w:val="Caption"/>
        <w:jc w:val="center"/>
        <w:rPr>
          <w:i w:val="0"/>
          <w:sz w:val="20"/>
        </w:rPr>
      </w:pPr>
      <w:bookmarkStart w:id="2" w:name="_Toc450578176"/>
      <w:r>
        <w:rPr>
          <w:sz w:val="20"/>
        </w:rPr>
        <w:t>Figura</w:t>
      </w:r>
      <w:r w:rsidRPr="00A80F0C">
        <w:rPr>
          <w:sz w:val="20"/>
        </w:rPr>
        <w:t xml:space="preserve"> </w:t>
      </w:r>
      <w:r w:rsidRPr="00A80F0C">
        <w:rPr>
          <w:sz w:val="20"/>
        </w:rPr>
        <w:fldChar w:fldCharType="begin"/>
      </w:r>
      <w:r w:rsidRPr="00A80F0C">
        <w:rPr>
          <w:sz w:val="20"/>
        </w:rPr>
        <w:instrText xml:space="preserve"> SEQ Ilustración \* ARABIC </w:instrText>
      </w:r>
      <w:r w:rsidRPr="00A80F0C">
        <w:rPr>
          <w:sz w:val="20"/>
        </w:rPr>
        <w:fldChar w:fldCharType="separate"/>
      </w:r>
      <w:r w:rsidR="003A2538">
        <w:rPr>
          <w:noProof/>
          <w:sz w:val="20"/>
        </w:rPr>
        <w:t>1</w:t>
      </w:r>
      <w:r w:rsidRPr="00A80F0C">
        <w:rPr>
          <w:sz w:val="20"/>
        </w:rPr>
        <w:fldChar w:fldCharType="end"/>
      </w:r>
      <w:r w:rsidRPr="00A80F0C">
        <w:rPr>
          <w:sz w:val="20"/>
        </w:rPr>
        <w:t xml:space="preserve">. </w:t>
      </w:r>
      <w:r w:rsidRPr="00A80F0C">
        <w:rPr>
          <w:i w:val="0"/>
          <w:sz w:val="20"/>
        </w:rPr>
        <w:t>“</w:t>
      </w:r>
      <w:r>
        <w:rPr>
          <w:i w:val="0"/>
          <w:sz w:val="20"/>
        </w:rPr>
        <w:t>U</w:t>
      </w:r>
      <w:r w:rsidRPr="00A80F0C">
        <w:rPr>
          <w:i w:val="0"/>
          <w:sz w:val="20"/>
        </w:rPr>
        <w:t>n trago” como una unidad de bebida estándar (UBE) que equivale a 10 gramos de alcohol y está caracterizada por el tipo de licor consumido, la cantidad y su respectiva concentración de alcohol</w:t>
      </w:r>
      <w:bookmarkEnd w:id="2"/>
    </w:p>
    <w:p w14:paraId="63BB1DA6" w14:textId="77777777" w:rsidR="00340C51" w:rsidRDefault="00340C51" w:rsidP="005B7C9B">
      <w:pPr>
        <w:pStyle w:val="ListParagraph"/>
        <w:spacing w:line="480" w:lineRule="auto"/>
        <w:ind w:left="0" w:firstLine="284"/>
        <w:jc w:val="both"/>
      </w:pPr>
    </w:p>
    <w:p w14:paraId="6C3022C9" w14:textId="1A1E67A6" w:rsidR="005D40F2" w:rsidRDefault="00D84B58" w:rsidP="005B7C9B">
      <w:pPr>
        <w:pStyle w:val="ListParagraph"/>
        <w:spacing w:line="480" w:lineRule="auto"/>
        <w:ind w:left="0" w:firstLine="284"/>
        <w:jc w:val="both"/>
      </w:pPr>
      <w:r>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w:t>
      </w:r>
      <w:r w:rsidR="00851E4F">
        <w:lastRenderedPageBreak/>
        <w:t>mujeres</w:t>
      </w:r>
      <w:r w:rsidR="005D40F2">
        <w:t xml:space="preserve"> y personas mayores de 65 años, pero esto sería a expensas de la especificidad. Finalmente ellos recomiendan interpretar el puntaje total de la siguiente manera: “</w:t>
      </w:r>
    </w:p>
    <w:p w14:paraId="6115C83B" w14:textId="77777777" w:rsidR="00FC7DC6" w:rsidRPr="00FC7DC6" w:rsidRDefault="005D40F2" w:rsidP="00E4710C">
      <w:pPr>
        <w:pStyle w:val="ListParagraph"/>
        <w:numPr>
          <w:ilvl w:val="0"/>
          <w:numId w:val="5"/>
        </w:numPr>
        <w:spacing w:line="480" w:lineRule="auto"/>
        <w:ind w:left="0" w:firstLine="284"/>
        <w:jc w:val="both"/>
      </w:pPr>
      <w:r>
        <w:rPr>
          <w:sz w:val="22"/>
          <w:szCs w:val="22"/>
        </w:rPr>
        <w:t>Puntuaciones entre 8 y 15 son las más apropiadas para un simple consejo enfocado en la</w:t>
      </w:r>
    </w:p>
    <w:p w14:paraId="40FBF1E2" w14:textId="1BAF68EF" w:rsidR="005D40F2" w:rsidRPr="005D40F2" w:rsidRDefault="005D40F2" w:rsidP="00FC7DC6">
      <w:pPr>
        <w:pStyle w:val="ListParagraph"/>
        <w:spacing w:line="480" w:lineRule="auto"/>
        <w:ind w:left="284"/>
        <w:jc w:val="both"/>
      </w:pPr>
      <w:r>
        <w:rPr>
          <w:sz w:val="22"/>
          <w:szCs w:val="22"/>
        </w:rPr>
        <w:t xml:space="preserve"> </w:t>
      </w:r>
      <w:r w:rsidR="00FC7DC6">
        <w:rPr>
          <w:sz w:val="22"/>
          <w:szCs w:val="22"/>
        </w:rPr>
        <w:t xml:space="preserve">    </w:t>
      </w:r>
      <w:r>
        <w:rPr>
          <w:sz w:val="22"/>
          <w:szCs w:val="22"/>
        </w:rPr>
        <w:t>reducción del consumo de riesgo.</w:t>
      </w:r>
    </w:p>
    <w:p w14:paraId="0242B691" w14:textId="3D30BEE0" w:rsidR="005D40F2" w:rsidRPr="005D40F2" w:rsidRDefault="005D40F2" w:rsidP="00E4710C">
      <w:pPr>
        <w:pStyle w:val="ListParagraph"/>
        <w:numPr>
          <w:ilvl w:val="0"/>
          <w:numId w:val="5"/>
        </w:numPr>
        <w:spacing w:line="480" w:lineRule="auto"/>
        <w:ind w:left="0" w:firstLine="284"/>
        <w:jc w:val="both"/>
      </w:pPr>
      <w:r>
        <w:rPr>
          <w:sz w:val="22"/>
          <w:szCs w:val="22"/>
        </w:rPr>
        <w:t>Puntuaciones entre 16 y 19 sugieren terapia breve y un abordaje continuado.</w:t>
      </w:r>
    </w:p>
    <w:p w14:paraId="33596913" w14:textId="77777777" w:rsidR="00FC7DC6" w:rsidRPr="00FC7DC6" w:rsidRDefault="005D40F2" w:rsidP="00E4710C">
      <w:pPr>
        <w:pStyle w:val="ListParagraph"/>
        <w:numPr>
          <w:ilvl w:val="0"/>
          <w:numId w:val="5"/>
        </w:numPr>
        <w:spacing w:line="480" w:lineRule="auto"/>
        <w:ind w:left="0" w:firstLine="284"/>
        <w:jc w:val="both"/>
      </w:pPr>
      <w:r>
        <w:rPr>
          <w:sz w:val="22"/>
          <w:szCs w:val="22"/>
        </w:rPr>
        <w:t xml:space="preserve">Puntuaciones iguales o mayores a 20 claramente requieren una evaluación diagnóstica más </w:t>
      </w:r>
    </w:p>
    <w:p w14:paraId="4ED0D964" w14:textId="6C582458" w:rsidR="005D40F2" w:rsidRPr="007A5A72" w:rsidRDefault="00FC7DC6" w:rsidP="00FC7DC6">
      <w:pPr>
        <w:pStyle w:val="ListParagraph"/>
        <w:spacing w:line="480" w:lineRule="auto"/>
        <w:ind w:left="284"/>
        <w:jc w:val="both"/>
      </w:pPr>
      <w:r>
        <w:rPr>
          <w:sz w:val="22"/>
          <w:szCs w:val="22"/>
        </w:rPr>
        <w:t xml:space="preserve">     </w:t>
      </w:r>
      <w:r w:rsidR="005D40F2">
        <w:rPr>
          <w:sz w:val="22"/>
          <w:szCs w:val="22"/>
        </w:rPr>
        <w:t>amplia de la dependencia al alcohol”</w:t>
      </w:r>
      <w:r w:rsidR="007A5A72">
        <w:rPr>
          <w:sz w:val="22"/>
          <w:szCs w:val="22"/>
        </w:rPr>
        <w:t>.</w:t>
      </w:r>
      <w:r w:rsidR="005D40F2">
        <w:rPr>
          <w:sz w:val="22"/>
          <w:szCs w:val="22"/>
        </w:rPr>
        <w:t xml:space="preserve"> (pp. 20)</w:t>
      </w:r>
    </w:p>
    <w:p w14:paraId="30056E4A" w14:textId="0DF49030" w:rsidR="00255EB2" w:rsidRDefault="007A5A72" w:rsidP="005B7C9B">
      <w:pPr>
        <w:spacing w:line="480" w:lineRule="auto"/>
        <w:ind w:firstLine="284"/>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791A2591" w14:textId="77777777" w:rsidR="009900DD" w:rsidRDefault="009900DD" w:rsidP="005B7C9B">
      <w:pPr>
        <w:spacing w:line="480" w:lineRule="auto"/>
        <w:ind w:firstLine="284"/>
        <w:jc w:val="both"/>
        <w:rPr>
          <w:b/>
        </w:rPr>
      </w:pPr>
    </w:p>
    <w:p w14:paraId="0C772EF8" w14:textId="77777777" w:rsidR="00FC7DC6" w:rsidRDefault="00FC7DC6" w:rsidP="005B7C9B">
      <w:pPr>
        <w:spacing w:line="480" w:lineRule="auto"/>
        <w:ind w:firstLine="284"/>
        <w:jc w:val="both"/>
        <w:rPr>
          <w:b/>
        </w:rPr>
      </w:pPr>
    </w:p>
    <w:p w14:paraId="5351A241" w14:textId="77777777" w:rsidR="00FC7DC6" w:rsidRDefault="00FC7DC6" w:rsidP="005B7C9B">
      <w:pPr>
        <w:spacing w:line="480" w:lineRule="auto"/>
        <w:ind w:firstLine="284"/>
        <w:jc w:val="both"/>
        <w:rPr>
          <w:b/>
        </w:rPr>
      </w:pPr>
    </w:p>
    <w:p w14:paraId="7DCA805C" w14:textId="77777777" w:rsidR="00FC7DC6" w:rsidRDefault="00FC7DC6" w:rsidP="005B7C9B">
      <w:pPr>
        <w:spacing w:line="480" w:lineRule="auto"/>
        <w:ind w:firstLine="284"/>
        <w:jc w:val="both"/>
        <w:rPr>
          <w:b/>
        </w:rPr>
      </w:pPr>
    </w:p>
    <w:p w14:paraId="5CAB4713" w14:textId="77777777" w:rsidR="00FC7DC6" w:rsidRDefault="00FC7DC6" w:rsidP="005B7C9B">
      <w:pPr>
        <w:spacing w:line="480" w:lineRule="auto"/>
        <w:ind w:firstLine="284"/>
        <w:jc w:val="both"/>
        <w:rPr>
          <w:b/>
        </w:rPr>
      </w:pPr>
    </w:p>
    <w:p w14:paraId="31D29545" w14:textId="77777777" w:rsidR="00FC7DC6" w:rsidRDefault="00FC7DC6" w:rsidP="005B7C9B">
      <w:pPr>
        <w:spacing w:line="480" w:lineRule="auto"/>
        <w:ind w:firstLine="284"/>
        <w:jc w:val="both"/>
        <w:rPr>
          <w:b/>
        </w:rPr>
      </w:pPr>
    </w:p>
    <w:p w14:paraId="76B54B15" w14:textId="77777777" w:rsidR="00FC7DC6" w:rsidRDefault="00FC7DC6" w:rsidP="005B7C9B">
      <w:pPr>
        <w:spacing w:line="480" w:lineRule="auto"/>
        <w:ind w:firstLine="284"/>
        <w:jc w:val="both"/>
        <w:rPr>
          <w:b/>
        </w:rPr>
      </w:pPr>
    </w:p>
    <w:p w14:paraId="240E6EB9" w14:textId="77777777" w:rsidR="00FC7DC6" w:rsidRDefault="00FC7DC6" w:rsidP="005B7C9B">
      <w:pPr>
        <w:spacing w:line="480" w:lineRule="auto"/>
        <w:ind w:firstLine="284"/>
        <w:jc w:val="both"/>
        <w:rPr>
          <w:b/>
        </w:rPr>
      </w:pPr>
    </w:p>
    <w:p w14:paraId="58BA800E" w14:textId="77777777" w:rsidR="00FC7DC6" w:rsidRDefault="00FC7DC6" w:rsidP="005B7C9B">
      <w:pPr>
        <w:spacing w:line="480" w:lineRule="auto"/>
        <w:ind w:firstLine="284"/>
        <w:jc w:val="both"/>
        <w:rPr>
          <w:b/>
        </w:rPr>
      </w:pPr>
    </w:p>
    <w:p w14:paraId="05CF728E" w14:textId="77777777" w:rsidR="00FC7DC6" w:rsidRDefault="00FC7DC6" w:rsidP="005B7C9B">
      <w:pPr>
        <w:spacing w:line="480" w:lineRule="auto"/>
        <w:ind w:firstLine="284"/>
        <w:jc w:val="both"/>
        <w:rPr>
          <w:b/>
        </w:rPr>
      </w:pPr>
    </w:p>
    <w:p w14:paraId="026A606C" w14:textId="77777777" w:rsidR="00FC7DC6" w:rsidRDefault="00FC7DC6" w:rsidP="005B7C9B">
      <w:pPr>
        <w:spacing w:line="480" w:lineRule="auto"/>
        <w:ind w:firstLine="284"/>
        <w:jc w:val="both"/>
        <w:rPr>
          <w:b/>
        </w:rPr>
      </w:pPr>
    </w:p>
    <w:p w14:paraId="4601B081" w14:textId="77777777" w:rsidR="00FC7DC6" w:rsidRDefault="00FC7DC6" w:rsidP="005B7C9B">
      <w:pPr>
        <w:spacing w:line="480" w:lineRule="auto"/>
        <w:ind w:firstLine="284"/>
        <w:jc w:val="both"/>
        <w:rPr>
          <w:b/>
        </w:rPr>
      </w:pPr>
    </w:p>
    <w:p w14:paraId="49DD1138" w14:textId="77777777" w:rsidR="00FC7DC6" w:rsidRDefault="00FC7DC6" w:rsidP="005B7C9B">
      <w:pPr>
        <w:spacing w:line="480" w:lineRule="auto"/>
        <w:ind w:firstLine="284"/>
        <w:jc w:val="both"/>
        <w:rPr>
          <w:b/>
        </w:rPr>
      </w:pPr>
    </w:p>
    <w:p w14:paraId="40EA5F58" w14:textId="77777777" w:rsidR="00FC7DC6" w:rsidRDefault="00FC7DC6" w:rsidP="005B7C9B">
      <w:pPr>
        <w:spacing w:line="480" w:lineRule="auto"/>
        <w:ind w:firstLine="284"/>
        <w:jc w:val="both"/>
        <w:rPr>
          <w:b/>
        </w:rPr>
      </w:pPr>
    </w:p>
    <w:p w14:paraId="7A58902D" w14:textId="77777777" w:rsidR="00FC7DC6" w:rsidRDefault="00FC7DC6" w:rsidP="005B7C9B">
      <w:pPr>
        <w:spacing w:line="480" w:lineRule="auto"/>
        <w:ind w:firstLine="284"/>
        <w:jc w:val="both"/>
        <w:rPr>
          <w:b/>
        </w:rPr>
      </w:pPr>
    </w:p>
    <w:p w14:paraId="32A00D0D" w14:textId="77777777" w:rsidR="00FC7DC6" w:rsidRDefault="00FC7DC6" w:rsidP="005B7C9B">
      <w:pPr>
        <w:spacing w:line="480" w:lineRule="auto"/>
        <w:ind w:firstLine="284"/>
        <w:jc w:val="both"/>
        <w:rPr>
          <w:b/>
        </w:rPr>
      </w:pPr>
    </w:p>
    <w:p w14:paraId="0A1E8473" w14:textId="1BDD4A7A" w:rsidR="00A9493A" w:rsidRPr="009900DD" w:rsidRDefault="00E4710C" w:rsidP="00E4710C">
      <w:pPr>
        <w:pStyle w:val="ListParagraph"/>
        <w:numPr>
          <w:ilvl w:val="1"/>
          <w:numId w:val="3"/>
        </w:numPr>
        <w:spacing w:line="480" w:lineRule="auto"/>
        <w:ind w:left="0" w:firstLine="284"/>
        <w:jc w:val="both"/>
        <w:rPr>
          <w:b/>
        </w:rPr>
      </w:pPr>
      <w:r>
        <w:rPr>
          <w:b/>
        </w:rPr>
        <w:lastRenderedPageBreak/>
        <w:t>Procedimiento</w:t>
      </w:r>
    </w:p>
    <w:p w14:paraId="25D8E4F3" w14:textId="77777777" w:rsidR="00403A5E" w:rsidRPr="00403A5E" w:rsidRDefault="00403A5E" w:rsidP="005B7C9B">
      <w:pPr>
        <w:spacing w:line="480" w:lineRule="auto"/>
        <w:ind w:firstLine="284"/>
        <w:jc w:val="both"/>
        <w:rPr>
          <w:b/>
        </w:rPr>
      </w:pPr>
    </w:p>
    <w:p w14:paraId="29B667A3" w14:textId="77777777" w:rsidR="00FC7DC6" w:rsidRDefault="00526E0F" w:rsidP="00FC7DC6">
      <w:pPr>
        <w:spacing w:line="480" w:lineRule="auto"/>
        <w:ind w:left="284" w:firstLine="284"/>
        <w:jc w:val="both"/>
        <w:rPr>
          <w:bCs/>
          <w:lang w:val="es-CO"/>
        </w:rPr>
      </w:pPr>
      <w:r>
        <w:rPr>
          <w:bCs/>
          <w:lang w:val="es-CO"/>
        </w:rPr>
        <w:t>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por diversos estudios y en diferentes paises alrededor de</w:t>
      </w:r>
      <w:r w:rsidR="00837BE2">
        <w:rPr>
          <w:bCs/>
          <w:lang w:val="es-CO"/>
        </w:rPr>
        <w:t>l mundo, incluyendo a Colombia</w:t>
      </w:r>
      <w:r w:rsidR="00837BE2" w:rsidRPr="00FC7DC6">
        <w:rPr>
          <w:bCs/>
          <w:lang w:val="es-CO"/>
        </w:rPr>
        <w:t xml:space="preserve">. </w:t>
      </w:r>
    </w:p>
    <w:p w14:paraId="6D6BABE4" w14:textId="0E6FD0D3" w:rsidR="00CE1CC4" w:rsidRPr="00FC7DC6" w:rsidRDefault="00FC7DC6" w:rsidP="00FC7DC6">
      <w:pPr>
        <w:spacing w:line="480" w:lineRule="auto"/>
        <w:ind w:left="284" w:firstLine="284"/>
        <w:jc w:val="both"/>
      </w:pPr>
      <w:r w:rsidRPr="00FC7DC6">
        <w:rPr>
          <w:bCs/>
          <w:lang w:val="es-CO"/>
        </w:rPr>
        <w:t xml:space="preserve">Según </w:t>
      </w:r>
      <w:r>
        <w:t xml:space="preserve">el U.S. Department of Health and Human Services, (2007), </w:t>
      </w:r>
      <w:commentRangeStart w:id="3"/>
      <w:r w:rsidR="00CE1CC4">
        <w:rPr>
          <w:bCs/>
          <w:lang w:val="es-CO"/>
        </w:rPr>
        <w:t>l</w:t>
      </w:r>
      <w:r w:rsidR="00837BE2">
        <w:rPr>
          <w:bCs/>
          <w:lang w:val="es-CO"/>
        </w:rPr>
        <w:t>os</w:t>
      </w:r>
      <w:commentRangeEnd w:id="3"/>
      <w:r w:rsidR="00CE1CC4">
        <w:rPr>
          <w:rStyle w:val="CommentReference"/>
        </w:rPr>
        <w:commentReference w:id="3"/>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1F3F0E58" w14:textId="77777777" w:rsidR="00FC7DC6" w:rsidRDefault="00CE1CC4" w:rsidP="00FC7DC6">
      <w:pPr>
        <w:spacing w:line="480" w:lineRule="auto"/>
        <w:ind w:firstLine="284"/>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1C494B51" w14:textId="57EEE3F5" w:rsidR="00403A5E" w:rsidRPr="00FC7DC6" w:rsidRDefault="00902647" w:rsidP="00FC7DC6">
      <w:pPr>
        <w:spacing w:line="480" w:lineRule="auto"/>
        <w:ind w:firstLine="284"/>
        <w:contextualSpacing/>
        <w:jc w:val="both"/>
        <w:rPr>
          <w:bCs/>
          <w:lang w:val="es-CO"/>
        </w:rPr>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w:t>
      </w:r>
      <w:r w:rsidR="00A9493A" w:rsidRPr="00CA6A43">
        <w:lastRenderedPageBreak/>
        <w:t xml:space="preserve">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5A10FAD9" w14:textId="6145ED55" w:rsidR="00A9493A" w:rsidRDefault="00F97E7E" w:rsidP="005B7C9B">
      <w:pPr>
        <w:spacing w:line="480" w:lineRule="auto"/>
        <w:ind w:firstLine="284"/>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A80F0C">
        <w:t>(ver Fig</w:t>
      </w:r>
      <w:r w:rsidR="00A80F0C" w:rsidRPr="00A80F0C">
        <w:t>ura</w:t>
      </w:r>
      <w:r w:rsidRPr="00A80F0C">
        <w:t xml:space="preserve"> 1)</w:t>
      </w:r>
      <w:r w:rsidR="00120E1F">
        <w:t xml:space="preserve">. En la </w:t>
      </w:r>
      <w:r w:rsidR="00F930C3">
        <w:t>F</w:t>
      </w:r>
      <w:r w:rsidR="00120E1F">
        <w:t>igura</w:t>
      </w:r>
      <w:r w:rsidR="00F930C3">
        <w:t xml:space="preserve"> 1</w:t>
      </w:r>
      <w:r w:rsidR="00120E1F">
        <w:t xml:space="preserve">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w:t>
      </w:r>
      <w:r>
        <w:lastRenderedPageBreak/>
        <w:t>un solo día</w:t>
      </w:r>
      <w:r w:rsidR="00362FD8">
        <w:t xml:space="preserve"> se refiere</w:t>
      </w:r>
      <w:r w:rsidR="00E876F0">
        <w:t xml:space="preserve"> a un día de consumo normal en el que la persona se toma 6 o más tragos de cualquiera que sea el licor que está tomando. </w:t>
      </w:r>
    </w:p>
    <w:p w14:paraId="42DB2E7A" w14:textId="02AC15EF" w:rsidR="00403A5E" w:rsidRPr="00CA6A43" w:rsidRDefault="00E876F0" w:rsidP="00FC7DC6">
      <w:pPr>
        <w:spacing w:line="480" w:lineRule="auto"/>
        <w:ind w:firstLine="284"/>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5874334B" w14:textId="6CC7234C" w:rsidR="00A9493A" w:rsidRDefault="00A9493A" w:rsidP="005B7C9B">
      <w:pPr>
        <w:spacing w:line="480" w:lineRule="auto"/>
        <w:ind w:firstLine="284"/>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w:t>
      </w:r>
      <w:r w:rsidR="00F930C3">
        <w:t>libro</w:t>
      </w:r>
      <w:r w:rsidR="00E00FDB">
        <w:t xml:space="preserve">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001861E0">
        <w:t xml:space="preserve">) para ser analizados. </w:t>
      </w:r>
    </w:p>
    <w:p w14:paraId="269A6096" w14:textId="77777777" w:rsidR="009900DD" w:rsidRDefault="009900DD" w:rsidP="005B7C9B">
      <w:pPr>
        <w:spacing w:line="480" w:lineRule="auto"/>
        <w:ind w:firstLine="284"/>
        <w:contextualSpacing/>
        <w:jc w:val="both"/>
      </w:pPr>
    </w:p>
    <w:p w14:paraId="1ED222D4" w14:textId="77777777" w:rsidR="00FC7DC6" w:rsidRDefault="00FC7DC6" w:rsidP="005B7C9B">
      <w:pPr>
        <w:spacing w:line="480" w:lineRule="auto"/>
        <w:ind w:firstLine="284"/>
        <w:contextualSpacing/>
        <w:jc w:val="both"/>
      </w:pPr>
    </w:p>
    <w:p w14:paraId="7E8EF0E9" w14:textId="77777777" w:rsidR="00FC7DC6" w:rsidRDefault="00FC7DC6" w:rsidP="005B7C9B">
      <w:pPr>
        <w:spacing w:line="480" w:lineRule="auto"/>
        <w:ind w:firstLine="284"/>
        <w:contextualSpacing/>
        <w:jc w:val="both"/>
      </w:pPr>
    </w:p>
    <w:p w14:paraId="4CBD1FF1" w14:textId="77777777" w:rsidR="00FC7DC6" w:rsidRDefault="00FC7DC6" w:rsidP="005B7C9B">
      <w:pPr>
        <w:spacing w:line="480" w:lineRule="auto"/>
        <w:ind w:firstLine="284"/>
        <w:contextualSpacing/>
        <w:jc w:val="both"/>
      </w:pPr>
    </w:p>
    <w:p w14:paraId="0E7F3FCA" w14:textId="77777777" w:rsidR="00FC7DC6" w:rsidRDefault="00FC7DC6" w:rsidP="005B7C9B">
      <w:pPr>
        <w:spacing w:line="480" w:lineRule="auto"/>
        <w:ind w:firstLine="284"/>
        <w:contextualSpacing/>
        <w:jc w:val="both"/>
      </w:pPr>
    </w:p>
    <w:p w14:paraId="42BED6B0" w14:textId="77777777" w:rsidR="00FC7DC6" w:rsidRDefault="00FC7DC6" w:rsidP="005B7C9B">
      <w:pPr>
        <w:spacing w:line="480" w:lineRule="auto"/>
        <w:ind w:firstLine="284"/>
        <w:contextualSpacing/>
        <w:jc w:val="both"/>
      </w:pPr>
    </w:p>
    <w:p w14:paraId="2E3F0185" w14:textId="77777777" w:rsidR="00FC7DC6" w:rsidRDefault="00FC7DC6" w:rsidP="005B7C9B">
      <w:pPr>
        <w:spacing w:line="480" w:lineRule="auto"/>
        <w:ind w:firstLine="284"/>
        <w:contextualSpacing/>
        <w:jc w:val="both"/>
      </w:pPr>
    </w:p>
    <w:p w14:paraId="422A0E27" w14:textId="77777777" w:rsidR="00FC7DC6" w:rsidRDefault="00FC7DC6" w:rsidP="005B7C9B">
      <w:pPr>
        <w:spacing w:line="480" w:lineRule="auto"/>
        <w:ind w:firstLine="284"/>
        <w:contextualSpacing/>
        <w:jc w:val="both"/>
      </w:pPr>
    </w:p>
    <w:p w14:paraId="626DC8E8" w14:textId="77777777" w:rsidR="00FC7DC6" w:rsidRDefault="00FC7DC6" w:rsidP="005B7C9B">
      <w:pPr>
        <w:spacing w:line="480" w:lineRule="auto"/>
        <w:ind w:firstLine="284"/>
        <w:contextualSpacing/>
        <w:jc w:val="both"/>
      </w:pPr>
    </w:p>
    <w:p w14:paraId="28C144D9" w14:textId="77777777" w:rsidR="00FC7DC6" w:rsidRDefault="00FC7DC6" w:rsidP="005B7C9B">
      <w:pPr>
        <w:spacing w:line="480" w:lineRule="auto"/>
        <w:ind w:firstLine="284"/>
        <w:contextualSpacing/>
        <w:jc w:val="both"/>
      </w:pPr>
    </w:p>
    <w:p w14:paraId="711D9554" w14:textId="407C6478" w:rsidR="00C44E00" w:rsidRPr="009900DD" w:rsidRDefault="00C44E00" w:rsidP="00E4710C">
      <w:pPr>
        <w:pStyle w:val="ListParagraph"/>
        <w:numPr>
          <w:ilvl w:val="1"/>
          <w:numId w:val="3"/>
        </w:numPr>
        <w:spacing w:line="480" w:lineRule="auto"/>
        <w:ind w:left="0" w:firstLine="284"/>
        <w:jc w:val="both"/>
      </w:pPr>
      <w:r w:rsidRPr="009900DD">
        <w:rPr>
          <w:b/>
        </w:rPr>
        <w:lastRenderedPageBreak/>
        <w:t>ANÁLISIS DE DATOS</w:t>
      </w:r>
    </w:p>
    <w:p w14:paraId="40B81633" w14:textId="77777777" w:rsidR="006C077F" w:rsidRDefault="006C077F" w:rsidP="005B7C9B">
      <w:pPr>
        <w:spacing w:line="480" w:lineRule="auto"/>
        <w:ind w:firstLine="284"/>
        <w:jc w:val="both"/>
      </w:pPr>
    </w:p>
    <w:p w14:paraId="1FCD7613" w14:textId="77777777" w:rsidR="00FC7DC6" w:rsidRDefault="00E529EE" w:rsidP="00FC7DC6">
      <w:pPr>
        <w:spacing w:line="480" w:lineRule="auto"/>
        <w:ind w:firstLine="284"/>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w:t>
      </w:r>
      <w:r w:rsidR="001F1EAA">
        <w:t>mo se expone en la sección del a</w:t>
      </w:r>
      <w:r w:rsidR="00802FED">
        <w:t>nálisis de correspondencias múltiple</w:t>
      </w:r>
      <w:r w:rsidRPr="00E529EE">
        <w:t>.</w:t>
      </w:r>
    </w:p>
    <w:p w14:paraId="292DE654" w14:textId="28377EC3" w:rsidR="00890ACD" w:rsidRDefault="001F1EAA" w:rsidP="00FC7DC6">
      <w:pPr>
        <w:spacing w:line="480" w:lineRule="auto"/>
        <w:ind w:firstLine="284"/>
        <w:jc w:val="both"/>
      </w:pPr>
      <w:r>
        <w:t>E</w:t>
      </w:r>
      <w:r w:rsidR="00890ACD">
        <w:t>n función de los objetivos propuestos</w:t>
      </w:r>
      <w:r>
        <w:t>,</w:t>
      </w:r>
      <w:r w:rsidR="00890ACD">
        <w:t xml:space="preserve">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necesario llevar a cabo diferentes tipos de test para corroborar la incidencia de dichas variables (género, edad y carrera) sobre los patrones de consumo de alcohol.</w:t>
      </w:r>
    </w:p>
    <w:p w14:paraId="1CF68CE5" w14:textId="1C7D418E" w:rsidR="00693651" w:rsidRDefault="00890ACD" w:rsidP="005B7C9B">
      <w:pPr>
        <w:spacing w:line="480" w:lineRule="auto"/>
        <w:ind w:firstLine="284"/>
        <w:jc w:val="both"/>
      </w:pPr>
      <w:r>
        <w:t>Para esto, se debe tener en cuenta la escala de medición de las variables a contrastar con el fin de utilizar el contraste de hipótesis apropiado en cada caso.</w:t>
      </w:r>
    </w:p>
    <w:p w14:paraId="0C489D9C" w14:textId="77777777" w:rsidR="009900DD" w:rsidRPr="009900DD" w:rsidRDefault="009900DD" w:rsidP="005B7C9B">
      <w:pPr>
        <w:spacing w:line="480" w:lineRule="auto"/>
        <w:ind w:firstLine="284"/>
        <w:jc w:val="both"/>
      </w:pPr>
    </w:p>
    <w:p w14:paraId="0823C506" w14:textId="77777777" w:rsidR="00890ACD" w:rsidRDefault="00890ACD" w:rsidP="00FC7DC6">
      <w:pPr>
        <w:spacing w:line="480" w:lineRule="auto"/>
        <w:jc w:val="both"/>
        <w:outlineLvl w:val="0"/>
        <w:rPr>
          <w:lang w:val="es-CO"/>
        </w:rPr>
      </w:pPr>
      <w:r w:rsidRPr="00E02213">
        <w:rPr>
          <w:b/>
          <w:lang w:val="es-CO"/>
        </w:rPr>
        <w:t>Test para el contraste de dos poblaciones independientes</w:t>
      </w:r>
    </w:p>
    <w:p w14:paraId="0088DD55" w14:textId="5B245A1C" w:rsidR="00693651" w:rsidRPr="00693651" w:rsidRDefault="00890ACD" w:rsidP="005B7C9B">
      <w:pPr>
        <w:spacing w:line="480" w:lineRule="auto"/>
        <w:ind w:firstLine="284"/>
        <w:jc w:val="both"/>
        <w:rPr>
          <w:lang w:val="es-ES_tradnl"/>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w:t>
      </w:r>
      <w:r w:rsidR="001F1EAA">
        <w:rPr>
          <w:lang w:val="es-CO"/>
        </w:rPr>
        <w:t xml:space="preserve"> dos poblaciones independientes</w:t>
      </w:r>
      <w:r w:rsidR="00693651">
        <w:rPr>
          <w:lang w:val="es-CO"/>
        </w:rPr>
        <w:t xml:space="preserve"> (</w:t>
      </w:r>
      <w:r w:rsidR="00CA1EA4">
        <w:rPr>
          <w:lang w:val="es-ES_tradnl"/>
        </w:rPr>
        <w:t xml:space="preserve">Siegel &amp; Castellan, </w:t>
      </w:r>
      <w:r w:rsidR="00693651" w:rsidRPr="00693651">
        <w:rPr>
          <w:lang w:val="es-ES_tradnl"/>
        </w:rPr>
        <w:t>1995)</w:t>
      </w:r>
      <w:r w:rsidR="00693651">
        <w:rPr>
          <w:lang w:val="es-ES_tradnl"/>
        </w:rPr>
        <w:t>.</w:t>
      </w:r>
    </w:p>
    <w:p w14:paraId="7F1B52E6" w14:textId="1198A564" w:rsidR="00B006B7" w:rsidRDefault="001F1EAA" w:rsidP="005B7C9B">
      <w:pPr>
        <w:spacing w:line="480" w:lineRule="auto"/>
        <w:ind w:firstLine="284"/>
        <w:jc w:val="both"/>
        <w:rPr>
          <w:lang w:val="es-CO"/>
        </w:rPr>
      </w:pPr>
      <w:r>
        <w:rPr>
          <w:lang w:val="es-CO"/>
        </w:rPr>
        <w:t xml:space="preserve"> </w:t>
      </w:r>
      <w:r w:rsidR="00890ACD">
        <w:rPr>
          <w:lang w:val="es-CO"/>
        </w:rPr>
        <w:t xml:space="preserve"> Entre las bondades de usar test no paramétricos para la verificación de la presente hipótesis, se tiene que:</w:t>
      </w:r>
    </w:p>
    <w:p w14:paraId="7406B9BB" w14:textId="77777777" w:rsidR="00FC7DC6" w:rsidRDefault="00890ACD" w:rsidP="00E4710C">
      <w:pPr>
        <w:pStyle w:val="ListParagraph"/>
        <w:numPr>
          <w:ilvl w:val="0"/>
          <w:numId w:val="6"/>
        </w:numPr>
        <w:spacing w:line="480" w:lineRule="auto"/>
        <w:ind w:left="0" w:firstLine="284"/>
        <w:jc w:val="both"/>
        <w:rPr>
          <w:lang w:val="es-CO"/>
        </w:rPr>
      </w:pPr>
      <w:r>
        <w:rPr>
          <w:lang w:val="es-CO"/>
        </w:rPr>
        <w:t>L</w:t>
      </w:r>
      <w:r w:rsidRPr="00423A78">
        <w:rPr>
          <w:lang w:val="es-CO"/>
        </w:rPr>
        <w:t>a distribución de los datos puede ser libre</w:t>
      </w:r>
      <w:r>
        <w:rPr>
          <w:lang w:val="es-CO"/>
        </w:rPr>
        <w:t>, no es necesario garantizar la normalidad de</w:t>
      </w:r>
    </w:p>
    <w:p w14:paraId="3BFCD913" w14:textId="60E6E320" w:rsidR="00890ACD" w:rsidRDefault="00FC7DC6" w:rsidP="00FC7DC6">
      <w:pPr>
        <w:pStyle w:val="ListParagraph"/>
        <w:spacing w:line="480" w:lineRule="auto"/>
        <w:ind w:left="284"/>
        <w:jc w:val="both"/>
        <w:rPr>
          <w:lang w:val="es-CO"/>
        </w:rPr>
      </w:pPr>
      <w:r>
        <w:rPr>
          <w:lang w:val="es-CO"/>
        </w:rPr>
        <w:t xml:space="preserve">   </w:t>
      </w:r>
      <w:r w:rsidR="00890ACD">
        <w:rPr>
          <w:lang w:val="es-CO"/>
        </w:rPr>
        <w:t xml:space="preserve"> </w:t>
      </w:r>
      <w:r>
        <w:rPr>
          <w:lang w:val="es-CO"/>
        </w:rPr>
        <w:t xml:space="preserve"> </w:t>
      </w:r>
      <w:r w:rsidR="00890ACD">
        <w:rPr>
          <w:lang w:val="es-CO"/>
        </w:rPr>
        <w:t>la distribución de la variable de interés.</w:t>
      </w:r>
    </w:p>
    <w:p w14:paraId="14A42D40" w14:textId="2B89C36B" w:rsidR="00FC7DC6" w:rsidRDefault="00890ACD" w:rsidP="00E4710C">
      <w:pPr>
        <w:pStyle w:val="ListParagraph"/>
        <w:numPr>
          <w:ilvl w:val="0"/>
          <w:numId w:val="6"/>
        </w:numPr>
        <w:spacing w:line="480" w:lineRule="auto"/>
        <w:ind w:left="0" w:firstLine="284"/>
        <w:jc w:val="both"/>
        <w:rPr>
          <w:lang w:val="es-CO"/>
        </w:rPr>
      </w:pPr>
      <w:r>
        <w:rPr>
          <w:lang w:val="es-CO"/>
        </w:rPr>
        <w:lastRenderedPageBreak/>
        <w:t>L</w:t>
      </w:r>
      <w:r w:rsidRPr="00423A78">
        <w:rPr>
          <w:lang w:val="es-CO"/>
        </w:rPr>
        <w:t>a variable de interés solo requiere ser de escala ordinal.</w:t>
      </w:r>
    </w:p>
    <w:p w14:paraId="5F1A9B96" w14:textId="77777777" w:rsidR="00CA6DE1" w:rsidRPr="00CA6DE1" w:rsidRDefault="00CA6DE1" w:rsidP="00CA6DE1">
      <w:pPr>
        <w:spacing w:line="480" w:lineRule="auto"/>
        <w:jc w:val="both"/>
        <w:rPr>
          <w:lang w:val="es-CO"/>
        </w:rPr>
      </w:pPr>
    </w:p>
    <w:p w14:paraId="6F01CCD8" w14:textId="77777777" w:rsidR="00890ACD" w:rsidRDefault="00890ACD" w:rsidP="005B7C9B">
      <w:pPr>
        <w:spacing w:line="480" w:lineRule="auto"/>
        <w:ind w:firstLine="284"/>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CEFE293" w14:textId="77777777" w:rsidR="00B006B7" w:rsidRDefault="00B006B7" w:rsidP="005B7C9B">
      <w:pPr>
        <w:spacing w:line="480" w:lineRule="auto"/>
        <w:ind w:firstLine="284"/>
        <w:jc w:val="both"/>
        <w:rPr>
          <w:lang w:val="es-CO"/>
        </w:rPr>
      </w:pPr>
    </w:p>
    <w:p w14:paraId="331C5CB3" w14:textId="77777777" w:rsidR="00890ACD" w:rsidRDefault="00890ACD" w:rsidP="005B7C9B">
      <w:pPr>
        <w:spacing w:line="480" w:lineRule="auto"/>
        <w:ind w:firstLine="284"/>
        <w:jc w:val="both"/>
        <w:rPr>
          <w:lang w:val="es-CO"/>
        </w:rPr>
      </w:pPr>
      <w:r>
        <w:rPr>
          <w:lang w:val="es-CO"/>
        </w:rPr>
        <w:t>Para esto se deben contrastar las siguientes hipótesis:</w:t>
      </w:r>
    </w:p>
    <w:p w14:paraId="621D1DF6" w14:textId="77777777" w:rsidR="00890ACD" w:rsidRPr="00A13751" w:rsidRDefault="00A80F0C" w:rsidP="005B7C9B">
      <w:pPr>
        <w:spacing w:line="480" w:lineRule="auto"/>
        <w:ind w:firstLine="284"/>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5B7C9B">
      <w:pPr>
        <w:spacing w:line="480" w:lineRule="auto"/>
        <w:ind w:firstLine="284"/>
        <w:jc w:val="center"/>
        <w:rPr>
          <w:lang w:val="es-CO"/>
        </w:rPr>
      </w:pPr>
      <w:r>
        <w:rPr>
          <w:lang w:val="es-CO"/>
        </w:rPr>
        <w:t>vs</w:t>
      </w:r>
    </w:p>
    <w:p w14:paraId="085F19BF" w14:textId="77777777" w:rsidR="00890ACD" w:rsidRPr="00A13751" w:rsidRDefault="00A80F0C" w:rsidP="005B7C9B">
      <w:pPr>
        <w:spacing w:line="480" w:lineRule="auto"/>
        <w:ind w:firstLine="284"/>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5B7C9B">
      <w:pPr>
        <w:spacing w:line="480" w:lineRule="auto"/>
        <w:ind w:firstLine="284"/>
        <w:jc w:val="both"/>
        <w:rPr>
          <w:lang w:val="es-CO"/>
        </w:rPr>
      </w:pPr>
      <w:r>
        <w:rPr>
          <w:lang w:val="es-CO"/>
        </w:rPr>
        <w:t>Donde:</w:t>
      </w:r>
    </w:p>
    <w:p w14:paraId="0C902309" w14:textId="77777777" w:rsidR="00890ACD" w:rsidRDefault="00A80F0C"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A80F0C"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5A41F2AB" w14:textId="77777777" w:rsidR="00FC7DC6" w:rsidRDefault="00FC7DC6" w:rsidP="005B7C9B">
      <w:pPr>
        <w:spacing w:line="480" w:lineRule="auto"/>
        <w:ind w:firstLine="284"/>
        <w:jc w:val="both"/>
        <w:rPr>
          <w:lang w:val="es-CO"/>
        </w:rPr>
      </w:pPr>
    </w:p>
    <w:p w14:paraId="69B7E06D" w14:textId="77777777" w:rsidR="00890ACD" w:rsidRDefault="00A80F0C"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A80F0C"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09D3DB67" w14:textId="77777777" w:rsidR="00B006B7" w:rsidRDefault="00B006B7" w:rsidP="005B7C9B">
      <w:pPr>
        <w:spacing w:line="480" w:lineRule="auto"/>
        <w:ind w:firstLine="284"/>
        <w:jc w:val="both"/>
        <w:rPr>
          <w:lang w:val="es-CO"/>
        </w:rPr>
      </w:pPr>
    </w:p>
    <w:p w14:paraId="2F2DC24C" w14:textId="07BE5E69" w:rsidR="00890ACD" w:rsidRDefault="00890ACD" w:rsidP="005B7C9B">
      <w:pPr>
        <w:spacing w:line="480" w:lineRule="auto"/>
        <w:ind w:firstLine="284"/>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w:t>
      </w:r>
      <w:r>
        <w:rPr>
          <w:lang w:val="es-CO"/>
        </w:rPr>
        <w:lastRenderedPageBreak/>
        <w:t xml:space="preserve">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w:t>
      </w:r>
      <w:r w:rsidR="001F1EAA">
        <w:rPr>
          <w:lang w:val="es-CO"/>
        </w:rPr>
        <w:t xml:space="preserve">en las poblaciones contrastadas </w:t>
      </w:r>
      <w:r w:rsidR="00DD1FA4">
        <w:rPr>
          <w:lang w:val="es-CO"/>
        </w:rPr>
        <w:t>(</w:t>
      </w:r>
      <w:r w:rsidR="00DD1FA4">
        <w:rPr>
          <w:lang w:val="es-ES_tradnl"/>
        </w:rPr>
        <w:t xml:space="preserve">Siegel &amp; Castellan, </w:t>
      </w:r>
      <w:r w:rsidR="00DD1FA4" w:rsidRPr="00693651">
        <w:rPr>
          <w:lang w:val="es-ES_tradnl"/>
        </w:rPr>
        <w:t>1995)</w:t>
      </w:r>
      <w:r w:rsidR="00DD1FA4">
        <w:rPr>
          <w:lang w:val="es-ES_tradnl"/>
        </w:rPr>
        <w:t xml:space="preserve">. </w:t>
      </w:r>
      <w:r>
        <w:rPr>
          <w:lang w:val="es-CO"/>
        </w:rPr>
        <w:t>Por lo general el nivel de significancia utilizado corresponde a α=0.05 (5%), pero puede ser modificado dependiendo del nivel de error que esté dispuesto a asumir el investigador.</w:t>
      </w:r>
    </w:p>
    <w:p w14:paraId="09839968" w14:textId="77777777" w:rsidR="00890ACD" w:rsidRDefault="00890ACD" w:rsidP="005B7C9B">
      <w:pPr>
        <w:spacing w:line="480" w:lineRule="auto"/>
        <w:ind w:firstLine="284"/>
        <w:jc w:val="both"/>
        <w:rPr>
          <w:lang w:val="es-CO"/>
        </w:rPr>
      </w:pPr>
    </w:p>
    <w:p w14:paraId="18A0DC50" w14:textId="77777777" w:rsidR="00890ACD" w:rsidRDefault="00890ACD" w:rsidP="00FC7DC6">
      <w:pPr>
        <w:spacing w:line="480" w:lineRule="auto"/>
        <w:jc w:val="both"/>
        <w:outlineLvl w:val="0"/>
        <w:rPr>
          <w:b/>
        </w:rPr>
      </w:pPr>
      <w:r>
        <w:rPr>
          <w:b/>
        </w:rPr>
        <w:t>Coeficientes de correlación</w:t>
      </w:r>
    </w:p>
    <w:p w14:paraId="1FEB8D6E" w14:textId="77777777" w:rsidR="00FC7DC6" w:rsidRDefault="005B7C9B" w:rsidP="00FC7DC6">
      <w:pPr>
        <w:spacing w:line="480" w:lineRule="auto"/>
        <w:ind w:firstLine="284"/>
        <w:jc w:val="both"/>
        <w:outlineLvl w:val="0"/>
      </w:pPr>
      <w:r>
        <w:t xml:space="preserve">     </w:t>
      </w:r>
      <w:r w:rsidR="00890ACD">
        <w:rPr>
          <w:lang w:val="es-CO"/>
        </w:rPr>
        <w:t>Cuando el interés se centra en</w:t>
      </w:r>
      <w:r w:rsidR="00890ACD" w:rsidRPr="00D752B6">
        <w:rPr>
          <w:lang w:val="es-CO"/>
        </w:rPr>
        <w:t xml:space="preserve"> verifica</w:t>
      </w:r>
      <w:r w:rsidR="00890ACD">
        <w:rPr>
          <w:lang w:val="es-CO"/>
        </w:rPr>
        <w:t>r</w:t>
      </w:r>
      <w:r w:rsidR="00890ACD" w:rsidRPr="00D752B6">
        <w:rPr>
          <w:lang w:val="es-CO"/>
        </w:rPr>
        <w:t xml:space="preserve"> la relaci</w:t>
      </w:r>
      <w:r w:rsidR="00890ACD">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w:t>
      </w:r>
      <w:r w:rsidR="001F1EAA">
        <w:rPr>
          <w:lang w:val="es-CO"/>
        </w:rPr>
        <w:t xml:space="preserve">de correlación no paramétricos </w:t>
      </w:r>
      <w:r w:rsidR="00560283">
        <w:rPr>
          <w:lang w:val="es-CO"/>
        </w:rPr>
        <w:t>(</w:t>
      </w:r>
      <w:r w:rsidR="00560283">
        <w:rPr>
          <w:lang w:val="es-ES_tradnl"/>
        </w:rPr>
        <w:t xml:space="preserve">Siegel &amp; Castellan, </w:t>
      </w:r>
      <w:r w:rsidR="00560283" w:rsidRPr="00693651">
        <w:rPr>
          <w:lang w:val="es-ES_tradnl"/>
        </w:rPr>
        <w:t>1995)</w:t>
      </w:r>
      <w:r w:rsidR="00560283">
        <w:rPr>
          <w:lang w:val="es-ES_tradnl"/>
        </w:rPr>
        <w:t>.</w:t>
      </w:r>
      <w:r w:rsidR="001F1EAA">
        <w:rPr>
          <w:lang w:val="es-CO"/>
        </w:rPr>
        <w:t xml:space="preserve"> </w:t>
      </w:r>
      <w:r w:rsidR="00890ACD">
        <w:rPr>
          <w:lang w:val="es-CO"/>
        </w:rPr>
        <w:t>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A510789" w14:textId="2A9D7AF2" w:rsidR="00890ACD" w:rsidRDefault="00890ACD" w:rsidP="00FC7DC6">
      <w:pPr>
        <w:spacing w:line="480" w:lineRule="auto"/>
        <w:ind w:firstLine="284"/>
        <w:jc w:val="both"/>
        <w:outlineLvl w:val="0"/>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w:t>
      </w:r>
      <w:r w:rsidR="00A673CA">
        <w:rPr>
          <w:lang w:val="es-CO"/>
        </w:rPr>
        <w:t xml:space="preserve">no asumir restricciones en la </w:t>
      </w:r>
      <w:r>
        <w:rPr>
          <w:lang w:val="es-CO"/>
        </w:rPr>
        <w:t>distribución de probabilidad so</w:t>
      </w:r>
      <w:r w:rsidR="00560283">
        <w:rPr>
          <w:lang w:val="es-CO"/>
        </w:rPr>
        <w:t>bre las variables en contraste (</w:t>
      </w:r>
      <w:r w:rsidR="00560283">
        <w:rPr>
          <w:lang w:val="es-ES_tradnl"/>
        </w:rPr>
        <w:t xml:space="preserve">Siegel &amp; Castellan, </w:t>
      </w:r>
      <w:r w:rsidR="00560283" w:rsidRPr="00693651">
        <w:rPr>
          <w:lang w:val="es-ES_tradnl"/>
        </w:rPr>
        <w:t>1995)</w:t>
      </w:r>
      <w:r w:rsidR="00560283">
        <w:rPr>
          <w:lang w:val="es-ES_tradnl"/>
        </w:rPr>
        <w:t>.</w:t>
      </w:r>
      <w:r w:rsidR="00A673CA">
        <w:rPr>
          <w:lang w:val="es-CO"/>
        </w:rPr>
        <w:t xml:space="preserve"> </w:t>
      </w:r>
      <w:r>
        <w:rPr>
          <w:lang w:val="es-CO"/>
        </w:rPr>
        <w:t xml:space="preserve">Los coeficientes de </w:t>
      </w:r>
      <w:r>
        <w:t xml:space="preserve">correlación no paramétricos utilizados en el presente estudio son: el coeficiente de correlación de Spearman y el coeficiente de correlación de Kendall. En ambos </w:t>
      </w:r>
      <w:r>
        <w:lastRenderedPageBreak/>
        <w:t>test el objetivo consiste en verificar si la correlación estimada es significativamente distinta de cero, esto es:</w:t>
      </w:r>
    </w:p>
    <w:p w14:paraId="241DCB06" w14:textId="77777777" w:rsidR="00B006B7" w:rsidRDefault="00B006B7" w:rsidP="005B7C9B">
      <w:pPr>
        <w:spacing w:line="480" w:lineRule="auto"/>
        <w:ind w:firstLine="284"/>
        <w:jc w:val="both"/>
      </w:pP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5B7C9B">
            <w:pPr>
              <w:spacing w:line="480" w:lineRule="auto"/>
              <w:ind w:firstLine="284"/>
              <w:jc w:val="center"/>
            </w:pPr>
            <w:r>
              <w:t>Correlación de Spearman</w:t>
            </w:r>
          </w:p>
        </w:tc>
        <w:tc>
          <w:tcPr>
            <w:tcW w:w="3430" w:type="dxa"/>
            <w:vAlign w:val="center"/>
          </w:tcPr>
          <w:p w14:paraId="620350DB" w14:textId="77777777" w:rsidR="00890ACD" w:rsidRDefault="00890ACD" w:rsidP="005B7C9B">
            <w:pPr>
              <w:spacing w:line="480" w:lineRule="auto"/>
              <w:ind w:firstLine="284"/>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A80F0C" w:rsidP="005B7C9B">
            <w:pPr>
              <w:spacing w:line="480" w:lineRule="auto"/>
              <w:ind w:firstLine="284"/>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A80F0C" w:rsidP="005B7C9B">
            <w:pPr>
              <w:spacing w:line="480" w:lineRule="auto"/>
              <w:ind w:firstLine="284"/>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5B7C9B">
      <w:pPr>
        <w:spacing w:line="480" w:lineRule="auto"/>
        <w:ind w:firstLine="284"/>
        <w:jc w:val="both"/>
      </w:pPr>
    </w:p>
    <w:p w14:paraId="2F6C427C" w14:textId="77777777" w:rsidR="00890ACD" w:rsidRDefault="00890ACD" w:rsidP="005B7C9B">
      <w:pPr>
        <w:spacing w:line="480" w:lineRule="auto"/>
        <w:ind w:firstLine="284"/>
        <w:jc w:val="both"/>
      </w:pPr>
      <w:r>
        <w:t>Donde:</w:t>
      </w:r>
    </w:p>
    <w:p w14:paraId="673F5CBF" w14:textId="77777777" w:rsidR="00890ACD" w:rsidRDefault="00A80F0C"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A80F0C"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A80F0C" w:rsidP="005B7C9B">
      <w:pPr>
        <w:spacing w:line="480" w:lineRule="auto"/>
        <w:ind w:firstLine="284"/>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1C9AC6FC" w14:textId="77777777" w:rsidR="00A673CA" w:rsidRDefault="00890ACD" w:rsidP="005B7C9B">
      <w:pPr>
        <w:spacing w:line="480" w:lineRule="auto"/>
        <w:ind w:firstLine="284"/>
        <w:jc w:val="both"/>
      </w:pPr>
      <m:oMath>
        <m:r>
          <w:rPr>
            <w:rFonts w:ascii="Cambria Math" w:hAnsi="Cambria Math"/>
          </w:rPr>
          <m:t>τ</m:t>
        </m:r>
      </m:oMath>
      <w:r>
        <w:t>: Coeficiente de correlación de Kendall</w:t>
      </w:r>
    </w:p>
    <w:p w14:paraId="2EDD5CDE" w14:textId="77777777" w:rsidR="00A673CA" w:rsidRDefault="00A673CA" w:rsidP="005B7C9B">
      <w:pPr>
        <w:spacing w:line="480" w:lineRule="auto"/>
        <w:ind w:firstLine="284"/>
        <w:jc w:val="both"/>
      </w:pPr>
    </w:p>
    <w:p w14:paraId="1263FB3F" w14:textId="420CB4B5" w:rsidR="00890ACD" w:rsidRDefault="00A673CA" w:rsidP="005B7C9B">
      <w:pPr>
        <w:spacing w:line="480" w:lineRule="auto"/>
        <w:ind w:firstLine="284"/>
        <w:jc w:val="both"/>
      </w:pPr>
      <w:r>
        <w:t>S</w:t>
      </w:r>
      <w:r w:rsidR="00890ACD">
        <w:t xml:space="preserve">i se logra rechazar la hipótesis nula en ambos casos, se verifica que </w:t>
      </w:r>
      <w:r>
        <w:t xml:space="preserve">si </w:t>
      </w:r>
      <w:r w:rsidR="00890ACD">
        <w:t>existe una relación estadística significativa entre las dos variables en estudio, bien sea esta positiva o negativa, sujeta al nivel de significancia escogido.</w:t>
      </w:r>
    </w:p>
    <w:p w14:paraId="7682626A" w14:textId="77777777" w:rsidR="00FC7DC6" w:rsidRDefault="00FC7DC6" w:rsidP="00FC7DC6">
      <w:pPr>
        <w:spacing w:line="480" w:lineRule="auto"/>
        <w:ind w:firstLine="284"/>
        <w:jc w:val="both"/>
        <w:outlineLvl w:val="0"/>
        <w:rPr>
          <w:lang w:val="es-CO"/>
        </w:rPr>
      </w:pPr>
    </w:p>
    <w:p w14:paraId="450A1D64" w14:textId="77777777" w:rsidR="00890ACD" w:rsidRDefault="00890ACD" w:rsidP="00FC7DC6">
      <w:pPr>
        <w:spacing w:line="480" w:lineRule="auto"/>
        <w:jc w:val="both"/>
        <w:outlineLvl w:val="0"/>
        <w:rPr>
          <w:lang w:val="es-CO"/>
        </w:rPr>
      </w:pPr>
      <w:r w:rsidRPr="00E02213">
        <w:rPr>
          <w:b/>
          <w:lang w:val="es-CO"/>
        </w:rPr>
        <w:t>Test para el contraste de más de dos poblaciones independientes</w:t>
      </w:r>
    </w:p>
    <w:p w14:paraId="3016677C" w14:textId="6A7D7C5B" w:rsidR="00890ACD" w:rsidRDefault="00890ACD" w:rsidP="005B7C9B">
      <w:pPr>
        <w:spacing w:line="480" w:lineRule="auto"/>
        <w:ind w:firstLine="284"/>
        <w:jc w:val="both"/>
        <w:rPr>
          <w:lang w:val="es-CO"/>
        </w:rPr>
      </w:pPr>
      <w:r>
        <w:rPr>
          <w:lang w:val="es-CO"/>
        </w:rPr>
        <w:t>Finalmente, cuando se intenta verificar la incidencia de la carrera sobre el patrón de consumo</w:t>
      </w:r>
      <w:r w:rsidR="00A673CA">
        <w:rPr>
          <w:lang w:val="es-CO"/>
        </w:rPr>
        <w:t xml:space="preserve"> de alcohol</w:t>
      </w:r>
      <w:r>
        <w:rPr>
          <w:lang w:val="es-CO"/>
        </w:rPr>
        <w:t xml:space="preserve">, se hace necesario utilizar </w:t>
      </w:r>
      <w:r w:rsidR="00A673CA">
        <w:rPr>
          <w:lang w:val="es-CO"/>
        </w:rPr>
        <w:t xml:space="preserve">un </w:t>
      </w:r>
      <w:r>
        <w:rPr>
          <w:lang w:val="es-CO"/>
        </w:rPr>
        <w:t>test para el contraste de más de dos poblaciones independientes. El objetivo consiste en probar la hipótesis de igualdad de medianas en t</w:t>
      </w:r>
      <w:r w:rsidR="00A673CA">
        <w:rPr>
          <w:lang w:val="es-CO"/>
        </w:rPr>
        <w:t>odas las poblaciones estudiadas, o sea las medianas de las diferentes carreras</w:t>
      </w:r>
      <w:r w:rsidR="00560283">
        <w:rPr>
          <w:lang w:val="es-CO"/>
        </w:rPr>
        <w:t xml:space="preserve"> cursadas por los participantes (</w:t>
      </w:r>
      <w:r w:rsidR="00560283">
        <w:rPr>
          <w:lang w:val="es-ES_tradnl"/>
        </w:rPr>
        <w:t xml:space="preserve">Siegel &amp; Castellan, </w:t>
      </w:r>
      <w:r w:rsidR="00560283" w:rsidRPr="00693651">
        <w:rPr>
          <w:lang w:val="es-ES_tradnl"/>
        </w:rPr>
        <w:t>1995)</w:t>
      </w:r>
      <w:r w:rsidR="00560283">
        <w:rPr>
          <w:lang w:val="es-ES_tradnl"/>
        </w:rPr>
        <w:t>.</w:t>
      </w:r>
      <w:r w:rsidR="00A673CA">
        <w:rPr>
          <w:lang w:val="es-CO"/>
        </w:rPr>
        <w:t xml:space="preserve"> P</w:t>
      </w:r>
      <w:r>
        <w:rPr>
          <w:lang w:val="es-CO"/>
        </w:rPr>
        <w:t>ara esto se hizo uso del Test de Kruskal-Wallis. Aquí las hipótesis estadísticas a contrastar son:</w:t>
      </w:r>
    </w:p>
    <w:p w14:paraId="26026DA3" w14:textId="77777777" w:rsidR="00B006B7" w:rsidRDefault="00B006B7" w:rsidP="005B7C9B">
      <w:pPr>
        <w:spacing w:line="480" w:lineRule="auto"/>
        <w:ind w:firstLine="284"/>
        <w:jc w:val="both"/>
        <w:rPr>
          <w:lang w:val="es-CO"/>
        </w:rPr>
      </w:pPr>
    </w:p>
    <w:p w14:paraId="5BB468A6" w14:textId="77777777" w:rsidR="00FC7DC6" w:rsidRDefault="00FC7DC6" w:rsidP="005B7C9B">
      <w:pPr>
        <w:spacing w:line="480" w:lineRule="auto"/>
        <w:ind w:firstLine="284"/>
        <w:jc w:val="both"/>
        <w:rPr>
          <w:lang w:val="es-CO"/>
        </w:rPr>
      </w:pPr>
    </w:p>
    <w:p w14:paraId="668CD7F0" w14:textId="77777777" w:rsidR="00890ACD" w:rsidRPr="00A13751" w:rsidRDefault="00A80F0C" w:rsidP="005B7C9B">
      <w:pPr>
        <w:spacing w:line="480" w:lineRule="auto"/>
        <w:ind w:firstLine="284"/>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5B7C9B">
      <w:pPr>
        <w:spacing w:line="480" w:lineRule="auto"/>
        <w:ind w:firstLine="284"/>
        <w:jc w:val="center"/>
        <w:rPr>
          <w:lang w:val="es-CO"/>
        </w:rPr>
      </w:pPr>
      <w:r>
        <w:rPr>
          <w:lang w:val="es-CO"/>
        </w:rPr>
        <w:t>vs</w:t>
      </w:r>
    </w:p>
    <w:p w14:paraId="237E75F3" w14:textId="77777777" w:rsidR="00890ACD" w:rsidRPr="00BE27E0" w:rsidRDefault="00A80F0C" w:rsidP="005B7C9B">
      <w:pPr>
        <w:spacing w:line="480" w:lineRule="auto"/>
        <w:ind w:firstLine="284"/>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A80F0C"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A80F0C" w:rsidP="005B7C9B">
      <w:pPr>
        <w:spacing w:line="480" w:lineRule="auto"/>
        <w:ind w:firstLine="284"/>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Default="00A80F0C" w:rsidP="005B7C9B">
      <w:pPr>
        <w:spacing w:line="480" w:lineRule="auto"/>
        <w:ind w:firstLine="284"/>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4634D27E" w14:textId="77777777" w:rsidR="00B006B7" w:rsidRPr="00BE27E0" w:rsidRDefault="00B006B7" w:rsidP="005B7C9B">
      <w:pPr>
        <w:spacing w:line="480" w:lineRule="auto"/>
        <w:ind w:firstLine="284"/>
        <w:jc w:val="both"/>
      </w:pPr>
    </w:p>
    <w:p w14:paraId="51452511" w14:textId="66B7BFE8" w:rsidR="009900DD" w:rsidRDefault="00890ACD" w:rsidP="00F61E5C">
      <w:pPr>
        <w:spacing w:line="480" w:lineRule="auto"/>
        <w:ind w:firstLine="284"/>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5D93D2F7" w14:textId="77777777" w:rsidR="00F61E5C" w:rsidRDefault="00F61E5C" w:rsidP="005B7C9B">
      <w:pPr>
        <w:spacing w:line="480" w:lineRule="auto"/>
        <w:ind w:firstLine="284"/>
        <w:jc w:val="both"/>
        <w:outlineLvl w:val="0"/>
        <w:rPr>
          <w:lang w:val="es-CO"/>
        </w:rPr>
      </w:pPr>
    </w:p>
    <w:p w14:paraId="07F2FD72" w14:textId="77777777" w:rsidR="00890ACD" w:rsidRDefault="00890ACD" w:rsidP="00FC7DC6">
      <w:pPr>
        <w:spacing w:line="480" w:lineRule="auto"/>
        <w:jc w:val="both"/>
        <w:outlineLvl w:val="0"/>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6047F9E6" w:rsidR="00890ACD" w:rsidRDefault="00890ACD" w:rsidP="005B7C9B">
      <w:pPr>
        <w:spacing w:line="480" w:lineRule="auto"/>
        <w:ind w:firstLine="284"/>
        <w:jc w:val="both"/>
      </w:pPr>
      <w:r>
        <w:t xml:space="preserve">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w:t>
      </w:r>
      <w:r w:rsidR="006B7408">
        <w:t xml:space="preserve">nominal </w:t>
      </w:r>
      <w:r w:rsidR="00560283">
        <w:rPr>
          <w:lang w:val="es-CO"/>
        </w:rPr>
        <w:t>(</w:t>
      </w:r>
      <w:r w:rsidR="00560283" w:rsidRPr="006D6BAF">
        <w:rPr>
          <w:highlight w:val="red"/>
          <w:lang w:val="es-ES_tradnl"/>
        </w:rPr>
        <w:t>Siegel &amp; Castellan, 1995</w:t>
      </w:r>
      <w:r w:rsidR="00560283" w:rsidRPr="00693651">
        <w:rPr>
          <w:lang w:val="es-ES_tradnl"/>
        </w:rPr>
        <w:t>)</w:t>
      </w:r>
      <w:r w:rsidR="00560283">
        <w:rPr>
          <w:lang w:val="es-ES_tradnl"/>
        </w:rPr>
        <w:t>.</w:t>
      </w:r>
    </w:p>
    <w:p w14:paraId="737C022A" w14:textId="77777777" w:rsidR="00B006B7" w:rsidRDefault="00B006B7" w:rsidP="005B7C9B">
      <w:pPr>
        <w:spacing w:line="480" w:lineRule="auto"/>
        <w:ind w:firstLine="284"/>
        <w:jc w:val="both"/>
      </w:pPr>
    </w:p>
    <w:p w14:paraId="47CC17C8" w14:textId="77777777" w:rsidR="00890ACD" w:rsidRDefault="00890ACD" w:rsidP="005B7C9B">
      <w:pPr>
        <w:spacing w:line="480" w:lineRule="auto"/>
        <w:ind w:firstLine="284"/>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76BEFA7" w14:textId="77777777" w:rsidR="00B006B7" w:rsidRDefault="00B006B7" w:rsidP="005B7C9B">
      <w:pPr>
        <w:spacing w:line="480" w:lineRule="auto"/>
        <w:ind w:firstLine="284"/>
        <w:jc w:val="both"/>
      </w:pPr>
    </w:p>
    <w:p w14:paraId="7BB937E8" w14:textId="77777777" w:rsidR="00890ACD" w:rsidRDefault="00890ACD" w:rsidP="00FC7DC6">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2D5D72D" w14:textId="60AC966A" w:rsidR="00B006B7" w:rsidRDefault="00890ACD" w:rsidP="00FC7DC6">
      <w:pPr>
        <w:spacing w:line="480" w:lineRule="auto"/>
        <w:jc w:val="both"/>
      </w:pPr>
      <w:r w:rsidRPr="00EE4D5D">
        <w:rPr>
          <w:b/>
        </w:rPr>
        <w:t>Relaciones entre variables</w:t>
      </w:r>
      <w:r>
        <w:t>. En cuanto a las relaciones entre variables se deben distinguir los siguientes escenarios:</w:t>
      </w:r>
    </w:p>
    <w:p w14:paraId="3CCAACE3" w14:textId="77777777" w:rsidR="00344982" w:rsidRDefault="00344982" w:rsidP="005B7C9B">
      <w:pPr>
        <w:spacing w:line="480" w:lineRule="auto"/>
        <w:ind w:firstLine="284"/>
        <w:jc w:val="both"/>
      </w:pPr>
    </w:p>
    <w:p w14:paraId="5AB4F463" w14:textId="77777777" w:rsidR="0035177B" w:rsidRDefault="00890ACD" w:rsidP="00E4710C">
      <w:pPr>
        <w:pStyle w:val="ListParagraph"/>
        <w:numPr>
          <w:ilvl w:val="0"/>
          <w:numId w:val="7"/>
        </w:numPr>
        <w:spacing w:line="480" w:lineRule="auto"/>
        <w:ind w:left="0" w:firstLine="284"/>
        <w:jc w:val="both"/>
      </w:pPr>
      <w:r>
        <w:t>La proximidad entre niveles o categorías de respuesta de diferentes variables, indica</w:t>
      </w:r>
    </w:p>
    <w:p w14:paraId="7DCC8776" w14:textId="33AAA513" w:rsidR="00890ACD" w:rsidRDefault="00890ACD" w:rsidP="0035177B">
      <w:pPr>
        <w:pStyle w:val="ListParagraph"/>
        <w:spacing w:line="480" w:lineRule="auto"/>
        <w:ind w:left="524" w:firstLine="44"/>
        <w:jc w:val="both"/>
      </w:pPr>
      <w:r>
        <w:t xml:space="preserve">que un amplio número de individuos tienden a seleccionar estos niveles conjuntamente </w:t>
      </w:r>
      <w:r w:rsidR="0035177B">
        <w:t xml:space="preserve">  </w:t>
      </w:r>
      <w:r>
        <w:t>por tanto se vuelve un patrón de respuesta predominante. Por el contrario, si existe un gran distanciamiento entre niveles o categorías de respuesta esto indica que es un patrón de respuesta poco común.</w:t>
      </w:r>
    </w:p>
    <w:p w14:paraId="5B17B7E1" w14:textId="77777777" w:rsidR="0035177B" w:rsidRDefault="00890ACD" w:rsidP="00E4710C">
      <w:pPr>
        <w:pStyle w:val="ListParagraph"/>
        <w:numPr>
          <w:ilvl w:val="0"/>
          <w:numId w:val="7"/>
        </w:numPr>
        <w:spacing w:line="480" w:lineRule="auto"/>
        <w:ind w:left="0" w:firstLine="284"/>
        <w:jc w:val="both"/>
      </w:pPr>
      <w:r>
        <w:t>Aunque los niveles o categorías de respuesta de la misma variable no pueden</w:t>
      </w:r>
    </w:p>
    <w:p w14:paraId="2A75C323" w14:textId="5131C85A" w:rsidR="00890ACD" w:rsidRDefault="00890ACD" w:rsidP="0035177B">
      <w:pPr>
        <w:pStyle w:val="ListParagraph"/>
        <w:spacing w:line="480" w:lineRule="auto"/>
        <w:ind w:left="568" w:firstLine="16"/>
        <w:jc w:val="both"/>
      </w:pPr>
      <w:r>
        <w:t>seleccionarse de manera conjunta, su proximidad en el espacio de menor dimensión indica que estos niveles son en sí mismos similares ya que los individuos que las poseen presentan casi el mismo comportamiento en las otras variables.</w:t>
      </w:r>
    </w:p>
    <w:p w14:paraId="5EA442A3" w14:textId="77777777" w:rsidR="00581EC6" w:rsidRDefault="00581EC6" w:rsidP="005B7C9B">
      <w:pPr>
        <w:pStyle w:val="ListParagraph"/>
        <w:spacing w:line="480" w:lineRule="auto"/>
        <w:ind w:left="0" w:firstLine="284"/>
        <w:jc w:val="both"/>
      </w:pPr>
    </w:p>
    <w:p w14:paraId="02CBE691" w14:textId="1C929DA7" w:rsidR="00890ACD" w:rsidRDefault="00890ACD" w:rsidP="005B7C9B">
      <w:pPr>
        <w:spacing w:line="480" w:lineRule="auto"/>
        <w:ind w:firstLine="284"/>
        <w:jc w:val="both"/>
      </w:pPr>
      <w:r>
        <w:t xml:space="preserve">Al igual que en el Análisis de Componentes Principales (PCA, </w:t>
      </w:r>
      <w:r w:rsidRPr="00B063C5">
        <w:rPr>
          <w:i/>
        </w:rPr>
        <w:t>principal component analysis</w:t>
      </w:r>
      <w:r>
        <w:t xml:space="preserve">, técnica exploratoria multivariante para datos numéricos), el MCA intenta descomponer la variabilidad o inercia total en la matriz de datos, que para este caso </w:t>
      </w:r>
      <w:r>
        <w:lastRenderedPageBreak/>
        <w:t>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w:t>
      </w:r>
      <w:r w:rsidR="006B7408">
        <w:t xml:space="preserve"> componentes o ejes principales </w:t>
      </w:r>
      <w:r w:rsidR="00344982">
        <w:rPr>
          <w:lang w:val="es-CO"/>
        </w:rPr>
        <w:t>(</w:t>
      </w:r>
      <w:r w:rsidR="00344982" w:rsidRPr="006D6BAF">
        <w:rPr>
          <w:highlight w:val="red"/>
          <w:lang w:val="es-ES_tradnl"/>
        </w:rPr>
        <w:t>Siegel &amp; Castellan, 1995</w:t>
      </w:r>
      <w:r w:rsidR="00344982" w:rsidRPr="00693651">
        <w:rPr>
          <w:lang w:val="es-ES_tradnl"/>
        </w:rPr>
        <w:t>)</w:t>
      </w:r>
      <w:r w:rsidR="00344982">
        <w:rPr>
          <w:lang w:val="es-ES_tradnl"/>
        </w:rPr>
        <w:t>.</w:t>
      </w:r>
    </w:p>
    <w:p w14:paraId="24E88036" w14:textId="77777777" w:rsidR="002A30FC" w:rsidRDefault="00890ACD" w:rsidP="002A30FC">
      <w:pPr>
        <w:spacing w:line="480" w:lineRule="auto"/>
        <w:ind w:firstLine="284"/>
        <w:jc w:val="both"/>
        <w:rPr>
          <w:lang w:val="es-ES_tradnl"/>
        </w:rPr>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w:t>
      </w:r>
      <w:r w:rsidR="001B4B27">
        <w:t xml:space="preserve">rcia total de la tabla de datos </w:t>
      </w:r>
      <w:r w:rsidR="00344982">
        <w:rPr>
          <w:lang w:val="es-CO"/>
        </w:rPr>
        <w:t>(</w:t>
      </w:r>
      <w:r w:rsidR="00344982">
        <w:rPr>
          <w:lang w:val="es-ES_tradnl"/>
        </w:rPr>
        <w:t xml:space="preserve">Siegel &amp; Castellan, </w:t>
      </w:r>
      <w:r w:rsidR="00344982" w:rsidRPr="00693651">
        <w:rPr>
          <w:lang w:val="es-ES_tradnl"/>
        </w:rPr>
        <w:t>1995)</w:t>
      </w:r>
      <w:r w:rsidR="00344982">
        <w:rPr>
          <w:lang w:val="es-ES_tradnl"/>
        </w:rPr>
        <w:t>.</w:t>
      </w:r>
    </w:p>
    <w:p w14:paraId="67BFD67D" w14:textId="068B66AC" w:rsidR="00890ACD" w:rsidRPr="002A30FC" w:rsidRDefault="00890ACD" w:rsidP="002A30FC">
      <w:pPr>
        <w:spacing w:line="480" w:lineRule="auto"/>
        <w:ind w:firstLine="284"/>
        <w:jc w:val="both"/>
        <w:rPr>
          <w:lang w:val="es-ES_tradnl"/>
        </w:rPr>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16D97AA1" w14:textId="592A5D1A" w:rsidR="006D28FE" w:rsidRDefault="00890ACD" w:rsidP="002A30FC">
      <w:pPr>
        <w:spacing w:line="480" w:lineRule="auto"/>
        <w:ind w:firstLine="284"/>
        <w:jc w:val="both"/>
        <w:rPr>
          <w:lang w:val="es-ES_tradnl"/>
        </w:rPr>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w:t>
      </w:r>
      <w:r w:rsidR="001B4B27">
        <w:t>on las c</w:t>
      </w:r>
      <w:r w:rsidR="00344982">
        <w:t xml:space="preserve">ontribuciones más altas </w:t>
      </w:r>
      <w:r w:rsidR="00344982">
        <w:rPr>
          <w:lang w:val="es-CO"/>
        </w:rPr>
        <w:t>(</w:t>
      </w:r>
      <w:r w:rsidR="00344982" w:rsidRPr="006D6BAF">
        <w:rPr>
          <w:highlight w:val="red"/>
          <w:lang w:val="es-ES_tradnl"/>
        </w:rPr>
        <w:t>Siegel &amp; Castellan, 1995</w:t>
      </w:r>
      <w:r w:rsidR="00344982" w:rsidRPr="00693651">
        <w:rPr>
          <w:lang w:val="es-ES_tradnl"/>
        </w:rPr>
        <w:t>)</w:t>
      </w:r>
      <w:r w:rsidR="00344982">
        <w:rPr>
          <w:lang w:val="es-ES_tradnl"/>
        </w:rPr>
        <w:t>.</w:t>
      </w:r>
    </w:p>
    <w:p w14:paraId="4942A2CF" w14:textId="77777777" w:rsidR="00004949" w:rsidRDefault="00004949" w:rsidP="005B7C9B">
      <w:pPr>
        <w:spacing w:line="480" w:lineRule="auto"/>
        <w:ind w:firstLine="284"/>
        <w:jc w:val="both"/>
      </w:pPr>
    </w:p>
    <w:p w14:paraId="71797BCF" w14:textId="77777777" w:rsidR="00543AA7" w:rsidRDefault="00543AA7" w:rsidP="005B7C9B">
      <w:pPr>
        <w:spacing w:line="480" w:lineRule="auto"/>
        <w:ind w:firstLine="284"/>
        <w:jc w:val="both"/>
      </w:pPr>
    </w:p>
    <w:p w14:paraId="0B1125C6" w14:textId="77777777" w:rsidR="00F61E5C" w:rsidRPr="00004949" w:rsidRDefault="00F61E5C" w:rsidP="005B7C9B">
      <w:pPr>
        <w:spacing w:line="480" w:lineRule="auto"/>
        <w:ind w:firstLine="284"/>
        <w:jc w:val="both"/>
      </w:pPr>
    </w:p>
    <w:p w14:paraId="55B5469A" w14:textId="5EC50E91" w:rsidR="00581EC6" w:rsidRPr="00543AA7" w:rsidRDefault="00837A1C" w:rsidP="00E4710C">
      <w:pPr>
        <w:pStyle w:val="ListParagraph"/>
        <w:numPr>
          <w:ilvl w:val="0"/>
          <w:numId w:val="4"/>
        </w:numPr>
        <w:spacing w:line="480" w:lineRule="auto"/>
        <w:ind w:left="0" w:firstLine="284"/>
        <w:jc w:val="both"/>
      </w:pPr>
      <w:r w:rsidRPr="00C970CB">
        <w:rPr>
          <w:b/>
        </w:rPr>
        <w:lastRenderedPageBreak/>
        <w:t>RESULTADOS</w:t>
      </w:r>
    </w:p>
    <w:p w14:paraId="48CCBCF2" w14:textId="77777777" w:rsidR="00543AA7" w:rsidRPr="00004949" w:rsidRDefault="00543AA7" w:rsidP="005B7C9B">
      <w:pPr>
        <w:pStyle w:val="ListParagraph"/>
        <w:spacing w:line="480" w:lineRule="auto"/>
        <w:ind w:left="0" w:firstLine="284"/>
        <w:jc w:val="both"/>
      </w:pPr>
    </w:p>
    <w:p w14:paraId="77C2C632" w14:textId="5691BF15" w:rsidR="006641CA" w:rsidRDefault="001C66DD" w:rsidP="005B7C9B">
      <w:pPr>
        <w:spacing w:line="480" w:lineRule="auto"/>
        <w:ind w:firstLine="284"/>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245A96">
        <w:t>, (Figura 2)</w:t>
      </w:r>
      <w:r w:rsidR="00F66C60">
        <w:t>. Esta subpoblación es de vital interés debido a que por su condición de riesgo es importante entrar a estudiar el patrón de consumo de alcohol que presentan.</w:t>
      </w:r>
    </w:p>
    <w:tbl>
      <w:tblPr>
        <w:tblStyle w:val="TableGrid"/>
        <w:tblW w:w="9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0"/>
      </w:tblGrid>
      <w:tr w:rsidR="00805A2B" w14:paraId="19B31008" w14:textId="77777777" w:rsidTr="00EB76BE">
        <w:trPr>
          <w:jc w:val="center"/>
        </w:trPr>
        <w:tc>
          <w:tcPr>
            <w:tcW w:w="4760" w:type="dxa"/>
            <w:vAlign w:val="center"/>
          </w:tcPr>
          <w:p w14:paraId="11B38EEF" w14:textId="57EA5B78" w:rsidR="00805A2B" w:rsidRDefault="00517167" w:rsidP="005B7C9B">
            <w:pPr>
              <w:spacing w:line="480" w:lineRule="auto"/>
              <w:ind w:firstLine="284"/>
              <w:jc w:val="center"/>
            </w:pPr>
            <w:r>
              <w:rPr>
                <w:rFonts w:eastAsiaTheme="minorEastAsia"/>
                <w:noProof/>
                <w:lang w:val="es-CO" w:eastAsia="es-CO"/>
              </w:rPr>
              <w:drawing>
                <wp:inline distT="0" distB="0" distL="0" distR="0" wp14:anchorId="54C3E854" wp14:editId="2D2E19B9">
                  <wp:extent cx="2625044" cy="21031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5044" cy="2103120"/>
                          </a:xfrm>
                          <a:prstGeom prst="rect">
                            <a:avLst/>
                          </a:prstGeom>
                          <a:noFill/>
                          <a:ln>
                            <a:noFill/>
                          </a:ln>
                        </pic:spPr>
                      </pic:pic>
                    </a:graphicData>
                  </a:graphic>
                </wp:inline>
              </w:drawing>
            </w:r>
          </w:p>
        </w:tc>
        <w:tc>
          <w:tcPr>
            <w:tcW w:w="4760" w:type="dxa"/>
            <w:vAlign w:val="center"/>
          </w:tcPr>
          <w:p w14:paraId="307F2B76" w14:textId="3ED53945" w:rsidR="00805A2B" w:rsidRDefault="00517167" w:rsidP="00EB76BE">
            <w:pPr>
              <w:keepNext/>
              <w:spacing w:line="480" w:lineRule="auto"/>
              <w:ind w:firstLine="284"/>
              <w:jc w:val="center"/>
            </w:pPr>
            <w:r>
              <w:rPr>
                <w:rFonts w:eastAsiaTheme="minorEastAsia"/>
                <w:noProof/>
                <w:lang w:val="es-CO" w:eastAsia="es-CO"/>
              </w:rPr>
              <w:drawing>
                <wp:inline distT="0" distB="0" distL="0" distR="0" wp14:anchorId="1502E336" wp14:editId="4F2B5CB1">
                  <wp:extent cx="2625044" cy="21031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5044" cy="2103120"/>
                          </a:xfrm>
                          <a:prstGeom prst="rect">
                            <a:avLst/>
                          </a:prstGeom>
                          <a:noFill/>
                          <a:ln>
                            <a:noFill/>
                          </a:ln>
                        </pic:spPr>
                      </pic:pic>
                    </a:graphicData>
                  </a:graphic>
                </wp:inline>
              </w:drawing>
            </w:r>
          </w:p>
        </w:tc>
      </w:tr>
    </w:tbl>
    <w:p w14:paraId="734D24CE" w14:textId="37EB9C7B" w:rsidR="00805A2B" w:rsidRPr="00245A96" w:rsidRDefault="00EB76BE" w:rsidP="00EB76BE">
      <w:pPr>
        <w:pStyle w:val="Caption"/>
        <w:jc w:val="center"/>
        <w:rPr>
          <w:rFonts w:eastAsiaTheme="minorEastAsia"/>
          <w:i w:val="0"/>
          <w:sz w:val="20"/>
          <w:lang w:val="es-CO" w:eastAsia="ja-JP"/>
        </w:rPr>
      </w:pPr>
      <w:bookmarkStart w:id="4" w:name="_Toc450578177"/>
      <w:r w:rsidRPr="00245A96">
        <w:rPr>
          <w:sz w:val="20"/>
        </w:rPr>
        <w:t xml:space="preserve">Figura </w:t>
      </w:r>
      <w:r w:rsidRPr="00245A96">
        <w:rPr>
          <w:sz w:val="20"/>
        </w:rPr>
        <w:fldChar w:fldCharType="begin"/>
      </w:r>
      <w:r w:rsidRPr="00245A96">
        <w:rPr>
          <w:sz w:val="20"/>
        </w:rPr>
        <w:instrText xml:space="preserve"> SEQ Ilustración \* ARABIC </w:instrText>
      </w:r>
      <w:r w:rsidRPr="00245A96">
        <w:rPr>
          <w:sz w:val="20"/>
        </w:rPr>
        <w:fldChar w:fldCharType="separate"/>
      </w:r>
      <w:r w:rsidR="003A2538">
        <w:rPr>
          <w:noProof/>
          <w:sz w:val="20"/>
        </w:rPr>
        <w:t>2</w:t>
      </w:r>
      <w:r w:rsidRPr="00245A96">
        <w:rPr>
          <w:sz w:val="20"/>
        </w:rPr>
        <w:fldChar w:fldCharType="end"/>
      </w:r>
      <w:r w:rsidR="00245A96" w:rsidRPr="00245A96">
        <w:rPr>
          <w:sz w:val="20"/>
        </w:rPr>
        <w:t>.</w:t>
      </w:r>
      <w:r w:rsidR="00245A96" w:rsidRPr="00245A96">
        <w:rPr>
          <w:i w:val="0"/>
          <w:sz w:val="20"/>
        </w:rPr>
        <w:t xml:space="preserve"> Composición porcentual de la muestra en función del género y la edad</w:t>
      </w:r>
      <w:bookmarkEnd w:id="4"/>
    </w:p>
    <w:p w14:paraId="74940FD1" w14:textId="77777777" w:rsidR="00517167" w:rsidRPr="00805A2B" w:rsidRDefault="00517167" w:rsidP="005B7C9B">
      <w:pPr>
        <w:autoSpaceDE w:val="0"/>
        <w:autoSpaceDN w:val="0"/>
        <w:adjustRightInd w:val="0"/>
        <w:spacing w:line="480" w:lineRule="auto"/>
        <w:ind w:firstLine="284"/>
        <w:rPr>
          <w:rFonts w:eastAsiaTheme="minorEastAsia"/>
          <w:lang w:val="es-CO" w:eastAsia="ja-JP"/>
        </w:rPr>
      </w:pPr>
    </w:p>
    <w:p w14:paraId="5DD37491" w14:textId="32EBF471" w:rsidR="00C3630B" w:rsidRDefault="00C3630B" w:rsidP="005B7C9B">
      <w:pPr>
        <w:spacing w:line="480" w:lineRule="auto"/>
        <w:ind w:firstLine="284"/>
        <w:jc w:val="both"/>
      </w:pPr>
      <w:r>
        <w:t>Prosiguiendo con la descripci</w:t>
      </w:r>
      <w:r w:rsidR="00FE24C5">
        <w:t>ón de la muestra</w:t>
      </w:r>
      <w:r>
        <w:t xml:space="preserve"> se tiene a continuación la distribución de la edad en su naturaleza numérica y sus correspondientes indicadores descriptivos.</w:t>
      </w:r>
    </w:p>
    <w:p w14:paraId="763052A4" w14:textId="77777777" w:rsidR="00004949" w:rsidRDefault="00004949" w:rsidP="005B7C9B">
      <w:pPr>
        <w:spacing w:line="480" w:lineRule="auto"/>
        <w:ind w:firstLine="284"/>
        <w:jc w:val="both"/>
      </w:pPr>
    </w:p>
    <w:p w14:paraId="50DD2A77" w14:textId="77777777" w:rsidR="004F6A4E" w:rsidRDefault="004F6A4E" w:rsidP="004F6A4E">
      <w:pPr>
        <w:keepNext/>
        <w:autoSpaceDE w:val="0"/>
        <w:autoSpaceDN w:val="0"/>
        <w:adjustRightInd w:val="0"/>
        <w:jc w:val="center"/>
      </w:pPr>
      <w:r>
        <w:rPr>
          <w:rFonts w:eastAsiaTheme="minorEastAsia"/>
          <w:noProof/>
          <w:lang w:val="es-CO" w:eastAsia="es-CO"/>
        </w:rPr>
        <w:lastRenderedPageBreak/>
        <w:drawing>
          <wp:inline distT="0" distB="0" distL="0" distR="0" wp14:anchorId="245B62D2" wp14:editId="3E085F13">
            <wp:extent cx="4565294" cy="3657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58C43737" w14:textId="13BCD829" w:rsidR="00FE24C5" w:rsidRPr="004F6A4E" w:rsidRDefault="004F6A4E" w:rsidP="004F6A4E">
      <w:pPr>
        <w:pStyle w:val="Caption"/>
        <w:jc w:val="center"/>
        <w:rPr>
          <w:rFonts w:eastAsiaTheme="minorEastAsia"/>
          <w:i w:val="0"/>
          <w:sz w:val="20"/>
          <w:lang w:val="es-CO" w:eastAsia="ja-JP"/>
        </w:rPr>
      </w:pPr>
      <w:bookmarkStart w:id="5" w:name="_Toc450578178"/>
      <w:r>
        <w:rPr>
          <w:sz w:val="20"/>
        </w:rPr>
        <w:t>Figura</w:t>
      </w:r>
      <w:r w:rsidRPr="004F6A4E">
        <w:rPr>
          <w:sz w:val="20"/>
        </w:rPr>
        <w:t xml:space="preserve"> </w:t>
      </w:r>
      <w:r w:rsidRPr="004F6A4E">
        <w:rPr>
          <w:sz w:val="20"/>
        </w:rPr>
        <w:fldChar w:fldCharType="begin"/>
      </w:r>
      <w:r w:rsidRPr="004F6A4E">
        <w:rPr>
          <w:sz w:val="20"/>
        </w:rPr>
        <w:instrText xml:space="preserve"> SEQ Ilustración \* ARABIC </w:instrText>
      </w:r>
      <w:r w:rsidRPr="004F6A4E">
        <w:rPr>
          <w:sz w:val="20"/>
        </w:rPr>
        <w:fldChar w:fldCharType="separate"/>
      </w:r>
      <w:r w:rsidR="003A2538">
        <w:rPr>
          <w:noProof/>
          <w:sz w:val="20"/>
        </w:rPr>
        <w:t>3</w:t>
      </w:r>
      <w:r w:rsidRPr="004F6A4E">
        <w:rPr>
          <w:sz w:val="20"/>
        </w:rPr>
        <w:fldChar w:fldCharType="end"/>
      </w:r>
      <w:r w:rsidRPr="004F6A4E">
        <w:rPr>
          <w:sz w:val="20"/>
        </w:rPr>
        <w:t xml:space="preserve">. </w:t>
      </w:r>
      <w:r w:rsidRPr="004F6A4E">
        <w:rPr>
          <w:i w:val="0"/>
          <w:sz w:val="20"/>
        </w:rPr>
        <w:t>Histograma de la edad</w:t>
      </w:r>
      <w:bookmarkEnd w:id="5"/>
    </w:p>
    <w:p w14:paraId="7A870E9F" w14:textId="77777777" w:rsidR="00FE24C5" w:rsidRPr="00C3630B" w:rsidRDefault="00FE24C5" w:rsidP="005B7C9B">
      <w:pPr>
        <w:autoSpaceDE w:val="0"/>
        <w:autoSpaceDN w:val="0"/>
        <w:adjustRightInd w:val="0"/>
        <w:spacing w:line="480" w:lineRule="auto"/>
        <w:ind w:firstLine="284"/>
        <w:jc w:val="center"/>
        <w:rPr>
          <w:rFonts w:eastAsiaTheme="minorEastAsia"/>
          <w:lang w:val="es-CO" w:eastAsia="ja-JP"/>
        </w:rPr>
      </w:pPr>
    </w:p>
    <w:p w14:paraId="6E3945AD" w14:textId="25DB2221" w:rsidR="006D6BAF" w:rsidRPr="006D6BAF" w:rsidRDefault="006D6BAF" w:rsidP="006D6BAF">
      <w:pPr>
        <w:pStyle w:val="Caption"/>
        <w:keepNext/>
        <w:jc w:val="center"/>
        <w:rPr>
          <w:sz w:val="20"/>
        </w:rPr>
      </w:pPr>
      <w:bookmarkStart w:id="6" w:name="_Toc450578289"/>
      <w:r w:rsidRPr="006D6BAF">
        <w:rPr>
          <w:sz w:val="20"/>
        </w:rPr>
        <w:t xml:space="preserve">Tabla </w:t>
      </w:r>
      <w:r w:rsidRPr="006D6BAF">
        <w:rPr>
          <w:sz w:val="20"/>
        </w:rPr>
        <w:fldChar w:fldCharType="begin"/>
      </w:r>
      <w:r w:rsidRPr="006D6BAF">
        <w:rPr>
          <w:sz w:val="20"/>
        </w:rPr>
        <w:instrText xml:space="preserve"> SEQ Tabla \* ARABIC </w:instrText>
      </w:r>
      <w:r w:rsidRPr="006D6BAF">
        <w:rPr>
          <w:sz w:val="20"/>
        </w:rPr>
        <w:fldChar w:fldCharType="separate"/>
      </w:r>
      <w:r w:rsidR="00E032D3">
        <w:rPr>
          <w:noProof/>
          <w:sz w:val="20"/>
        </w:rPr>
        <w:t>1</w:t>
      </w:r>
      <w:r w:rsidRPr="006D6BAF">
        <w:rPr>
          <w:sz w:val="20"/>
        </w:rPr>
        <w:fldChar w:fldCharType="end"/>
      </w:r>
      <w:r w:rsidRPr="006D6BAF">
        <w:rPr>
          <w:sz w:val="20"/>
        </w:rPr>
        <w:t xml:space="preserve">. </w:t>
      </w:r>
      <w:r w:rsidRPr="006D6BAF">
        <w:rPr>
          <w:i w:val="0"/>
          <w:sz w:val="20"/>
        </w:rPr>
        <w:t>Estadísticas descriptivas de la edad</w:t>
      </w:r>
      <w:bookmarkEnd w:id="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356"/>
        <w:gridCol w:w="1145"/>
        <w:gridCol w:w="1531"/>
        <w:gridCol w:w="1311"/>
      </w:tblGrid>
      <w:tr w:rsidR="00FE24C5" w:rsidRPr="004F6A4E" w14:paraId="6ECA3AB6" w14:textId="77777777" w:rsidTr="004F6A4E">
        <w:trPr>
          <w:jc w:val="center"/>
        </w:trPr>
        <w:tc>
          <w:tcPr>
            <w:tcW w:w="1278" w:type="dxa"/>
            <w:tcBorders>
              <w:top w:val="single" w:sz="4" w:space="0" w:color="auto"/>
              <w:bottom w:val="single" w:sz="4" w:space="0" w:color="auto"/>
            </w:tcBorders>
            <w:vAlign w:val="center"/>
          </w:tcPr>
          <w:p w14:paraId="08136D8D" w14:textId="396A835B" w:rsidR="00FE24C5" w:rsidRPr="004F6A4E" w:rsidRDefault="00FE24C5" w:rsidP="005B7C9B">
            <w:pPr>
              <w:spacing w:line="480" w:lineRule="auto"/>
              <w:ind w:firstLine="284"/>
              <w:jc w:val="center"/>
              <w:rPr>
                <w:b/>
                <w:sz w:val="20"/>
              </w:rPr>
            </w:pPr>
            <w:r w:rsidRPr="004F6A4E">
              <w:rPr>
                <w:b/>
                <w:sz w:val="20"/>
              </w:rPr>
              <w:t>Mínimo</w:t>
            </w:r>
          </w:p>
        </w:tc>
        <w:tc>
          <w:tcPr>
            <w:tcW w:w="1356" w:type="dxa"/>
            <w:tcBorders>
              <w:top w:val="single" w:sz="4" w:space="0" w:color="auto"/>
              <w:bottom w:val="single" w:sz="4" w:space="0" w:color="auto"/>
            </w:tcBorders>
            <w:vAlign w:val="center"/>
          </w:tcPr>
          <w:p w14:paraId="6C5E7DCE" w14:textId="463E0C8E" w:rsidR="00FE24C5" w:rsidRPr="004F6A4E" w:rsidRDefault="00FE24C5" w:rsidP="005B7C9B">
            <w:pPr>
              <w:spacing w:line="480" w:lineRule="auto"/>
              <w:ind w:firstLine="284"/>
              <w:jc w:val="center"/>
              <w:rPr>
                <w:b/>
                <w:sz w:val="20"/>
              </w:rPr>
            </w:pPr>
            <w:r w:rsidRPr="004F6A4E">
              <w:rPr>
                <w:b/>
                <w:sz w:val="20"/>
              </w:rPr>
              <w:t>Mediana</w:t>
            </w:r>
          </w:p>
        </w:tc>
        <w:tc>
          <w:tcPr>
            <w:tcW w:w="1145" w:type="dxa"/>
            <w:tcBorders>
              <w:top w:val="single" w:sz="4" w:space="0" w:color="auto"/>
              <w:bottom w:val="single" w:sz="4" w:space="0" w:color="auto"/>
            </w:tcBorders>
            <w:vAlign w:val="center"/>
          </w:tcPr>
          <w:p w14:paraId="000D41E6" w14:textId="55747CE6" w:rsidR="00FE24C5" w:rsidRPr="004F6A4E" w:rsidRDefault="00FE24C5" w:rsidP="005B7C9B">
            <w:pPr>
              <w:spacing w:line="480" w:lineRule="auto"/>
              <w:ind w:firstLine="284"/>
              <w:jc w:val="center"/>
              <w:rPr>
                <w:b/>
                <w:sz w:val="20"/>
              </w:rPr>
            </w:pPr>
            <w:r w:rsidRPr="004F6A4E">
              <w:rPr>
                <w:b/>
                <w:sz w:val="20"/>
              </w:rPr>
              <w:t>Media</w:t>
            </w:r>
          </w:p>
        </w:tc>
        <w:tc>
          <w:tcPr>
            <w:tcW w:w="1531" w:type="dxa"/>
            <w:tcBorders>
              <w:top w:val="single" w:sz="4" w:space="0" w:color="auto"/>
              <w:bottom w:val="single" w:sz="4" w:space="0" w:color="auto"/>
            </w:tcBorders>
            <w:vAlign w:val="center"/>
          </w:tcPr>
          <w:p w14:paraId="68AD9C7F" w14:textId="77777777" w:rsidR="004F6A4E" w:rsidRDefault="00FE24C5" w:rsidP="004F6A4E">
            <w:pPr>
              <w:spacing w:line="480" w:lineRule="auto"/>
              <w:ind w:firstLine="284"/>
              <w:jc w:val="center"/>
              <w:rPr>
                <w:b/>
                <w:sz w:val="20"/>
              </w:rPr>
            </w:pPr>
            <w:r w:rsidRPr="004F6A4E">
              <w:rPr>
                <w:b/>
                <w:sz w:val="20"/>
              </w:rPr>
              <w:t>Desviación</w:t>
            </w:r>
          </w:p>
          <w:p w14:paraId="17A5C3FD" w14:textId="6759B3E3" w:rsidR="00FE24C5" w:rsidRPr="004F6A4E" w:rsidRDefault="00FE24C5" w:rsidP="004F6A4E">
            <w:pPr>
              <w:spacing w:line="480" w:lineRule="auto"/>
              <w:ind w:firstLine="284"/>
              <w:jc w:val="center"/>
              <w:rPr>
                <w:b/>
                <w:sz w:val="20"/>
              </w:rPr>
            </w:pPr>
            <w:r w:rsidRPr="004F6A4E">
              <w:rPr>
                <w:b/>
                <w:sz w:val="20"/>
              </w:rPr>
              <w:t>estándar</w:t>
            </w:r>
          </w:p>
        </w:tc>
        <w:tc>
          <w:tcPr>
            <w:tcW w:w="1311" w:type="dxa"/>
            <w:tcBorders>
              <w:top w:val="single" w:sz="4" w:space="0" w:color="auto"/>
              <w:bottom w:val="single" w:sz="4" w:space="0" w:color="auto"/>
            </w:tcBorders>
            <w:vAlign w:val="center"/>
          </w:tcPr>
          <w:p w14:paraId="4D5C7390" w14:textId="55271E5A" w:rsidR="00FE24C5" w:rsidRPr="004F6A4E" w:rsidRDefault="00FE24C5" w:rsidP="005B7C9B">
            <w:pPr>
              <w:spacing w:line="480" w:lineRule="auto"/>
              <w:ind w:firstLine="284"/>
              <w:jc w:val="center"/>
              <w:rPr>
                <w:b/>
                <w:sz w:val="20"/>
              </w:rPr>
            </w:pPr>
            <w:r w:rsidRPr="004F6A4E">
              <w:rPr>
                <w:b/>
                <w:sz w:val="20"/>
              </w:rPr>
              <w:t>Máximo</w:t>
            </w:r>
          </w:p>
        </w:tc>
      </w:tr>
      <w:tr w:rsidR="00FE24C5" w:rsidRPr="004F6A4E" w14:paraId="64C36376" w14:textId="77777777" w:rsidTr="004F6A4E">
        <w:trPr>
          <w:trHeight w:val="332"/>
          <w:jc w:val="center"/>
        </w:trPr>
        <w:tc>
          <w:tcPr>
            <w:tcW w:w="1278" w:type="dxa"/>
            <w:tcBorders>
              <w:top w:val="single" w:sz="4" w:space="0" w:color="auto"/>
              <w:bottom w:val="single" w:sz="4" w:space="0" w:color="auto"/>
            </w:tcBorders>
            <w:vAlign w:val="center"/>
          </w:tcPr>
          <w:p w14:paraId="5F3B5938" w14:textId="2A48DB34" w:rsidR="00FE24C5" w:rsidRPr="004F6A4E" w:rsidRDefault="00FE24C5" w:rsidP="005B7C9B">
            <w:pPr>
              <w:spacing w:line="480" w:lineRule="auto"/>
              <w:ind w:firstLine="284"/>
              <w:jc w:val="center"/>
              <w:rPr>
                <w:sz w:val="20"/>
              </w:rPr>
            </w:pPr>
            <w:r w:rsidRPr="004F6A4E">
              <w:rPr>
                <w:sz w:val="20"/>
              </w:rPr>
              <w:t>15</w:t>
            </w:r>
          </w:p>
        </w:tc>
        <w:tc>
          <w:tcPr>
            <w:tcW w:w="1356" w:type="dxa"/>
            <w:tcBorders>
              <w:top w:val="single" w:sz="4" w:space="0" w:color="auto"/>
              <w:bottom w:val="single" w:sz="4" w:space="0" w:color="auto"/>
            </w:tcBorders>
            <w:vAlign w:val="center"/>
          </w:tcPr>
          <w:p w14:paraId="02DA91FD" w14:textId="480E3407" w:rsidR="00FE24C5" w:rsidRPr="004F6A4E" w:rsidRDefault="00FE24C5" w:rsidP="005B7C9B">
            <w:pPr>
              <w:spacing w:line="480" w:lineRule="auto"/>
              <w:ind w:firstLine="284"/>
              <w:jc w:val="center"/>
              <w:rPr>
                <w:sz w:val="20"/>
              </w:rPr>
            </w:pPr>
            <w:r w:rsidRPr="004F6A4E">
              <w:rPr>
                <w:sz w:val="20"/>
              </w:rPr>
              <w:t>18</w:t>
            </w:r>
          </w:p>
        </w:tc>
        <w:tc>
          <w:tcPr>
            <w:tcW w:w="1145" w:type="dxa"/>
            <w:tcBorders>
              <w:top w:val="single" w:sz="4" w:space="0" w:color="auto"/>
              <w:bottom w:val="single" w:sz="4" w:space="0" w:color="auto"/>
            </w:tcBorders>
            <w:vAlign w:val="center"/>
          </w:tcPr>
          <w:p w14:paraId="161F45D1" w14:textId="63EEDE16" w:rsidR="00FE24C5" w:rsidRPr="004F6A4E" w:rsidRDefault="00FE24C5" w:rsidP="005B7C9B">
            <w:pPr>
              <w:spacing w:line="480" w:lineRule="auto"/>
              <w:ind w:firstLine="284"/>
              <w:jc w:val="center"/>
              <w:rPr>
                <w:sz w:val="20"/>
              </w:rPr>
            </w:pPr>
            <w:r w:rsidRPr="004F6A4E">
              <w:rPr>
                <w:sz w:val="20"/>
              </w:rPr>
              <w:t>17.9</w:t>
            </w:r>
          </w:p>
        </w:tc>
        <w:tc>
          <w:tcPr>
            <w:tcW w:w="1531" w:type="dxa"/>
            <w:tcBorders>
              <w:top w:val="single" w:sz="4" w:space="0" w:color="auto"/>
              <w:bottom w:val="single" w:sz="4" w:space="0" w:color="auto"/>
            </w:tcBorders>
            <w:vAlign w:val="center"/>
          </w:tcPr>
          <w:p w14:paraId="48C63187" w14:textId="5DCAE142" w:rsidR="00FE24C5" w:rsidRPr="004F6A4E" w:rsidRDefault="00FE24C5" w:rsidP="005B7C9B">
            <w:pPr>
              <w:spacing w:line="480" w:lineRule="auto"/>
              <w:ind w:firstLine="284"/>
              <w:jc w:val="center"/>
              <w:rPr>
                <w:sz w:val="20"/>
              </w:rPr>
            </w:pPr>
            <w:r w:rsidRPr="004F6A4E">
              <w:rPr>
                <w:sz w:val="20"/>
              </w:rPr>
              <w:t>1.37</w:t>
            </w:r>
          </w:p>
        </w:tc>
        <w:tc>
          <w:tcPr>
            <w:tcW w:w="1311" w:type="dxa"/>
            <w:tcBorders>
              <w:top w:val="single" w:sz="4" w:space="0" w:color="auto"/>
              <w:bottom w:val="single" w:sz="4" w:space="0" w:color="auto"/>
            </w:tcBorders>
            <w:vAlign w:val="center"/>
          </w:tcPr>
          <w:p w14:paraId="7666E746" w14:textId="4B309710" w:rsidR="00FE24C5" w:rsidRPr="004F6A4E" w:rsidRDefault="00FE24C5" w:rsidP="005B7C9B">
            <w:pPr>
              <w:spacing w:line="480" w:lineRule="auto"/>
              <w:ind w:firstLine="284"/>
              <w:jc w:val="center"/>
              <w:rPr>
                <w:sz w:val="20"/>
              </w:rPr>
            </w:pPr>
            <w:r w:rsidRPr="004F6A4E">
              <w:rPr>
                <w:sz w:val="20"/>
              </w:rPr>
              <w:t>26</w:t>
            </w:r>
          </w:p>
        </w:tc>
      </w:tr>
    </w:tbl>
    <w:p w14:paraId="2CEE79CD" w14:textId="77777777" w:rsidR="002A30FC" w:rsidRDefault="00543AA7" w:rsidP="005B7C9B">
      <w:pPr>
        <w:spacing w:line="480" w:lineRule="auto"/>
        <w:ind w:firstLine="284"/>
        <w:jc w:val="both"/>
      </w:pPr>
      <w:r>
        <w:t xml:space="preserve">     </w:t>
      </w:r>
    </w:p>
    <w:p w14:paraId="55EB8080" w14:textId="6F83E61D" w:rsidR="00C3630B" w:rsidRDefault="00C3630B" w:rsidP="005B7C9B">
      <w:pPr>
        <w:spacing w:line="480" w:lineRule="auto"/>
        <w:ind w:firstLine="284"/>
        <w:jc w:val="both"/>
      </w:pPr>
      <w:r>
        <w:t>Como se puede observar en</w:t>
      </w:r>
      <w:r w:rsidR="004F6A4E">
        <w:t xml:space="preserve"> el histograma de</w:t>
      </w:r>
      <w:r>
        <w:t xml:space="preserve"> </w:t>
      </w:r>
      <w:r w:rsidR="004F6A4E">
        <w:t>la Figura 3</w:t>
      </w:r>
      <w:r>
        <w:t xml:space="preserve">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6D6BAF">
        <w:t xml:space="preserve"> (ver Tabla 1)</w:t>
      </w:r>
      <w:r>
        <w:t>.</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F90A73">
        <w:t xml:space="preserve"> a presentar </w:t>
      </w:r>
      <w:r w:rsidR="00876FDA">
        <w:t>comportamientos riesgosos entre los cuales está el</w:t>
      </w:r>
      <w:r w:rsidR="00F90A73">
        <w:t xml:space="preserve"> consumo de alcohol problemá</w:t>
      </w:r>
      <w:r w:rsidR="00876FDA">
        <w:t>tico</w:t>
      </w:r>
      <w:r w:rsidR="00FE24C5">
        <w:t>.</w:t>
      </w:r>
    </w:p>
    <w:p w14:paraId="016ABDC9" w14:textId="77777777" w:rsidR="00E95ABE" w:rsidRDefault="00E95ABE" w:rsidP="005B7C9B">
      <w:pPr>
        <w:spacing w:line="480" w:lineRule="auto"/>
        <w:ind w:firstLine="284"/>
        <w:jc w:val="both"/>
      </w:pPr>
    </w:p>
    <w:p w14:paraId="46AD8CD6" w14:textId="47D40D2A" w:rsidR="00C3630B" w:rsidRDefault="00E92504" w:rsidP="005B7C9B">
      <w:pPr>
        <w:spacing w:line="480" w:lineRule="auto"/>
        <w:ind w:firstLine="284"/>
        <w:jc w:val="both"/>
      </w:pPr>
      <w:r w:rsidRPr="00CA6A43">
        <w:rPr>
          <w:color w:val="000000" w:themeColor="text1"/>
        </w:rPr>
        <w:lastRenderedPageBreak/>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xml:space="preserve">, como se muestra en </w:t>
      </w:r>
      <w:r w:rsidR="00E52F03">
        <w:t>la Figura 4</w:t>
      </w:r>
      <w:r w:rsidRPr="00CA6A43">
        <w:t>.</w:t>
      </w:r>
    </w:p>
    <w:p w14:paraId="0C0BBDB1" w14:textId="77777777" w:rsidR="002A30FC" w:rsidRDefault="002A30FC" w:rsidP="005B7C9B">
      <w:pPr>
        <w:spacing w:line="480" w:lineRule="auto"/>
        <w:ind w:firstLine="284"/>
        <w:jc w:val="both"/>
      </w:pPr>
    </w:p>
    <w:p w14:paraId="150AB2DD" w14:textId="77777777" w:rsidR="00E52F03" w:rsidRDefault="00E52F03" w:rsidP="00E52F03">
      <w:pPr>
        <w:keepNext/>
        <w:autoSpaceDE w:val="0"/>
        <w:autoSpaceDN w:val="0"/>
        <w:adjustRightInd w:val="0"/>
        <w:jc w:val="center"/>
      </w:pPr>
      <w:r>
        <w:rPr>
          <w:rFonts w:eastAsiaTheme="minorEastAsia"/>
          <w:noProof/>
          <w:lang w:val="es-CO" w:eastAsia="es-CO"/>
        </w:rPr>
        <w:drawing>
          <wp:inline distT="0" distB="0" distL="0" distR="0" wp14:anchorId="1858F35E" wp14:editId="0D86BBFE">
            <wp:extent cx="4565294" cy="36576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57F2E192" w14:textId="69905C0A" w:rsidR="00B54743" w:rsidRPr="00E52F03" w:rsidRDefault="00E52F03" w:rsidP="00E52F03">
      <w:pPr>
        <w:pStyle w:val="Caption"/>
        <w:jc w:val="center"/>
        <w:rPr>
          <w:rFonts w:eastAsiaTheme="minorEastAsia"/>
          <w:sz w:val="20"/>
          <w:lang w:val="es-CO" w:eastAsia="ja-JP"/>
        </w:rPr>
      </w:pPr>
      <w:bookmarkStart w:id="7" w:name="_Toc450578179"/>
      <w:r w:rsidRPr="00E52F03">
        <w:rPr>
          <w:sz w:val="20"/>
        </w:rPr>
        <w:t xml:space="preserve">Figura </w:t>
      </w:r>
      <w:r w:rsidRPr="00E52F03">
        <w:rPr>
          <w:sz w:val="20"/>
        </w:rPr>
        <w:fldChar w:fldCharType="begin"/>
      </w:r>
      <w:r w:rsidRPr="00E52F03">
        <w:rPr>
          <w:sz w:val="20"/>
        </w:rPr>
        <w:instrText xml:space="preserve"> SEQ Ilustración \* ARABIC </w:instrText>
      </w:r>
      <w:r w:rsidRPr="00E52F03">
        <w:rPr>
          <w:sz w:val="20"/>
        </w:rPr>
        <w:fldChar w:fldCharType="separate"/>
      </w:r>
      <w:r w:rsidR="003A2538">
        <w:rPr>
          <w:noProof/>
          <w:sz w:val="20"/>
        </w:rPr>
        <w:t>4</w:t>
      </w:r>
      <w:r w:rsidRPr="00E52F03">
        <w:rPr>
          <w:sz w:val="20"/>
        </w:rPr>
        <w:fldChar w:fldCharType="end"/>
      </w:r>
      <w:r w:rsidRPr="00E52F03">
        <w:rPr>
          <w:sz w:val="20"/>
        </w:rPr>
        <w:t xml:space="preserve">. </w:t>
      </w:r>
      <w:r w:rsidRPr="00E52F03">
        <w:rPr>
          <w:i w:val="0"/>
          <w:sz w:val="20"/>
        </w:rPr>
        <w:t>Distribución porcentual de los individuos en las diferentes carreras</w:t>
      </w:r>
      <w:bookmarkEnd w:id="7"/>
    </w:p>
    <w:p w14:paraId="1BC48CC9" w14:textId="77777777" w:rsidR="00B54743" w:rsidRDefault="00B54743" w:rsidP="005B7C9B">
      <w:pPr>
        <w:spacing w:line="480" w:lineRule="auto"/>
        <w:ind w:firstLine="284"/>
        <w:jc w:val="both"/>
      </w:pPr>
    </w:p>
    <w:p w14:paraId="1CDFE1BE" w14:textId="33CE0778" w:rsidR="00F66C60" w:rsidRPr="00B50141" w:rsidRDefault="00581EC6" w:rsidP="005B7C9B">
      <w:pPr>
        <w:spacing w:line="480" w:lineRule="auto"/>
        <w:ind w:firstLine="284"/>
        <w:jc w:val="both"/>
        <w:rPr>
          <w:color w:val="FF0000"/>
        </w:rPr>
      </w:pPr>
      <w:r>
        <w:t xml:space="preserve">Al considerar el </w:t>
      </w:r>
      <w:r w:rsidR="006641CA" w:rsidRPr="00CA6A43">
        <w:t>puntaje AUDIT total se en</w:t>
      </w:r>
      <w:r w:rsidR="00F67B26">
        <w:t>cuentra que el 82.4</w:t>
      </w:r>
      <w:r w:rsidR="006641CA" w:rsidRPr="00CA6A43">
        <w:t xml:space="preserve">% de los estudiantes tienen un patrón de consumo de alcohol de bajo riesgo </w:t>
      </w:r>
      <w:r w:rsidR="006641CA" w:rsidRPr="00004949">
        <w:t>(menor o igual a 7)</w:t>
      </w:r>
      <w:r w:rsidR="006641CA" w:rsidRPr="00CA6A43">
        <w:t xml:space="preserve"> y el 17.</w:t>
      </w:r>
      <w:r w:rsidR="00F67B26">
        <w:t>5</w:t>
      </w:r>
      <w:r w:rsidR="006641CA" w:rsidRPr="00CA6A43">
        <w:t>% restante tienen un patrón de consumo de alcohol de alto riesgo (mayor o igua</w:t>
      </w:r>
      <w:r w:rsidR="000F05CF">
        <w:t>l a 8)</w:t>
      </w:r>
      <w:r>
        <w:t xml:space="preserve"> según Babor, Higgins-Bidd</w:t>
      </w:r>
      <w:r w:rsidR="003B4D9B">
        <w:t>le, Saunders y Monteiro (2001).</w:t>
      </w:r>
    </w:p>
    <w:p w14:paraId="3F764EC5" w14:textId="77777777" w:rsidR="003B4D9B" w:rsidRDefault="003B4D9B" w:rsidP="003B4D9B">
      <w:pPr>
        <w:keepNext/>
        <w:autoSpaceDE w:val="0"/>
        <w:autoSpaceDN w:val="0"/>
        <w:adjustRightInd w:val="0"/>
        <w:jc w:val="center"/>
      </w:pPr>
      <w:r>
        <w:rPr>
          <w:rFonts w:eastAsiaTheme="minorEastAsia"/>
          <w:noProof/>
          <w:lang w:val="es-CO" w:eastAsia="es-CO"/>
        </w:rPr>
        <w:lastRenderedPageBreak/>
        <w:drawing>
          <wp:inline distT="0" distB="0" distL="0" distR="0" wp14:anchorId="65DEF752" wp14:editId="34D09790">
            <wp:extent cx="4565294" cy="3657600"/>
            <wp:effectExtent l="0" t="0" r="698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5C2E9DE" w14:textId="7424211F" w:rsidR="003B4D9B" w:rsidRPr="00EC410F" w:rsidRDefault="00EC410F" w:rsidP="003B4D9B">
      <w:pPr>
        <w:pStyle w:val="Caption"/>
        <w:jc w:val="center"/>
        <w:rPr>
          <w:rFonts w:eastAsiaTheme="minorEastAsia"/>
          <w:sz w:val="20"/>
          <w:lang w:val="es-CO" w:eastAsia="ja-JP"/>
        </w:rPr>
      </w:pPr>
      <w:bookmarkStart w:id="8" w:name="_Toc450578180"/>
      <w:r>
        <w:rPr>
          <w:sz w:val="20"/>
        </w:rPr>
        <w:t>Figura</w:t>
      </w:r>
      <w:r w:rsidR="003B4D9B" w:rsidRPr="00EC410F">
        <w:rPr>
          <w:sz w:val="20"/>
        </w:rPr>
        <w:t xml:space="preserve"> </w:t>
      </w:r>
      <w:r w:rsidR="003B4D9B" w:rsidRPr="00EC410F">
        <w:rPr>
          <w:sz w:val="20"/>
        </w:rPr>
        <w:fldChar w:fldCharType="begin"/>
      </w:r>
      <w:r w:rsidR="003B4D9B" w:rsidRPr="00EC410F">
        <w:rPr>
          <w:sz w:val="20"/>
        </w:rPr>
        <w:instrText xml:space="preserve"> SEQ Ilustración \* ARABIC </w:instrText>
      </w:r>
      <w:r w:rsidR="003B4D9B" w:rsidRPr="00EC410F">
        <w:rPr>
          <w:sz w:val="20"/>
        </w:rPr>
        <w:fldChar w:fldCharType="separate"/>
      </w:r>
      <w:r w:rsidR="003A2538">
        <w:rPr>
          <w:noProof/>
          <w:sz w:val="20"/>
        </w:rPr>
        <w:t>5</w:t>
      </w:r>
      <w:r w:rsidR="003B4D9B" w:rsidRPr="00EC410F">
        <w:rPr>
          <w:sz w:val="20"/>
        </w:rPr>
        <w:fldChar w:fldCharType="end"/>
      </w:r>
      <w:r w:rsidR="003B4D9B" w:rsidRPr="00EC410F">
        <w:rPr>
          <w:sz w:val="20"/>
        </w:rPr>
        <w:t xml:space="preserve">. </w:t>
      </w:r>
      <w:r w:rsidR="003B4D9B" w:rsidRPr="00EC410F">
        <w:rPr>
          <w:i w:val="0"/>
          <w:sz w:val="20"/>
        </w:rPr>
        <w:t>Histograma del puntaje AUDIT total</w:t>
      </w:r>
      <w:bookmarkEnd w:id="8"/>
    </w:p>
    <w:p w14:paraId="1C41F321" w14:textId="75492BD9" w:rsidR="00F313DD" w:rsidRDefault="00F313DD" w:rsidP="003B4D9B">
      <w:pPr>
        <w:autoSpaceDE w:val="0"/>
        <w:autoSpaceDN w:val="0"/>
        <w:adjustRightInd w:val="0"/>
        <w:spacing w:line="480" w:lineRule="auto"/>
        <w:rPr>
          <w:rFonts w:eastAsiaTheme="minorEastAsia"/>
          <w:lang w:val="es-CO" w:eastAsia="ja-JP"/>
        </w:rPr>
      </w:pPr>
    </w:p>
    <w:p w14:paraId="6D1A9011" w14:textId="2023D095" w:rsidR="00FD23D8" w:rsidRPr="00FD23D8" w:rsidRDefault="00FD23D8" w:rsidP="00FD23D8">
      <w:pPr>
        <w:pStyle w:val="Caption"/>
        <w:keepNext/>
        <w:jc w:val="center"/>
        <w:rPr>
          <w:sz w:val="20"/>
        </w:rPr>
      </w:pPr>
      <w:bookmarkStart w:id="9" w:name="_Toc450578290"/>
      <w:r w:rsidRPr="00FD23D8">
        <w:rPr>
          <w:sz w:val="20"/>
        </w:rPr>
        <w:t xml:space="preserve">Tabla </w:t>
      </w:r>
      <w:r w:rsidRPr="00FD23D8">
        <w:rPr>
          <w:sz w:val="20"/>
        </w:rPr>
        <w:fldChar w:fldCharType="begin"/>
      </w:r>
      <w:r w:rsidRPr="00FD23D8">
        <w:rPr>
          <w:sz w:val="20"/>
        </w:rPr>
        <w:instrText xml:space="preserve"> SEQ Tabla \* ARABIC </w:instrText>
      </w:r>
      <w:r w:rsidRPr="00FD23D8">
        <w:rPr>
          <w:sz w:val="20"/>
        </w:rPr>
        <w:fldChar w:fldCharType="separate"/>
      </w:r>
      <w:r w:rsidR="00E032D3">
        <w:rPr>
          <w:noProof/>
          <w:sz w:val="20"/>
        </w:rPr>
        <w:t>2</w:t>
      </w:r>
      <w:r w:rsidRPr="00FD23D8">
        <w:rPr>
          <w:sz w:val="20"/>
        </w:rPr>
        <w:fldChar w:fldCharType="end"/>
      </w:r>
      <w:r w:rsidRPr="00FD23D8">
        <w:rPr>
          <w:sz w:val="20"/>
        </w:rPr>
        <w:t xml:space="preserve">. </w:t>
      </w:r>
      <w:r w:rsidRPr="00FD23D8">
        <w:rPr>
          <w:i w:val="0"/>
          <w:sz w:val="20"/>
        </w:rPr>
        <w:t>Estadísticas descriptivas del puntaje AUDIT total</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356"/>
        <w:gridCol w:w="1145"/>
        <w:gridCol w:w="1531"/>
        <w:gridCol w:w="1311"/>
      </w:tblGrid>
      <w:tr w:rsidR="00F67B26" w:rsidRPr="00EC410F" w14:paraId="1C1674CA" w14:textId="77777777" w:rsidTr="00EC410F">
        <w:trPr>
          <w:jc w:val="center"/>
        </w:trPr>
        <w:tc>
          <w:tcPr>
            <w:tcW w:w="1278" w:type="dxa"/>
            <w:tcBorders>
              <w:top w:val="single" w:sz="4" w:space="0" w:color="auto"/>
              <w:bottom w:val="single" w:sz="4" w:space="0" w:color="auto"/>
            </w:tcBorders>
            <w:vAlign w:val="center"/>
          </w:tcPr>
          <w:p w14:paraId="72996AFE" w14:textId="77777777" w:rsidR="00F67B26" w:rsidRPr="00EC410F" w:rsidRDefault="00F67B26" w:rsidP="005B7C9B">
            <w:pPr>
              <w:spacing w:line="480" w:lineRule="auto"/>
              <w:ind w:firstLine="284"/>
              <w:jc w:val="center"/>
              <w:rPr>
                <w:b/>
                <w:sz w:val="20"/>
              </w:rPr>
            </w:pPr>
            <w:r w:rsidRPr="00EC410F">
              <w:rPr>
                <w:b/>
                <w:sz w:val="20"/>
              </w:rPr>
              <w:t>Mínimo</w:t>
            </w:r>
          </w:p>
        </w:tc>
        <w:tc>
          <w:tcPr>
            <w:tcW w:w="1356" w:type="dxa"/>
            <w:tcBorders>
              <w:top w:val="single" w:sz="4" w:space="0" w:color="auto"/>
              <w:bottom w:val="single" w:sz="4" w:space="0" w:color="auto"/>
            </w:tcBorders>
            <w:vAlign w:val="center"/>
          </w:tcPr>
          <w:p w14:paraId="02AA830B" w14:textId="77777777" w:rsidR="00F67B26" w:rsidRPr="00EC410F" w:rsidRDefault="00F67B26" w:rsidP="005B7C9B">
            <w:pPr>
              <w:spacing w:line="480" w:lineRule="auto"/>
              <w:ind w:firstLine="284"/>
              <w:jc w:val="center"/>
              <w:rPr>
                <w:b/>
                <w:sz w:val="20"/>
              </w:rPr>
            </w:pPr>
            <w:r w:rsidRPr="00EC410F">
              <w:rPr>
                <w:b/>
                <w:sz w:val="20"/>
              </w:rPr>
              <w:t>Mediana</w:t>
            </w:r>
          </w:p>
        </w:tc>
        <w:tc>
          <w:tcPr>
            <w:tcW w:w="1145" w:type="dxa"/>
            <w:tcBorders>
              <w:top w:val="single" w:sz="4" w:space="0" w:color="auto"/>
              <w:bottom w:val="single" w:sz="4" w:space="0" w:color="auto"/>
            </w:tcBorders>
            <w:vAlign w:val="center"/>
          </w:tcPr>
          <w:p w14:paraId="6271FEB5" w14:textId="77777777" w:rsidR="00F67B26" w:rsidRPr="00EC410F" w:rsidRDefault="00F67B26" w:rsidP="005B7C9B">
            <w:pPr>
              <w:spacing w:line="480" w:lineRule="auto"/>
              <w:ind w:firstLine="284"/>
              <w:jc w:val="center"/>
              <w:rPr>
                <w:b/>
                <w:sz w:val="20"/>
              </w:rPr>
            </w:pPr>
            <w:r w:rsidRPr="00EC410F">
              <w:rPr>
                <w:b/>
                <w:sz w:val="20"/>
              </w:rPr>
              <w:t>Media</w:t>
            </w:r>
          </w:p>
        </w:tc>
        <w:tc>
          <w:tcPr>
            <w:tcW w:w="1531" w:type="dxa"/>
            <w:tcBorders>
              <w:top w:val="single" w:sz="4" w:space="0" w:color="auto"/>
              <w:bottom w:val="single" w:sz="4" w:space="0" w:color="auto"/>
            </w:tcBorders>
            <w:vAlign w:val="center"/>
          </w:tcPr>
          <w:p w14:paraId="16052805" w14:textId="77777777" w:rsidR="00EC410F" w:rsidRDefault="00F67B26" w:rsidP="00EC410F">
            <w:pPr>
              <w:spacing w:line="480" w:lineRule="auto"/>
              <w:ind w:firstLine="284"/>
              <w:jc w:val="center"/>
              <w:rPr>
                <w:b/>
                <w:sz w:val="20"/>
              </w:rPr>
            </w:pPr>
            <w:r w:rsidRPr="00EC410F">
              <w:rPr>
                <w:b/>
                <w:sz w:val="20"/>
              </w:rPr>
              <w:t>Desviación</w:t>
            </w:r>
          </w:p>
          <w:p w14:paraId="4A454B0F" w14:textId="5EDD0375" w:rsidR="00F67B26" w:rsidRPr="00EC410F" w:rsidRDefault="00F67B26" w:rsidP="00EC410F">
            <w:pPr>
              <w:spacing w:line="480" w:lineRule="auto"/>
              <w:ind w:firstLine="284"/>
              <w:jc w:val="center"/>
              <w:rPr>
                <w:b/>
                <w:sz w:val="20"/>
              </w:rPr>
            </w:pPr>
            <w:r w:rsidRPr="00EC410F">
              <w:rPr>
                <w:b/>
                <w:sz w:val="20"/>
              </w:rPr>
              <w:t>estándar</w:t>
            </w:r>
          </w:p>
        </w:tc>
        <w:tc>
          <w:tcPr>
            <w:tcW w:w="1311" w:type="dxa"/>
            <w:tcBorders>
              <w:top w:val="single" w:sz="4" w:space="0" w:color="auto"/>
              <w:bottom w:val="single" w:sz="4" w:space="0" w:color="auto"/>
            </w:tcBorders>
            <w:vAlign w:val="center"/>
          </w:tcPr>
          <w:p w14:paraId="5F5D5F1B" w14:textId="77777777" w:rsidR="00F67B26" w:rsidRPr="00EC410F" w:rsidRDefault="00F67B26" w:rsidP="005B7C9B">
            <w:pPr>
              <w:spacing w:line="480" w:lineRule="auto"/>
              <w:ind w:firstLine="284"/>
              <w:jc w:val="center"/>
              <w:rPr>
                <w:b/>
                <w:sz w:val="20"/>
              </w:rPr>
            </w:pPr>
            <w:r w:rsidRPr="00EC410F">
              <w:rPr>
                <w:b/>
                <w:sz w:val="20"/>
              </w:rPr>
              <w:t>Máximo</w:t>
            </w:r>
          </w:p>
        </w:tc>
      </w:tr>
      <w:tr w:rsidR="00F67B26" w:rsidRPr="00EC410F" w14:paraId="2869B97B" w14:textId="77777777" w:rsidTr="00EC410F">
        <w:trPr>
          <w:trHeight w:val="332"/>
          <w:jc w:val="center"/>
        </w:trPr>
        <w:tc>
          <w:tcPr>
            <w:tcW w:w="1278" w:type="dxa"/>
            <w:tcBorders>
              <w:top w:val="single" w:sz="4" w:space="0" w:color="auto"/>
              <w:bottom w:val="single" w:sz="4" w:space="0" w:color="auto"/>
            </w:tcBorders>
            <w:vAlign w:val="center"/>
          </w:tcPr>
          <w:p w14:paraId="248B2507" w14:textId="66EE1012" w:rsidR="00F67B26" w:rsidRPr="00EC410F" w:rsidRDefault="00F67B26" w:rsidP="005B7C9B">
            <w:pPr>
              <w:spacing w:line="480" w:lineRule="auto"/>
              <w:ind w:firstLine="284"/>
              <w:jc w:val="center"/>
              <w:rPr>
                <w:sz w:val="20"/>
              </w:rPr>
            </w:pPr>
            <w:r w:rsidRPr="00EC410F">
              <w:rPr>
                <w:sz w:val="20"/>
              </w:rPr>
              <w:t>0</w:t>
            </w:r>
          </w:p>
        </w:tc>
        <w:tc>
          <w:tcPr>
            <w:tcW w:w="1356" w:type="dxa"/>
            <w:tcBorders>
              <w:top w:val="single" w:sz="4" w:space="0" w:color="auto"/>
              <w:bottom w:val="single" w:sz="4" w:space="0" w:color="auto"/>
            </w:tcBorders>
            <w:vAlign w:val="center"/>
          </w:tcPr>
          <w:p w14:paraId="09184780" w14:textId="423AFBCA" w:rsidR="00F67B26" w:rsidRPr="00EC410F" w:rsidRDefault="00F67B26" w:rsidP="005B7C9B">
            <w:pPr>
              <w:spacing w:line="480" w:lineRule="auto"/>
              <w:ind w:firstLine="284"/>
              <w:jc w:val="center"/>
              <w:rPr>
                <w:sz w:val="20"/>
              </w:rPr>
            </w:pPr>
            <w:r w:rsidRPr="00EC410F">
              <w:rPr>
                <w:sz w:val="20"/>
              </w:rPr>
              <w:t>3</w:t>
            </w:r>
          </w:p>
        </w:tc>
        <w:tc>
          <w:tcPr>
            <w:tcW w:w="1145" w:type="dxa"/>
            <w:tcBorders>
              <w:top w:val="single" w:sz="4" w:space="0" w:color="auto"/>
              <w:bottom w:val="single" w:sz="4" w:space="0" w:color="auto"/>
            </w:tcBorders>
            <w:vAlign w:val="center"/>
          </w:tcPr>
          <w:p w14:paraId="037BB7B2" w14:textId="7D65F07F" w:rsidR="00F67B26" w:rsidRPr="00EC410F" w:rsidRDefault="00F67B26" w:rsidP="005B7C9B">
            <w:pPr>
              <w:spacing w:line="480" w:lineRule="auto"/>
              <w:ind w:firstLine="284"/>
              <w:jc w:val="center"/>
              <w:rPr>
                <w:sz w:val="20"/>
              </w:rPr>
            </w:pPr>
            <w:r w:rsidRPr="00EC410F">
              <w:rPr>
                <w:sz w:val="20"/>
              </w:rPr>
              <w:t>4.3</w:t>
            </w:r>
          </w:p>
        </w:tc>
        <w:tc>
          <w:tcPr>
            <w:tcW w:w="1531" w:type="dxa"/>
            <w:tcBorders>
              <w:top w:val="single" w:sz="4" w:space="0" w:color="auto"/>
              <w:bottom w:val="single" w:sz="4" w:space="0" w:color="auto"/>
            </w:tcBorders>
            <w:vAlign w:val="center"/>
          </w:tcPr>
          <w:p w14:paraId="3C42D200" w14:textId="5D3552DE" w:rsidR="00F67B26" w:rsidRPr="00EC410F" w:rsidRDefault="00F67B26" w:rsidP="005B7C9B">
            <w:pPr>
              <w:spacing w:line="480" w:lineRule="auto"/>
              <w:ind w:firstLine="284"/>
              <w:jc w:val="center"/>
              <w:rPr>
                <w:sz w:val="20"/>
              </w:rPr>
            </w:pPr>
            <w:r w:rsidRPr="00EC410F">
              <w:rPr>
                <w:sz w:val="20"/>
              </w:rPr>
              <w:t>4.3</w:t>
            </w:r>
          </w:p>
        </w:tc>
        <w:tc>
          <w:tcPr>
            <w:tcW w:w="1311" w:type="dxa"/>
            <w:tcBorders>
              <w:top w:val="single" w:sz="4" w:space="0" w:color="auto"/>
              <w:bottom w:val="single" w:sz="4" w:space="0" w:color="auto"/>
            </w:tcBorders>
            <w:vAlign w:val="center"/>
          </w:tcPr>
          <w:p w14:paraId="6A7F1587" w14:textId="263476A7" w:rsidR="00F67B26" w:rsidRPr="00EC410F" w:rsidRDefault="00F67B26" w:rsidP="005B7C9B">
            <w:pPr>
              <w:spacing w:line="480" w:lineRule="auto"/>
              <w:ind w:firstLine="284"/>
              <w:jc w:val="center"/>
              <w:rPr>
                <w:sz w:val="20"/>
              </w:rPr>
            </w:pPr>
            <w:r w:rsidRPr="00EC410F">
              <w:rPr>
                <w:sz w:val="20"/>
              </w:rPr>
              <w:t>19</w:t>
            </w:r>
          </w:p>
        </w:tc>
      </w:tr>
    </w:tbl>
    <w:p w14:paraId="39AC4D87" w14:textId="4BC1D2FD" w:rsidR="006D28FE" w:rsidRPr="006D28FE" w:rsidRDefault="006D28FE" w:rsidP="00BC1648">
      <w:pPr>
        <w:autoSpaceDE w:val="0"/>
        <w:autoSpaceDN w:val="0"/>
        <w:adjustRightInd w:val="0"/>
        <w:spacing w:line="480" w:lineRule="auto"/>
        <w:rPr>
          <w:rFonts w:eastAsiaTheme="minorEastAsia"/>
          <w:lang w:val="es-CO" w:eastAsia="ja-JP"/>
        </w:rPr>
      </w:pPr>
    </w:p>
    <w:p w14:paraId="5E59C054" w14:textId="77777777" w:rsidR="00B54743" w:rsidRDefault="00B54743" w:rsidP="005B7C9B">
      <w:pPr>
        <w:spacing w:line="480" w:lineRule="auto"/>
        <w:ind w:firstLine="284"/>
        <w:jc w:val="both"/>
        <w:rPr>
          <w:color w:val="000000" w:themeColor="text1"/>
          <w:lang w:val="es-CO"/>
        </w:rPr>
      </w:pPr>
    </w:p>
    <w:p w14:paraId="2D5BDD90" w14:textId="6876688E" w:rsidR="00F67B26" w:rsidRDefault="00FB2588" w:rsidP="005B7C9B">
      <w:pPr>
        <w:spacing w:line="480" w:lineRule="auto"/>
        <w:ind w:firstLine="284"/>
        <w:jc w:val="both"/>
        <w:rPr>
          <w:color w:val="000000" w:themeColor="text1"/>
          <w:lang w:val="es-CO"/>
        </w:rPr>
      </w:pPr>
      <w:r>
        <w:rPr>
          <w:color w:val="000000" w:themeColor="text1"/>
          <w:lang w:val="es-CO"/>
        </w:rPr>
        <w:t>Examinando las estadísticas descriptivas del puntaje AUDIT</w:t>
      </w:r>
      <w:r w:rsidR="00FD23D8">
        <w:rPr>
          <w:color w:val="000000" w:themeColor="text1"/>
          <w:lang w:val="es-CO"/>
        </w:rPr>
        <w:t xml:space="preserve"> (Tabla 2)</w:t>
      </w:r>
      <w:r>
        <w:rPr>
          <w:color w:val="000000" w:themeColor="text1"/>
          <w:lang w:val="es-CO"/>
        </w:rPr>
        <w: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w:t>
      </w:r>
      <w:r w:rsidR="00AA6D6C" w:rsidRPr="00581EC6">
        <w:rPr>
          <w:lang w:val="es-CO"/>
        </w:rPr>
        <w:t xml:space="preserve">Aquí el puntaje AUDIT promedio no es una medida representativa de la muestra ya que la variación observada es alta, no </w:t>
      </w:r>
      <w:r w:rsidR="00AA6D6C">
        <w:rPr>
          <w:color w:val="000000" w:themeColor="text1"/>
          <w:lang w:val="es-CO"/>
        </w:rPr>
        <w:t>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w:t>
      </w:r>
      <w:r w:rsidR="00EC410F">
        <w:rPr>
          <w:color w:val="000000" w:themeColor="text1"/>
          <w:lang w:val="es-CO"/>
        </w:rPr>
        <w:t xml:space="preserve"> (ver Figura 5)</w:t>
      </w:r>
      <w:r w:rsidR="00010166">
        <w:rPr>
          <w:color w:val="000000" w:themeColor="text1"/>
          <w:lang w:val="es-CO"/>
        </w:rPr>
        <w:t>, la líne</w:t>
      </w:r>
      <w:r w:rsidR="00581EC6">
        <w:rPr>
          <w:color w:val="000000" w:themeColor="text1"/>
          <w:lang w:val="es-CO"/>
        </w:rPr>
        <w:t xml:space="preserve">a </w:t>
      </w:r>
      <w:r w:rsidR="00581EC6">
        <w:rPr>
          <w:color w:val="000000" w:themeColor="text1"/>
          <w:lang w:val="es-CO"/>
        </w:rPr>
        <w:lastRenderedPageBreak/>
        <w:t xml:space="preserve">roja representa un AUDIT = 8 (corte para hombres), </w:t>
      </w:r>
      <w:r w:rsidR="00010166">
        <w:rPr>
          <w:color w:val="000000" w:themeColor="text1"/>
          <w:lang w:val="es-CO"/>
        </w:rPr>
        <w:t>mientras la línea nar</w:t>
      </w:r>
      <w:r w:rsidR="00EA3216">
        <w:rPr>
          <w:color w:val="000000" w:themeColor="text1"/>
          <w:lang w:val="es-CO"/>
        </w:rPr>
        <w:t xml:space="preserve">anja corresponde a un AUDIT = </w:t>
      </w:r>
      <w:r w:rsidR="00EA3216" w:rsidRPr="00581EC6">
        <w:rPr>
          <w:color w:val="000000" w:themeColor="text1"/>
          <w:lang w:val="es-CO"/>
        </w:rPr>
        <w:t xml:space="preserve">7 </w:t>
      </w:r>
      <w:r w:rsidR="00581EC6">
        <w:rPr>
          <w:color w:val="000000" w:themeColor="text1"/>
          <w:lang w:val="es-CO"/>
        </w:rPr>
        <w:t>(corte para mujeres).</w:t>
      </w:r>
    </w:p>
    <w:p w14:paraId="08A6F6BA" w14:textId="080F5589" w:rsidR="00311C37" w:rsidRPr="00311C37" w:rsidRDefault="00010166" w:rsidP="002A30FC">
      <w:pPr>
        <w:spacing w:line="480" w:lineRule="auto"/>
        <w:ind w:firstLine="284"/>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3FCA5F01" w14:textId="43852479" w:rsidR="00311C37" w:rsidRDefault="00FB08EC" w:rsidP="005B7C9B">
      <w:pPr>
        <w:spacing w:line="480" w:lineRule="auto"/>
        <w:ind w:firstLine="284"/>
        <w:jc w:val="both"/>
        <w:rPr>
          <w:color w:val="000000" w:themeColor="text1"/>
        </w:rPr>
      </w:pPr>
      <w:r>
        <w:rPr>
          <w:color w:val="000000" w:themeColor="text1"/>
        </w:rPr>
        <w:t xml:space="preserve">Tomando en consideración los resultados hallados hasta el momento, </w:t>
      </w:r>
      <w:r w:rsidR="00723611">
        <w:rPr>
          <w:color w:val="000000" w:themeColor="text1"/>
        </w:rPr>
        <w:t>p</w:t>
      </w:r>
      <w:r w:rsidR="00311C37">
        <w:rPr>
          <w:color w:val="000000" w:themeColor="text1"/>
        </w:rPr>
        <w:t>ara dar respuesta a l</w:t>
      </w:r>
      <w:r w:rsidR="00F161AE">
        <w:rPr>
          <w:color w:val="000000" w:themeColor="text1"/>
        </w:rPr>
        <w:t>a pregunta de investigación y con</w:t>
      </w:r>
      <w:r w:rsidR="00311C37">
        <w:rPr>
          <w:color w:val="000000" w:themeColor="text1"/>
        </w:rPr>
        <w:t xml:space="preserve">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w:t>
      </w:r>
      <w:r w:rsidR="00C825CD">
        <w:rPr>
          <w:color w:val="000000" w:themeColor="text1"/>
        </w:rPr>
        <w:t>o AUDIT.</w:t>
      </w:r>
    </w:p>
    <w:p w14:paraId="2E6B4136" w14:textId="20C66E0F" w:rsidR="00AD5AD4" w:rsidRDefault="00AD5AD4" w:rsidP="005B7C9B">
      <w:pPr>
        <w:spacing w:line="480" w:lineRule="auto"/>
        <w:ind w:firstLine="284"/>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w:t>
      </w:r>
      <w:r w:rsidR="003E0191">
        <w:rPr>
          <w:color w:val="000000" w:themeColor="text1"/>
        </w:rPr>
        <w:t xml:space="preserve">a variable sobre el puntaje </w:t>
      </w:r>
      <w:r>
        <w:rPr>
          <w:color w:val="000000" w:themeColor="text1"/>
        </w:rPr>
        <w:t>de riesgo. Los análisis realizados corresponden a test estadísticos no paramétricos que son flexibles en cuanto a la validación de supuestos y que permiten ganar mayor robustez cuando se trabaja con variables de naturaleza no line</w:t>
      </w:r>
      <w:r w:rsidR="00C825CD">
        <w:rPr>
          <w:color w:val="000000" w:themeColor="text1"/>
        </w:rPr>
        <w:t xml:space="preserve">al </w:t>
      </w:r>
      <w:r w:rsidR="00C825CD">
        <w:rPr>
          <w:lang w:val="es-CO"/>
        </w:rPr>
        <w:t>(</w:t>
      </w:r>
      <w:r w:rsidR="00C825CD">
        <w:rPr>
          <w:lang w:val="es-ES_tradnl"/>
        </w:rPr>
        <w:t xml:space="preserve">Siegel &amp; Castellan, </w:t>
      </w:r>
      <w:r w:rsidR="00C825CD" w:rsidRPr="00693651">
        <w:rPr>
          <w:lang w:val="es-ES_tradnl"/>
        </w:rPr>
        <w:t>1995)</w:t>
      </w:r>
      <w:r w:rsidR="00C825CD">
        <w:rPr>
          <w:lang w:val="es-ES_tradnl"/>
        </w:rPr>
        <w:t>.</w:t>
      </w:r>
      <w:r w:rsidR="00D65444">
        <w:rPr>
          <w:color w:val="000000" w:themeColor="text1"/>
        </w:rPr>
        <w:t xml:space="preserve"> </w:t>
      </w:r>
      <w:r>
        <w:rPr>
          <w:color w:val="000000" w:themeColor="text1"/>
        </w:rPr>
        <w:t>A continuación los respectivos resultados:</w:t>
      </w:r>
    </w:p>
    <w:p w14:paraId="58EE2219" w14:textId="27B8A564" w:rsidR="00E24265" w:rsidRDefault="00AD5AD4" w:rsidP="005B7C9B">
      <w:pPr>
        <w:spacing w:line="480" w:lineRule="auto"/>
        <w:ind w:firstLine="284"/>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9E51E0">
        <w:rPr>
          <w:color w:val="000000" w:themeColor="text1"/>
        </w:rPr>
        <w:t>6</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9E51E0">
        <w:rPr>
          <w:color w:val="000000" w:themeColor="text1"/>
        </w:rPr>
        <w:t>6</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778ECE5" w14:textId="1BE673FE" w:rsidR="00C825CD" w:rsidRPr="009E51E0" w:rsidRDefault="00526DC1" w:rsidP="002A30FC">
      <w:pPr>
        <w:pStyle w:val="Caption"/>
        <w:spacing w:line="480" w:lineRule="auto"/>
        <w:ind w:firstLine="284"/>
        <w:jc w:val="center"/>
        <w:outlineLvl w:val="0"/>
        <w:rPr>
          <w:sz w:val="20"/>
        </w:rPr>
      </w:pPr>
      <w:bookmarkStart w:id="10" w:name="_Toc450578181"/>
      <w:r w:rsidRPr="009E51E0">
        <w:rPr>
          <w:sz w:val="20"/>
        </w:rPr>
        <w:t xml:space="preserve">Figura </w:t>
      </w:r>
      <w:r w:rsidRPr="009E51E0">
        <w:rPr>
          <w:sz w:val="20"/>
        </w:rPr>
        <w:fldChar w:fldCharType="begin"/>
      </w:r>
      <w:r w:rsidRPr="009E51E0">
        <w:rPr>
          <w:sz w:val="20"/>
        </w:rPr>
        <w:instrText xml:space="preserve"> SEQ Ilustración \* ARABIC </w:instrText>
      </w:r>
      <w:r w:rsidRPr="009E51E0">
        <w:rPr>
          <w:sz w:val="20"/>
        </w:rPr>
        <w:fldChar w:fldCharType="separate"/>
      </w:r>
      <w:r w:rsidR="003A2538">
        <w:rPr>
          <w:noProof/>
          <w:sz w:val="20"/>
        </w:rPr>
        <w:t>6</w:t>
      </w:r>
      <w:r w:rsidRPr="009E51E0">
        <w:rPr>
          <w:sz w:val="20"/>
        </w:rPr>
        <w:fldChar w:fldCharType="end"/>
      </w:r>
      <w:r w:rsidRPr="009E51E0">
        <w:rPr>
          <w:sz w:val="20"/>
        </w:rPr>
        <w:t xml:space="preserve">. </w:t>
      </w:r>
      <w:r w:rsidRPr="009E51E0">
        <w:rPr>
          <w:i w:val="0"/>
          <w:sz w:val="20"/>
        </w:rPr>
        <w:t>Boxplot del puntaje AUDIT en función del género</w:t>
      </w:r>
      <w:bookmarkEnd w:id="10"/>
    </w:p>
    <w:p w14:paraId="34D509F6" w14:textId="22989763" w:rsidR="00456D05" w:rsidRPr="003E0191" w:rsidRDefault="00456D05" w:rsidP="005B7C9B">
      <w:pPr>
        <w:autoSpaceDE w:val="0"/>
        <w:autoSpaceDN w:val="0"/>
        <w:adjustRightInd w:val="0"/>
        <w:spacing w:line="480" w:lineRule="auto"/>
        <w:ind w:firstLine="284"/>
        <w:jc w:val="both"/>
        <w:rPr>
          <w:rFonts w:eastAsiaTheme="minorEastAsia"/>
          <w:color w:val="FF0000"/>
          <w:lang w:val="es-CO" w:eastAsia="ja-JP"/>
        </w:rPr>
      </w:pPr>
      <w:r>
        <w:rPr>
          <w:rFonts w:eastAsiaTheme="minorEastAsia"/>
          <w:lang w:val="es-CO" w:eastAsia="ja-JP"/>
        </w:rPr>
        <w:t xml:space="preserve">Como se observa en la Tabla </w:t>
      </w:r>
      <w:r w:rsidR="00063C99">
        <w:rPr>
          <w:rFonts w:eastAsiaTheme="minorEastAsia"/>
          <w:lang w:val="es-CO" w:eastAsia="ja-JP"/>
        </w:rPr>
        <w:t>3</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r w:rsidR="003E0191">
        <w:rPr>
          <w:rFonts w:eastAsiaTheme="minorEastAsia"/>
          <w:lang w:val="es-CO" w:eastAsia="ja-JP"/>
        </w:rPr>
        <w:t xml:space="preserve"> </w:t>
      </w:r>
    </w:p>
    <w:p w14:paraId="2D093313" w14:textId="77777777" w:rsidR="00456D05" w:rsidRPr="00456D05" w:rsidRDefault="00456D05" w:rsidP="005B7C9B">
      <w:pPr>
        <w:autoSpaceDE w:val="0"/>
        <w:autoSpaceDN w:val="0"/>
        <w:adjustRightInd w:val="0"/>
        <w:spacing w:line="480" w:lineRule="auto"/>
        <w:ind w:firstLine="284"/>
        <w:rPr>
          <w:rFonts w:eastAsiaTheme="minorEastAsia"/>
          <w:lang w:val="es-CO" w:eastAsia="ja-JP"/>
        </w:rPr>
      </w:pPr>
    </w:p>
    <w:p w14:paraId="6D045BB8" w14:textId="678A22CB" w:rsidR="00E24265" w:rsidRPr="00063C99" w:rsidRDefault="00EB2B41" w:rsidP="005B7C9B">
      <w:pPr>
        <w:pStyle w:val="Caption"/>
        <w:keepNext/>
        <w:spacing w:line="480" w:lineRule="auto"/>
        <w:ind w:firstLine="284"/>
        <w:jc w:val="center"/>
        <w:outlineLvl w:val="0"/>
        <w:rPr>
          <w:i w:val="0"/>
          <w:sz w:val="20"/>
        </w:rPr>
      </w:pPr>
      <w:bookmarkStart w:id="11" w:name="_Toc450578291"/>
      <w:r w:rsidRPr="00063C99">
        <w:rPr>
          <w:sz w:val="20"/>
        </w:rPr>
        <w:t xml:space="preserve">Tabla </w:t>
      </w:r>
      <w:r w:rsidRPr="00063C99">
        <w:rPr>
          <w:sz w:val="20"/>
        </w:rPr>
        <w:fldChar w:fldCharType="begin"/>
      </w:r>
      <w:r w:rsidRPr="00063C99">
        <w:rPr>
          <w:sz w:val="20"/>
        </w:rPr>
        <w:instrText xml:space="preserve"> SEQ Tabla \* ARABIC </w:instrText>
      </w:r>
      <w:r w:rsidRPr="00063C99">
        <w:rPr>
          <w:sz w:val="20"/>
        </w:rPr>
        <w:fldChar w:fldCharType="separate"/>
      </w:r>
      <w:r w:rsidR="00E032D3">
        <w:rPr>
          <w:noProof/>
          <w:sz w:val="20"/>
        </w:rPr>
        <w:t>3</w:t>
      </w:r>
      <w:r w:rsidRPr="00063C99">
        <w:rPr>
          <w:sz w:val="20"/>
        </w:rPr>
        <w:fldChar w:fldCharType="end"/>
      </w:r>
      <w:r w:rsidRPr="00063C99">
        <w:rPr>
          <w:sz w:val="20"/>
        </w:rPr>
        <w:t xml:space="preserve">. </w:t>
      </w:r>
      <w:r w:rsidRPr="00063C99">
        <w:rPr>
          <w:i w:val="0"/>
          <w:sz w:val="20"/>
        </w:rPr>
        <w:t xml:space="preserve">Estadísticas descriptivas </w:t>
      </w:r>
      <w:r w:rsidR="007A7320" w:rsidRPr="00063C99">
        <w:rPr>
          <w:i w:val="0"/>
          <w:sz w:val="20"/>
        </w:rPr>
        <w:t>del puntaje AUDIT por género</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278"/>
        <w:gridCol w:w="1356"/>
        <w:gridCol w:w="1145"/>
        <w:gridCol w:w="1531"/>
        <w:gridCol w:w="1311"/>
      </w:tblGrid>
      <w:tr w:rsidR="007A7320" w:rsidRPr="0036388B" w14:paraId="1CBD500A" w14:textId="77777777" w:rsidTr="00BC1648">
        <w:trPr>
          <w:jc w:val="center"/>
        </w:trPr>
        <w:tc>
          <w:tcPr>
            <w:tcW w:w="1256" w:type="dxa"/>
            <w:tcBorders>
              <w:top w:val="single" w:sz="4" w:space="0" w:color="auto"/>
              <w:bottom w:val="single" w:sz="4" w:space="0" w:color="auto"/>
            </w:tcBorders>
            <w:vAlign w:val="center"/>
          </w:tcPr>
          <w:p w14:paraId="2FA1759C" w14:textId="6EAB5BF1" w:rsidR="007A7320" w:rsidRPr="0036388B" w:rsidRDefault="007A7320" w:rsidP="00BC1648">
            <w:pPr>
              <w:spacing w:line="480" w:lineRule="auto"/>
              <w:ind w:firstLine="284"/>
              <w:jc w:val="center"/>
              <w:rPr>
                <w:b/>
                <w:sz w:val="20"/>
              </w:rPr>
            </w:pPr>
            <w:r w:rsidRPr="0036388B">
              <w:rPr>
                <w:b/>
                <w:sz w:val="20"/>
              </w:rPr>
              <w:t>Género</w:t>
            </w:r>
          </w:p>
        </w:tc>
        <w:tc>
          <w:tcPr>
            <w:tcW w:w="1278" w:type="dxa"/>
            <w:tcBorders>
              <w:top w:val="single" w:sz="4" w:space="0" w:color="auto"/>
              <w:bottom w:val="single" w:sz="4" w:space="0" w:color="auto"/>
            </w:tcBorders>
            <w:vAlign w:val="center"/>
          </w:tcPr>
          <w:p w14:paraId="4A52C024" w14:textId="69B714AF" w:rsidR="007A7320" w:rsidRPr="0036388B" w:rsidRDefault="007A7320" w:rsidP="00BC1648">
            <w:pPr>
              <w:spacing w:line="480" w:lineRule="auto"/>
              <w:ind w:firstLine="284"/>
              <w:jc w:val="center"/>
              <w:rPr>
                <w:b/>
                <w:sz w:val="20"/>
              </w:rPr>
            </w:pPr>
            <w:r w:rsidRPr="0036388B">
              <w:rPr>
                <w:b/>
                <w:sz w:val="20"/>
              </w:rPr>
              <w:t>Mínimo</w:t>
            </w:r>
          </w:p>
        </w:tc>
        <w:tc>
          <w:tcPr>
            <w:tcW w:w="1356" w:type="dxa"/>
            <w:tcBorders>
              <w:top w:val="single" w:sz="4" w:space="0" w:color="auto"/>
              <w:bottom w:val="single" w:sz="4" w:space="0" w:color="auto"/>
            </w:tcBorders>
            <w:vAlign w:val="center"/>
          </w:tcPr>
          <w:p w14:paraId="63A214F2" w14:textId="77777777" w:rsidR="007A7320" w:rsidRPr="0036388B" w:rsidRDefault="007A7320" w:rsidP="00BC1648">
            <w:pPr>
              <w:spacing w:line="480" w:lineRule="auto"/>
              <w:ind w:firstLine="284"/>
              <w:jc w:val="center"/>
              <w:rPr>
                <w:b/>
                <w:sz w:val="20"/>
              </w:rPr>
            </w:pPr>
            <w:r w:rsidRPr="0036388B">
              <w:rPr>
                <w:b/>
                <w:sz w:val="20"/>
              </w:rPr>
              <w:t>Mediana</w:t>
            </w:r>
          </w:p>
        </w:tc>
        <w:tc>
          <w:tcPr>
            <w:tcW w:w="1145" w:type="dxa"/>
            <w:tcBorders>
              <w:top w:val="single" w:sz="4" w:space="0" w:color="auto"/>
              <w:bottom w:val="single" w:sz="4" w:space="0" w:color="auto"/>
            </w:tcBorders>
            <w:vAlign w:val="center"/>
          </w:tcPr>
          <w:p w14:paraId="5C0A6905" w14:textId="77777777" w:rsidR="007A7320" w:rsidRPr="0036388B" w:rsidRDefault="007A7320" w:rsidP="00BC1648">
            <w:pPr>
              <w:spacing w:line="480" w:lineRule="auto"/>
              <w:ind w:firstLine="284"/>
              <w:jc w:val="center"/>
              <w:rPr>
                <w:b/>
                <w:sz w:val="20"/>
              </w:rPr>
            </w:pPr>
            <w:r w:rsidRPr="0036388B">
              <w:rPr>
                <w:b/>
                <w:sz w:val="20"/>
              </w:rPr>
              <w:t>Media</w:t>
            </w:r>
          </w:p>
        </w:tc>
        <w:tc>
          <w:tcPr>
            <w:tcW w:w="1531" w:type="dxa"/>
            <w:tcBorders>
              <w:top w:val="single" w:sz="4" w:space="0" w:color="auto"/>
              <w:bottom w:val="single" w:sz="4" w:space="0" w:color="auto"/>
            </w:tcBorders>
            <w:vAlign w:val="center"/>
          </w:tcPr>
          <w:p w14:paraId="4B2DEEBF" w14:textId="77777777" w:rsidR="00BC1648" w:rsidRDefault="007A7320" w:rsidP="00BC1648">
            <w:pPr>
              <w:spacing w:line="480" w:lineRule="auto"/>
              <w:ind w:firstLine="284"/>
              <w:jc w:val="center"/>
              <w:rPr>
                <w:b/>
                <w:sz w:val="20"/>
              </w:rPr>
            </w:pPr>
            <w:r w:rsidRPr="0036388B">
              <w:rPr>
                <w:b/>
                <w:sz w:val="20"/>
              </w:rPr>
              <w:t>Desviación</w:t>
            </w:r>
          </w:p>
          <w:p w14:paraId="166BCE3E" w14:textId="3C2CF153" w:rsidR="007A7320" w:rsidRPr="0036388B" w:rsidRDefault="007A7320" w:rsidP="00BC1648">
            <w:pPr>
              <w:spacing w:line="480" w:lineRule="auto"/>
              <w:ind w:firstLine="284"/>
              <w:jc w:val="center"/>
              <w:rPr>
                <w:b/>
                <w:sz w:val="20"/>
              </w:rPr>
            </w:pPr>
            <w:r w:rsidRPr="0036388B">
              <w:rPr>
                <w:b/>
                <w:sz w:val="20"/>
              </w:rPr>
              <w:t>estándar</w:t>
            </w:r>
          </w:p>
        </w:tc>
        <w:tc>
          <w:tcPr>
            <w:tcW w:w="1311" w:type="dxa"/>
            <w:tcBorders>
              <w:top w:val="single" w:sz="4" w:space="0" w:color="auto"/>
              <w:bottom w:val="single" w:sz="4" w:space="0" w:color="auto"/>
            </w:tcBorders>
            <w:vAlign w:val="center"/>
          </w:tcPr>
          <w:p w14:paraId="40D3E9CE" w14:textId="77777777" w:rsidR="007A7320" w:rsidRPr="0036388B" w:rsidRDefault="007A7320" w:rsidP="00BC1648">
            <w:pPr>
              <w:spacing w:line="480" w:lineRule="auto"/>
              <w:ind w:firstLine="284"/>
              <w:jc w:val="center"/>
              <w:rPr>
                <w:b/>
                <w:sz w:val="20"/>
              </w:rPr>
            </w:pPr>
            <w:r w:rsidRPr="0036388B">
              <w:rPr>
                <w:b/>
                <w:sz w:val="20"/>
              </w:rPr>
              <w:t>Máximo</w:t>
            </w:r>
          </w:p>
        </w:tc>
      </w:tr>
      <w:tr w:rsidR="007A7320" w:rsidRPr="0036388B" w14:paraId="5C8E2207" w14:textId="77777777" w:rsidTr="00BC1648">
        <w:trPr>
          <w:trHeight w:val="332"/>
          <w:jc w:val="center"/>
        </w:trPr>
        <w:tc>
          <w:tcPr>
            <w:tcW w:w="1256" w:type="dxa"/>
            <w:tcBorders>
              <w:top w:val="single" w:sz="4" w:space="0" w:color="auto"/>
              <w:bottom w:val="single" w:sz="4" w:space="0" w:color="auto"/>
            </w:tcBorders>
          </w:tcPr>
          <w:p w14:paraId="3BFA230A" w14:textId="326CB20C" w:rsidR="007A7320" w:rsidRPr="0036388B" w:rsidRDefault="007A7320" w:rsidP="005B7C9B">
            <w:pPr>
              <w:spacing w:line="480" w:lineRule="auto"/>
              <w:ind w:firstLine="284"/>
              <w:jc w:val="center"/>
              <w:rPr>
                <w:sz w:val="20"/>
              </w:rPr>
            </w:pPr>
            <w:r w:rsidRPr="0036388B">
              <w:rPr>
                <w:sz w:val="20"/>
              </w:rPr>
              <w:t>Hombre</w:t>
            </w:r>
          </w:p>
        </w:tc>
        <w:tc>
          <w:tcPr>
            <w:tcW w:w="1278" w:type="dxa"/>
            <w:tcBorders>
              <w:top w:val="single" w:sz="4" w:space="0" w:color="auto"/>
              <w:bottom w:val="single" w:sz="4" w:space="0" w:color="auto"/>
            </w:tcBorders>
            <w:vAlign w:val="center"/>
          </w:tcPr>
          <w:p w14:paraId="25B45F0F" w14:textId="6029BB0F" w:rsidR="007A7320" w:rsidRPr="0036388B" w:rsidRDefault="007A7320" w:rsidP="005B7C9B">
            <w:pPr>
              <w:spacing w:line="480" w:lineRule="auto"/>
              <w:ind w:firstLine="284"/>
              <w:jc w:val="center"/>
              <w:rPr>
                <w:sz w:val="20"/>
              </w:rPr>
            </w:pPr>
            <w:r w:rsidRPr="0036388B">
              <w:rPr>
                <w:sz w:val="20"/>
              </w:rPr>
              <w:t>0</w:t>
            </w:r>
          </w:p>
        </w:tc>
        <w:tc>
          <w:tcPr>
            <w:tcW w:w="1356" w:type="dxa"/>
            <w:tcBorders>
              <w:top w:val="single" w:sz="4" w:space="0" w:color="auto"/>
              <w:bottom w:val="single" w:sz="4" w:space="0" w:color="auto"/>
            </w:tcBorders>
            <w:vAlign w:val="center"/>
          </w:tcPr>
          <w:p w14:paraId="13AF8A9C" w14:textId="391380F3" w:rsidR="007A7320" w:rsidRPr="0036388B" w:rsidRDefault="007A7320" w:rsidP="005B7C9B">
            <w:pPr>
              <w:spacing w:line="480" w:lineRule="auto"/>
              <w:ind w:firstLine="284"/>
              <w:jc w:val="center"/>
              <w:rPr>
                <w:sz w:val="20"/>
              </w:rPr>
            </w:pPr>
            <w:r w:rsidRPr="0036388B">
              <w:rPr>
                <w:sz w:val="20"/>
              </w:rPr>
              <w:t>4</w:t>
            </w:r>
          </w:p>
        </w:tc>
        <w:tc>
          <w:tcPr>
            <w:tcW w:w="1145" w:type="dxa"/>
            <w:tcBorders>
              <w:top w:val="single" w:sz="4" w:space="0" w:color="auto"/>
              <w:bottom w:val="single" w:sz="4" w:space="0" w:color="auto"/>
            </w:tcBorders>
            <w:vAlign w:val="center"/>
          </w:tcPr>
          <w:p w14:paraId="50653313" w14:textId="56455A9E" w:rsidR="007A7320" w:rsidRPr="0036388B" w:rsidRDefault="007A7320" w:rsidP="005B7C9B">
            <w:pPr>
              <w:spacing w:line="480" w:lineRule="auto"/>
              <w:ind w:firstLine="284"/>
              <w:jc w:val="center"/>
              <w:rPr>
                <w:sz w:val="20"/>
              </w:rPr>
            </w:pPr>
            <w:r w:rsidRPr="0036388B">
              <w:rPr>
                <w:sz w:val="20"/>
              </w:rPr>
              <w:t>5.1</w:t>
            </w:r>
          </w:p>
        </w:tc>
        <w:tc>
          <w:tcPr>
            <w:tcW w:w="1531" w:type="dxa"/>
            <w:tcBorders>
              <w:top w:val="single" w:sz="4" w:space="0" w:color="auto"/>
              <w:bottom w:val="single" w:sz="4" w:space="0" w:color="auto"/>
            </w:tcBorders>
            <w:vAlign w:val="center"/>
          </w:tcPr>
          <w:p w14:paraId="556546C7" w14:textId="7D9D700B" w:rsidR="007A7320" w:rsidRPr="0036388B" w:rsidRDefault="007A7320" w:rsidP="005B7C9B">
            <w:pPr>
              <w:spacing w:line="480" w:lineRule="auto"/>
              <w:ind w:firstLine="284"/>
              <w:jc w:val="center"/>
              <w:rPr>
                <w:sz w:val="20"/>
              </w:rPr>
            </w:pPr>
            <w:r w:rsidRPr="0036388B">
              <w:rPr>
                <w:sz w:val="20"/>
              </w:rPr>
              <w:t>4.7</w:t>
            </w:r>
          </w:p>
        </w:tc>
        <w:tc>
          <w:tcPr>
            <w:tcW w:w="1311" w:type="dxa"/>
            <w:tcBorders>
              <w:top w:val="single" w:sz="4" w:space="0" w:color="auto"/>
              <w:bottom w:val="single" w:sz="4" w:space="0" w:color="auto"/>
            </w:tcBorders>
            <w:vAlign w:val="center"/>
          </w:tcPr>
          <w:p w14:paraId="29592932" w14:textId="77777777" w:rsidR="007A7320" w:rsidRPr="0036388B" w:rsidRDefault="007A7320" w:rsidP="005B7C9B">
            <w:pPr>
              <w:spacing w:line="480" w:lineRule="auto"/>
              <w:ind w:firstLine="284"/>
              <w:jc w:val="center"/>
              <w:rPr>
                <w:sz w:val="20"/>
              </w:rPr>
            </w:pPr>
            <w:r w:rsidRPr="0036388B">
              <w:rPr>
                <w:sz w:val="20"/>
              </w:rPr>
              <w:t>19</w:t>
            </w:r>
          </w:p>
        </w:tc>
      </w:tr>
      <w:tr w:rsidR="007A7320" w:rsidRPr="0036388B" w14:paraId="41534436" w14:textId="77777777" w:rsidTr="00BC1648">
        <w:trPr>
          <w:trHeight w:val="332"/>
          <w:jc w:val="center"/>
        </w:trPr>
        <w:tc>
          <w:tcPr>
            <w:tcW w:w="1256" w:type="dxa"/>
            <w:tcBorders>
              <w:top w:val="single" w:sz="4" w:space="0" w:color="auto"/>
              <w:bottom w:val="single" w:sz="4" w:space="0" w:color="auto"/>
            </w:tcBorders>
          </w:tcPr>
          <w:p w14:paraId="42B8B970" w14:textId="0EF73574" w:rsidR="007A7320" w:rsidRPr="0036388B" w:rsidRDefault="007A7320" w:rsidP="005B7C9B">
            <w:pPr>
              <w:spacing w:line="480" w:lineRule="auto"/>
              <w:ind w:firstLine="284"/>
              <w:jc w:val="center"/>
              <w:rPr>
                <w:sz w:val="20"/>
              </w:rPr>
            </w:pPr>
            <w:r w:rsidRPr="0036388B">
              <w:rPr>
                <w:sz w:val="20"/>
              </w:rPr>
              <w:t>Mujer</w:t>
            </w:r>
          </w:p>
        </w:tc>
        <w:tc>
          <w:tcPr>
            <w:tcW w:w="1278" w:type="dxa"/>
            <w:tcBorders>
              <w:top w:val="single" w:sz="4" w:space="0" w:color="auto"/>
              <w:bottom w:val="single" w:sz="4" w:space="0" w:color="auto"/>
            </w:tcBorders>
            <w:vAlign w:val="center"/>
          </w:tcPr>
          <w:p w14:paraId="43AECE89" w14:textId="40B57A73" w:rsidR="007A7320" w:rsidRPr="0036388B" w:rsidRDefault="004F7C09" w:rsidP="005B7C9B">
            <w:pPr>
              <w:spacing w:line="480" w:lineRule="auto"/>
              <w:ind w:firstLine="284"/>
              <w:jc w:val="center"/>
              <w:rPr>
                <w:sz w:val="20"/>
              </w:rPr>
            </w:pPr>
            <w:r w:rsidRPr="0036388B">
              <w:rPr>
                <w:sz w:val="20"/>
              </w:rPr>
              <w:t>0</w:t>
            </w:r>
          </w:p>
        </w:tc>
        <w:tc>
          <w:tcPr>
            <w:tcW w:w="1356" w:type="dxa"/>
            <w:tcBorders>
              <w:top w:val="single" w:sz="4" w:space="0" w:color="auto"/>
              <w:bottom w:val="single" w:sz="4" w:space="0" w:color="auto"/>
            </w:tcBorders>
            <w:vAlign w:val="center"/>
          </w:tcPr>
          <w:p w14:paraId="2436373C" w14:textId="0D27550A" w:rsidR="007A7320" w:rsidRPr="0036388B" w:rsidRDefault="004F7C09" w:rsidP="005B7C9B">
            <w:pPr>
              <w:spacing w:line="480" w:lineRule="auto"/>
              <w:ind w:firstLine="284"/>
              <w:jc w:val="center"/>
              <w:rPr>
                <w:sz w:val="20"/>
              </w:rPr>
            </w:pPr>
            <w:r w:rsidRPr="0036388B">
              <w:rPr>
                <w:sz w:val="20"/>
              </w:rPr>
              <w:t>3</w:t>
            </w:r>
          </w:p>
        </w:tc>
        <w:tc>
          <w:tcPr>
            <w:tcW w:w="1145" w:type="dxa"/>
            <w:tcBorders>
              <w:top w:val="single" w:sz="4" w:space="0" w:color="auto"/>
              <w:bottom w:val="single" w:sz="4" w:space="0" w:color="auto"/>
            </w:tcBorders>
            <w:vAlign w:val="center"/>
          </w:tcPr>
          <w:p w14:paraId="4EF1CDFD" w14:textId="38F60A25" w:rsidR="007A7320" w:rsidRPr="0036388B" w:rsidRDefault="004F7C09" w:rsidP="005B7C9B">
            <w:pPr>
              <w:spacing w:line="480" w:lineRule="auto"/>
              <w:ind w:firstLine="284"/>
              <w:jc w:val="center"/>
              <w:rPr>
                <w:sz w:val="20"/>
              </w:rPr>
            </w:pPr>
            <w:r w:rsidRPr="0036388B">
              <w:rPr>
                <w:sz w:val="20"/>
              </w:rPr>
              <w:t>3.5</w:t>
            </w:r>
          </w:p>
        </w:tc>
        <w:tc>
          <w:tcPr>
            <w:tcW w:w="1531" w:type="dxa"/>
            <w:tcBorders>
              <w:top w:val="single" w:sz="4" w:space="0" w:color="auto"/>
              <w:bottom w:val="single" w:sz="4" w:space="0" w:color="auto"/>
            </w:tcBorders>
            <w:vAlign w:val="center"/>
          </w:tcPr>
          <w:p w14:paraId="2D7850E8" w14:textId="51EFF90B" w:rsidR="007A7320" w:rsidRPr="0036388B" w:rsidRDefault="004F7C09" w:rsidP="005B7C9B">
            <w:pPr>
              <w:spacing w:line="480" w:lineRule="auto"/>
              <w:ind w:firstLine="284"/>
              <w:jc w:val="center"/>
              <w:rPr>
                <w:sz w:val="20"/>
              </w:rPr>
            </w:pPr>
            <w:r w:rsidRPr="0036388B">
              <w:rPr>
                <w:sz w:val="20"/>
              </w:rPr>
              <w:t>3.5</w:t>
            </w:r>
          </w:p>
        </w:tc>
        <w:tc>
          <w:tcPr>
            <w:tcW w:w="1311" w:type="dxa"/>
            <w:tcBorders>
              <w:top w:val="single" w:sz="4" w:space="0" w:color="auto"/>
              <w:bottom w:val="single" w:sz="4" w:space="0" w:color="auto"/>
            </w:tcBorders>
            <w:vAlign w:val="center"/>
          </w:tcPr>
          <w:p w14:paraId="7BC4A0A1" w14:textId="7E31FF66" w:rsidR="007A7320" w:rsidRPr="0036388B" w:rsidRDefault="004F7C09" w:rsidP="005B7C9B">
            <w:pPr>
              <w:spacing w:line="480" w:lineRule="auto"/>
              <w:ind w:firstLine="284"/>
              <w:jc w:val="center"/>
              <w:rPr>
                <w:sz w:val="20"/>
              </w:rPr>
            </w:pPr>
            <w:r w:rsidRPr="0036388B">
              <w:rPr>
                <w:sz w:val="20"/>
              </w:rPr>
              <w:t>17</w:t>
            </w:r>
          </w:p>
        </w:tc>
      </w:tr>
    </w:tbl>
    <w:p w14:paraId="3965A881" w14:textId="77777777" w:rsidR="007A7320" w:rsidRDefault="007A7320" w:rsidP="005B7C9B">
      <w:pPr>
        <w:autoSpaceDE w:val="0"/>
        <w:autoSpaceDN w:val="0"/>
        <w:adjustRightInd w:val="0"/>
        <w:spacing w:line="480" w:lineRule="auto"/>
        <w:ind w:firstLine="284"/>
        <w:jc w:val="both"/>
        <w:rPr>
          <w:rFonts w:eastAsiaTheme="minorEastAsia"/>
          <w:lang w:val="es-CO" w:eastAsia="ja-JP"/>
        </w:rPr>
      </w:pPr>
    </w:p>
    <w:p w14:paraId="5F692224" w14:textId="77777777" w:rsidR="002A30FC" w:rsidRDefault="00456D0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C825CD">
        <w:rPr>
          <w:rFonts w:eastAsiaTheme="minorEastAsia"/>
          <w:lang w:val="es-CO" w:eastAsia="ja-JP"/>
        </w:rPr>
        <w:t xml:space="preserve"> </w:t>
      </w:r>
      <w:r w:rsidR="00C825CD">
        <w:rPr>
          <w:lang w:val="es-CO"/>
        </w:rPr>
        <w:t>(</w:t>
      </w:r>
      <w:r w:rsidR="00C825CD">
        <w:rPr>
          <w:lang w:val="es-ES_tradnl"/>
        </w:rPr>
        <w:t xml:space="preserve">Siegel &amp; Castellan, </w:t>
      </w:r>
      <w:r w:rsidR="00C825CD" w:rsidRPr="00693651">
        <w:rPr>
          <w:lang w:val="es-ES_tradnl"/>
        </w:rPr>
        <w:t>1995)</w:t>
      </w:r>
      <w:r w:rsidR="00C825CD">
        <w:rPr>
          <w:lang w:val="es-ES_tradnl"/>
        </w:rPr>
        <w:t>.</w:t>
      </w:r>
      <w:r w:rsidR="00F74323">
        <w:rPr>
          <w:rFonts w:eastAsiaTheme="minorEastAsia"/>
          <w:lang w:val="es-CO" w:eastAsia="ja-JP"/>
        </w:rPr>
        <w:t xml:space="preserve"> Los resultados </w:t>
      </w:r>
      <w:r w:rsidR="00654A29">
        <w:rPr>
          <w:rFonts w:eastAsiaTheme="minorEastAsia"/>
          <w:lang w:val="es-CO" w:eastAsia="ja-JP"/>
        </w:rPr>
        <w:t xml:space="preserve">de </w:t>
      </w:r>
      <w:r w:rsidR="00654A29">
        <w:rPr>
          <w:rFonts w:eastAsiaTheme="minorEastAsia"/>
          <w:lang w:val="es-CO" w:eastAsia="ja-JP"/>
        </w:rPr>
        <w:lastRenderedPageBreak/>
        <w:t>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5F4FB217" w:rsidR="002B2DC8" w:rsidRDefault="008665F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xml:space="preserve">, esto para verificar </w:t>
      </w:r>
      <w:r w:rsidRPr="00C825CD">
        <w:rPr>
          <w:rFonts w:eastAsiaTheme="minorEastAsia"/>
          <w:lang w:val="es-CO" w:eastAsia="ja-JP"/>
        </w:rPr>
        <w:t>si existe un patrón de comportamiento inducido por la edad sobre la propensi</w:t>
      </w:r>
      <w:r w:rsidR="00C825CD">
        <w:rPr>
          <w:rFonts w:eastAsiaTheme="minorEastAsia"/>
          <w:lang w:val="es-CO" w:eastAsia="ja-JP"/>
        </w:rPr>
        <w:t>ón a presentar patrones de consumo de alcohol riesgoso o problemático.</w:t>
      </w:r>
      <w:r>
        <w:rPr>
          <w:rFonts w:eastAsiaTheme="minorEastAsia"/>
          <w:lang w:val="es-CO" w:eastAsia="ja-JP"/>
        </w:rPr>
        <w:t xml:space="preserve">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w:t>
      </w:r>
      <w:r w:rsidR="005E398F">
        <w:rPr>
          <w:rFonts w:eastAsiaTheme="minorEastAsia"/>
          <w:lang w:val="es-CO" w:eastAsia="ja-JP"/>
        </w:rPr>
        <w:t xml:space="preserve"> entre las variables de interés </w:t>
      </w:r>
      <w:r w:rsidR="00731A84">
        <w:rPr>
          <w:lang w:val="es-CO"/>
        </w:rPr>
        <w:t>(</w:t>
      </w:r>
      <w:r w:rsidR="00731A84">
        <w:rPr>
          <w:lang w:val="es-ES_tradnl"/>
        </w:rPr>
        <w:t xml:space="preserve">Siegel &amp; Castellan, </w:t>
      </w:r>
      <w:r w:rsidR="00731A84" w:rsidRPr="00693651">
        <w:rPr>
          <w:lang w:val="es-ES_tradnl"/>
        </w:rPr>
        <w:t>1995)</w:t>
      </w:r>
      <w:r w:rsidR="00731A84">
        <w:rPr>
          <w:lang w:val="es-ES_tradnl"/>
        </w:rPr>
        <w:t>.</w:t>
      </w:r>
    </w:p>
    <w:p w14:paraId="01BD8291" w14:textId="6FB3C859" w:rsidR="002B0C6B" w:rsidRPr="002B2DC8" w:rsidRDefault="008665F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En este sentido observando la Figura </w:t>
      </w:r>
      <w:r w:rsidR="00BC1648">
        <w:rPr>
          <w:rFonts w:eastAsiaTheme="minorEastAsia"/>
          <w:lang w:val="es-CO" w:eastAsia="ja-JP"/>
        </w:rPr>
        <w:t>7</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CO" w:eastAsia="es-CO"/>
        </w:rPr>
        <w:lastRenderedPageBreak/>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Pr="00BC1648" w:rsidRDefault="00526DC1" w:rsidP="005B7C9B">
      <w:pPr>
        <w:pStyle w:val="Caption"/>
        <w:spacing w:line="480" w:lineRule="auto"/>
        <w:ind w:firstLine="284"/>
        <w:jc w:val="center"/>
        <w:rPr>
          <w:rFonts w:eastAsiaTheme="minorEastAsia"/>
          <w:sz w:val="20"/>
          <w:lang w:val="es-CO" w:eastAsia="ja-JP"/>
        </w:rPr>
      </w:pPr>
      <w:bookmarkStart w:id="12" w:name="_Toc450578182"/>
      <w:r w:rsidRPr="00BC1648">
        <w:rPr>
          <w:sz w:val="20"/>
        </w:rPr>
        <w:t xml:space="preserve">Figura </w:t>
      </w:r>
      <w:r w:rsidRPr="00BC1648">
        <w:rPr>
          <w:sz w:val="20"/>
        </w:rPr>
        <w:fldChar w:fldCharType="begin"/>
      </w:r>
      <w:r w:rsidRPr="00BC1648">
        <w:rPr>
          <w:sz w:val="20"/>
        </w:rPr>
        <w:instrText xml:space="preserve"> SEQ Ilustración \* ARABIC </w:instrText>
      </w:r>
      <w:r w:rsidRPr="00BC1648">
        <w:rPr>
          <w:sz w:val="20"/>
        </w:rPr>
        <w:fldChar w:fldCharType="separate"/>
      </w:r>
      <w:r w:rsidR="003A2538">
        <w:rPr>
          <w:noProof/>
          <w:sz w:val="20"/>
        </w:rPr>
        <w:t>7</w:t>
      </w:r>
      <w:r w:rsidRPr="00BC1648">
        <w:rPr>
          <w:sz w:val="20"/>
        </w:rPr>
        <w:fldChar w:fldCharType="end"/>
      </w:r>
      <w:r w:rsidRPr="00BC1648">
        <w:rPr>
          <w:sz w:val="20"/>
        </w:rPr>
        <w:t xml:space="preserve">. </w:t>
      </w:r>
      <w:r w:rsidRPr="00BC1648">
        <w:rPr>
          <w:i w:val="0"/>
          <w:sz w:val="20"/>
        </w:rPr>
        <w:t>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bookmarkEnd w:id="12"/>
    </w:p>
    <w:p w14:paraId="0DC3C382" w14:textId="77777777" w:rsidR="005E398F" w:rsidRDefault="005E398F" w:rsidP="005B7C9B">
      <w:pPr>
        <w:autoSpaceDE w:val="0"/>
        <w:autoSpaceDN w:val="0"/>
        <w:adjustRightInd w:val="0"/>
        <w:spacing w:line="480" w:lineRule="auto"/>
        <w:ind w:firstLine="284"/>
        <w:jc w:val="both"/>
        <w:rPr>
          <w:rFonts w:eastAsiaTheme="minorEastAsia"/>
          <w:lang w:val="es-CO" w:eastAsia="ja-JP"/>
        </w:rPr>
      </w:pPr>
    </w:p>
    <w:p w14:paraId="703C4A19" w14:textId="7C026161" w:rsidR="00F64C32" w:rsidRDefault="00D11443" w:rsidP="00270E29">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Examinando los </w:t>
      </w:r>
      <w:r w:rsidR="004E497C">
        <w:rPr>
          <w:rFonts w:eastAsiaTheme="minorEastAsia"/>
          <w:lang w:val="es-CO" w:eastAsia="ja-JP"/>
        </w:rPr>
        <w:t>coeficientes estimados se presume</w:t>
      </w:r>
      <w:r>
        <w:rPr>
          <w:rFonts w:eastAsiaTheme="minorEastAsia"/>
          <w:lang w:val="es-CO" w:eastAsia="ja-JP"/>
        </w:rPr>
        <w:t xml:space="preserve">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4E497C">
        <w:rPr>
          <w:rFonts w:eastAsiaTheme="minorEastAsia"/>
          <w:lang w:val="es-CO" w:eastAsia="ja-JP"/>
        </w:rPr>
        <w:t xml:space="preserve"> de alcohol.</w:t>
      </w:r>
      <w:r w:rsidR="00941081">
        <w:rPr>
          <w:rFonts w:eastAsiaTheme="minorEastAsia"/>
          <w:lang w:val="es-CO" w:eastAsia="ja-JP"/>
        </w:rPr>
        <w:t xml:space="preserve"> </w:t>
      </w:r>
      <w:r w:rsidR="00941081" w:rsidRPr="004E497C">
        <w:rPr>
          <w:rFonts w:eastAsiaTheme="minorEastAsia"/>
          <w:lang w:val="es-CO" w:eastAsia="ja-JP"/>
        </w:rPr>
        <w:t>Esto puede ser un factor de riesgo a estudiar con mayor detalle, debido a que el periodo que abarca el fin de la adolescencia al inicio de la adultez está marcado por un mayor r</w:t>
      </w:r>
      <w:r w:rsidR="004E497C">
        <w:rPr>
          <w:rFonts w:eastAsiaTheme="minorEastAsia"/>
          <w:lang w:val="es-CO" w:eastAsia="ja-JP"/>
        </w:rPr>
        <w:t>iesgo a adquirir patrones de consumo de alcohol riesgoso o problemático,</w:t>
      </w:r>
      <w:r w:rsidR="00B50214" w:rsidRPr="004E497C">
        <w:rPr>
          <w:rFonts w:eastAsiaTheme="minorEastAsia"/>
          <w:lang w:val="es-CO" w:eastAsia="ja-JP"/>
        </w:rPr>
        <w:t xml:space="preserve"> pero a medida que aumenta la edad este riesgo tiende a disminuir</w:t>
      </w:r>
      <w:r w:rsidR="00941081" w:rsidRPr="004E497C">
        <w:rPr>
          <w:rFonts w:eastAsiaTheme="minorEastAsia"/>
          <w:lang w:val="es-CO" w:eastAsia="ja-JP"/>
        </w:rPr>
        <w:t>.</w:t>
      </w:r>
    </w:p>
    <w:p w14:paraId="0BAD67AD" w14:textId="10A0F10D" w:rsidR="00270E29" w:rsidRDefault="00270E29" w:rsidP="00270E29">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Examinando la influencia del género sobre el grupo de menores de edad, se observa que el patrón se conserva</w:t>
      </w:r>
      <w:r>
        <w:rPr>
          <w:rFonts w:eastAsiaTheme="minorEastAsia"/>
          <w:lang w:val="es-CO" w:eastAsia="ja-JP"/>
        </w:rPr>
        <w:t xml:space="preserve"> (ver Figura 8)</w:t>
      </w:r>
      <w:r>
        <w:rPr>
          <w:rFonts w:eastAsiaTheme="minorEastAsia"/>
          <w:lang w:val="es-CO" w:eastAsia="ja-JP"/>
        </w:rPr>
        <w:t>. Siendo el hecho de ser hombre lo que más incide al momento de tener un mayor nivel de riesgo.</w:t>
      </w:r>
    </w:p>
    <w:p w14:paraId="50D49E97" w14:textId="77777777" w:rsidR="00270E29" w:rsidRDefault="00270E29" w:rsidP="00270E29">
      <w:pPr>
        <w:autoSpaceDE w:val="0"/>
        <w:autoSpaceDN w:val="0"/>
        <w:adjustRightInd w:val="0"/>
        <w:spacing w:line="480" w:lineRule="auto"/>
        <w:jc w:val="both"/>
        <w:rPr>
          <w:rFonts w:eastAsiaTheme="minorEastAsia"/>
          <w:lang w:val="es-CO" w:eastAsia="ja-JP"/>
        </w:rPr>
      </w:pPr>
    </w:p>
    <w:p w14:paraId="5AB7C69D" w14:textId="77777777" w:rsidR="00270E29" w:rsidRDefault="00270E29" w:rsidP="00270E29">
      <w:pPr>
        <w:keepNext/>
        <w:autoSpaceDE w:val="0"/>
        <w:autoSpaceDN w:val="0"/>
        <w:adjustRightInd w:val="0"/>
        <w:jc w:val="center"/>
      </w:pPr>
      <w:r>
        <w:rPr>
          <w:rFonts w:eastAsiaTheme="minorEastAsia"/>
          <w:noProof/>
          <w:lang w:val="es-CO" w:eastAsia="es-CO"/>
        </w:rPr>
        <w:drawing>
          <wp:inline distT="0" distB="0" distL="0" distR="0" wp14:anchorId="75E48A36" wp14:editId="5B972789">
            <wp:extent cx="4565294" cy="3657600"/>
            <wp:effectExtent l="0" t="0" r="698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66F0B7A" w14:textId="054A0F18" w:rsidR="00270E29" w:rsidRPr="00270E29" w:rsidRDefault="00270E29" w:rsidP="00270E29">
      <w:pPr>
        <w:pStyle w:val="Caption"/>
        <w:jc w:val="center"/>
        <w:rPr>
          <w:rFonts w:eastAsiaTheme="minorEastAsia"/>
          <w:i w:val="0"/>
          <w:sz w:val="20"/>
          <w:lang w:val="es-CO" w:eastAsia="ja-JP"/>
        </w:rPr>
      </w:pPr>
      <w:bookmarkStart w:id="13" w:name="_Toc450578183"/>
      <w:r>
        <w:rPr>
          <w:sz w:val="20"/>
        </w:rPr>
        <w:t>Figura</w:t>
      </w:r>
      <w:r w:rsidRPr="00270E29">
        <w:rPr>
          <w:sz w:val="20"/>
        </w:rPr>
        <w:t xml:space="preserve"> </w:t>
      </w:r>
      <w:r w:rsidRPr="00270E29">
        <w:rPr>
          <w:sz w:val="20"/>
        </w:rPr>
        <w:fldChar w:fldCharType="begin"/>
      </w:r>
      <w:r w:rsidRPr="00270E29">
        <w:rPr>
          <w:sz w:val="20"/>
        </w:rPr>
        <w:instrText xml:space="preserve"> SEQ Ilustración \* ARABIC </w:instrText>
      </w:r>
      <w:r w:rsidRPr="00270E29">
        <w:rPr>
          <w:sz w:val="20"/>
        </w:rPr>
        <w:fldChar w:fldCharType="separate"/>
      </w:r>
      <w:r w:rsidR="003A2538">
        <w:rPr>
          <w:noProof/>
          <w:sz w:val="20"/>
        </w:rPr>
        <w:t>8</w:t>
      </w:r>
      <w:r w:rsidRPr="00270E29">
        <w:rPr>
          <w:sz w:val="20"/>
        </w:rPr>
        <w:fldChar w:fldCharType="end"/>
      </w:r>
      <w:r w:rsidRPr="00270E29">
        <w:rPr>
          <w:sz w:val="20"/>
        </w:rPr>
        <w:t>.</w:t>
      </w:r>
      <w:r>
        <w:rPr>
          <w:sz w:val="20"/>
        </w:rPr>
        <w:t xml:space="preserve"> </w:t>
      </w:r>
      <w:r w:rsidRPr="00270E29">
        <w:rPr>
          <w:i w:val="0"/>
          <w:sz w:val="20"/>
        </w:rPr>
        <w:t>Boxplot del puntaje AUDIT en función del género para los menores de edad</w:t>
      </w:r>
      <w:bookmarkEnd w:id="13"/>
    </w:p>
    <w:p w14:paraId="3D180091" w14:textId="77777777" w:rsidR="00270E29" w:rsidRDefault="00270E29" w:rsidP="00270E29">
      <w:pPr>
        <w:autoSpaceDE w:val="0"/>
        <w:autoSpaceDN w:val="0"/>
        <w:adjustRightInd w:val="0"/>
        <w:spacing w:line="480" w:lineRule="auto"/>
        <w:jc w:val="both"/>
        <w:rPr>
          <w:rFonts w:eastAsiaTheme="minorEastAsia"/>
          <w:lang w:val="es-CO" w:eastAsia="ja-JP"/>
        </w:rPr>
      </w:pPr>
    </w:p>
    <w:p w14:paraId="5CDA8BD2" w14:textId="77777777" w:rsidR="00270E29" w:rsidRDefault="00270E29" w:rsidP="00270E29">
      <w:pPr>
        <w:autoSpaceDE w:val="0"/>
        <w:autoSpaceDN w:val="0"/>
        <w:adjustRightInd w:val="0"/>
        <w:spacing w:line="480" w:lineRule="auto"/>
        <w:jc w:val="both"/>
        <w:rPr>
          <w:rFonts w:eastAsiaTheme="minorEastAsia"/>
          <w:lang w:val="es-CO" w:eastAsia="ja-JP"/>
        </w:rPr>
      </w:pPr>
      <w:r>
        <w:rPr>
          <w:rFonts w:eastAsiaTheme="minorEastAsia"/>
          <w:lang w:val="es-CO" w:eastAsia="ja-JP"/>
        </w:rPr>
        <w:t>Luego explorando las estadísticas descriptivas de este subgrupo compuesto por 53 hombres y 72 mujeres menores de edad se tiene:</w:t>
      </w:r>
    </w:p>
    <w:p w14:paraId="23D8D84E" w14:textId="77777777" w:rsidR="003D010B" w:rsidRDefault="003D010B" w:rsidP="00270E29">
      <w:pPr>
        <w:autoSpaceDE w:val="0"/>
        <w:autoSpaceDN w:val="0"/>
        <w:adjustRightInd w:val="0"/>
        <w:spacing w:line="480" w:lineRule="auto"/>
        <w:jc w:val="both"/>
        <w:rPr>
          <w:rFonts w:eastAsiaTheme="minorEastAsia"/>
          <w:lang w:val="es-CO" w:eastAsia="ja-JP"/>
        </w:rPr>
      </w:pPr>
    </w:p>
    <w:p w14:paraId="4732ECA0" w14:textId="69E42230" w:rsidR="00270E29" w:rsidRPr="00063C99" w:rsidRDefault="00270E29" w:rsidP="00270E29">
      <w:pPr>
        <w:pStyle w:val="Caption"/>
        <w:keepNext/>
        <w:jc w:val="center"/>
        <w:rPr>
          <w:sz w:val="20"/>
        </w:rPr>
      </w:pPr>
      <w:bookmarkStart w:id="14" w:name="_Toc450578292"/>
      <w:r w:rsidRPr="00063C99">
        <w:rPr>
          <w:sz w:val="20"/>
        </w:rPr>
        <w:t xml:space="preserve">Tabla </w:t>
      </w:r>
      <w:r w:rsidRPr="00063C99">
        <w:rPr>
          <w:sz w:val="20"/>
        </w:rPr>
        <w:fldChar w:fldCharType="begin"/>
      </w:r>
      <w:r w:rsidRPr="00063C99">
        <w:rPr>
          <w:sz w:val="20"/>
        </w:rPr>
        <w:instrText xml:space="preserve"> SEQ Tabla \* ARABIC </w:instrText>
      </w:r>
      <w:r w:rsidRPr="00063C99">
        <w:rPr>
          <w:sz w:val="20"/>
        </w:rPr>
        <w:fldChar w:fldCharType="separate"/>
      </w:r>
      <w:r w:rsidR="00E032D3">
        <w:rPr>
          <w:noProof/>
          <w:sz w:val="20"/>
        </w:rPr>
        <w:t>4</w:t>
      </w:r>
      <w:r w:rsidRPr="00063C99">
        <w:rPr>
          <w:sz w:val="20"/>
        </w:rPr>
        <w:fldChar w:fldCharType="end"/>
      </w:r>
      <w:r w:rsidRPr="00063C99">
        <w:rPr>
          <w:sz w:val="20"/>
        </w:rPr>
        <w:t xml:space="preserve">. </w:t>
      </w:r>
      <w:r w:rsidRPr="00063C99">
        <w:rPr>
          <w:i w:val="0"/>
          <w:sz w:val="20"/>
        </w:rPr>
        <w:t xml:space="preserve">Estadísticas descriptivas del puntaje AUDIT por género en el grupo de </w:t>
      </w:r>
      <w:r w:rsidR="00063C99">
        <w:rPr>
          <w:i w:val="0"/>
          <w:sz w:val="20"/>
        </w:rPr>
        <w:t>menores de edad</w:t>
      </w:r>
      <w:bookmarkEnd w:id="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94"/>
        <w:gridCol w:w="1072"/>
        <w:gridCol w:w="861"/>
        <w:gridCol w:w="1247"/>
        <w:gridCol w:w="1027"/>
      </w:tblGrid>
      <w:tr w:rsidR="00270E29" w:rsidRPr="00270E29" w14:paraId="549D7947" w14:textId="77777777" w:rsidTr="00270E29">
        <w:trPr>
          <w:jc w:val="center"/>
        </w:trPr>
        <w:tc>
          <w:tcPr>
            <w:tcW w:w="972" w:type="dxa"/>
            <w:tcBorders>
              <w:top w:val="single" w:sz="4" w:space="0" w:color="auto"/>
              <w:bottom w:val="single" w:sz="4" w:space="0" w:color="auto"/>
            </w:tcBorders>
            <w:vAlign w:val="center"/>
          </w:tcPr>
          <w:p w14:paraId="07ACA134" w14:textId="77777777" w:rsidR="00270E29" w:rsidRPr="00270E29" w:rsidRDefault="00270E29" w:rsidP="00270E29">
            <w:pPr>
              <w:spacing w:line="480" w:lineRule="auto"/>
              <w:jc w:val="center"/>
              <w:rPr>
                <w:b/>
                <w:sz w:val="20"/>
              </w:rPr>
            </w:pPr>
            <w:r w:rsidRPr="00270E29">
              <w:rPr>
                <w:b/>
                <w:sz w:val="20"/>
              </w:rPr>
              <w:t>Género</w:t>
            </w:r>
          </w:p>
        </w:tc>
        <w:tc>
          <w:tcPr>
            <w:tcW w:w="994" w:type="dxa"/>
            <w:tcBorders>
              <w:top w:val="single" w:sz="4" w:space="0" w:color="auto"/>
              <w:bottom w:val="single" w:sz="4" w:space="0" w:color="auto"/>
            </w:tcBorders>
            <w:vAlign w:val="center"/>
          </w:tcPr>
          <w:p w14:paraId="04B0EAA9" w14:textId="77777777" w:rsidR="00270E29" w:rsidRPr="00270E29" w:rsidRDefault="00270E29" w:rsidP="00270E29">
            <w:pPr>
              <w:spacing w:line="480" w:lineRule="auto"/>
              <w:jc w:val="center"/>
              <w:rPr>
                <w:b/>
                <w:sz w:val="20"/>
              </w:rPr>
            </w:pPr>
            <w:r w:rsidRPr="00270E29">
              <w:rPr>
                <w:b/>
                <w:sz w:val="20"/>
              </w:rPr>
              <w:t>Mínimo</w:t>
            </w:r>
          </w:p>
        </w:tc>
        <w:tc>
          <w:tcPr>
            <w:tcW w:w="1072" w:type="dxa"/>
            <w:tcBorders>
              <w:top w:val="single" w:sz="4" w:space="0" w:color="auto"/>
              <w:bottom w:val="single" w:sz="4" w:space="0" w:color="auto"/>
            </w:tcBorders>
            <w:vAlign w:val="center"/>
          </w:tcPr>
          <w:p w14:paraId="122713AA" w14:textId="77777777" w:rsidR="00270E29" w:rsidRPr="00270E29" w:rsidRDefault="00270E29" w:rsidP="00270E29">
            <w:pPr>
              <w:spacing w:line="480" w:lineRule="auto"/>
              <w:jc w:val="center"/>
              <w:rPr>
                <w:b/>
                <w:sz w:val="20"/>
              </w:rPr>
            </w:pPr>
            <w:r w:rsidRPr="00270E29">
              <w:rPr>
                <w:b/>
                <w:sz w:val="20"/>
              </w:rPr>
              <w:t>Mediana</w:t>
            </w:r>
          </w:p>
        </w:tc>
        <w:tc>
          <w:tcPr>
            <w:tcW w:w="861" w:type="dxa"/>
            <w:tcBorders>
              <w:top w:val="single" w:sz="4" w:space="0" w:color="auto"/>
              <w:bottom w:val="single" w:sz="4" w:space="0" w:color="auto"/>
            </w:tcBorders>
            <w:vAlign w:val="center"/>
          </w:tcPr>
          <w:p w14:paraId="002A1211" w14:textId="77777777" w:rsidR="00270E29" w:rsidRPr="00270E29" w:rsidRDefault="00270E29" w:rsidP="00270E29">
            <w:pPr>
              <w:spacing w:line="480" w:lineRule="auto"/>
              <w:jc w:val="center"/>
              <w:rPr>
                <w:b/>
                <w:sz w:val="20"/>
              </w:rPr>
            </w:pPr>
            <w:r w:rsidRPr="00270E29">
              <w:rPr>
                <w:b/>
                <w:sz w:val="20"/>
              </w:rPr>
              <w:t>Media</w:t>
            </w:r>
          </w:p>
        </w:tc>
        <w:tc>
          <w:tcPr>
            <w:tcW w:w="1247" w:type="dxa"/>
            <w:tcBorders>
              <w:top w:val="single" w:sz="4" w:space="0" w:color="auto"/>
              <w:bottom w:val="single" w:sz="4" w:space="0" w:color="auto"/>
            </w:tcBorders>
            <w:vAlign w:val="center"/>
          </w:tcPr>
          <w:p w14:paraId="3E3BE735" w14:textId="77777777" w:rsidR="00270E29" w:rsidRDefault="00270E29" w:rsidP="00270E29">
            <w:pPr>
              <w:spacing w:line="480" w:lineRule="auto"/>
              <w:jc w:val="center"/>
              <w:rPr>
                <w:b/>
                <w:sz w:val="20"/>
              </w:rPr>
            </w:pPr>
            <w:r w:rsidRPr="00270E29">
              <w:rPr>
                <w:b/>
                <w:sz w:val="20"/>
              </w:rPr>
              <w:t>Desviación</w:t>
            </w:r>
          </w:p>
          <w:p w14:paraId="6903B738" w14:textId="1B21C216" w:rsidR="00270E29" w:rsidRPr="00270E29" w:rsidRDefault="00270E29" w:rsidP="00270E29">
            <w:pPr>
              <w:spacing w:line="480" w:lineRule="auto"/>
              <w:jc w:val="center"/>
              <w:rPr>
                <w:b/>
                <w:sz w:val="20"/>
              </w:rPr>
            </w:pPr>
            <w:r w:rsidRPr="00270E29">
              <w:rPr>
                <w:b/>
                <w:sz w:val="20"/>
              </w:rPr>
              <w:t>estándar</w:t>
            </w:r>
          </w:p>
        </w:tc>
        <w:tc>
          <w:tcPr>
            <w:tcW w:w="1027" w:type="dxa"/>
            <w:tcBorders>
              <w:top w:val="single" w:sz="4" w:space="0" w:color="auto"/>
              <w:bottom w:val="single" w:sz="4" w:space="0" w:color="auto"/>
            </w:tcBorders>
            <w:vAlign w:val="center"/>
          </w:tcPr>
          <w:p w14:paraId="4E98BD28" w14:textId="77777777" w:rsidR="00270E29" w:rsidRPr="00270E29" w:rsidRDefault="00270E29" w:rsidP="00270E29">
            <w:pPr>
              <w:spacing w:line="480" w:lineRule="auto"/>
              <w:jc w:val="center"/>
              <w:rPr>
                <w:b/>
                <w:sz w:val="20"/>
              </w:rPr>
            </w:pPr>
            <w:r w:rsidRPr="00270E29">
              <w:rPr>
                <w:b/>
                <w:sz w:val="20"/>
              </w:rPr>
              <w:t>Máximo</w:t>
            </w:r>
          </w:p>
        </w:tc>
      </w:tr>
      <w:tr w:rsidR="00270E29" w:rsidRPr="00270E29" w14:paraId="21AB2781" w14:textId="77777777" w:rsidTr="00E75DA6">
        <w:trPr>
          <w:trHeight w:val="332"/>
          <w:jc w:val="center"/>
        </w:trPr>
        <w:tc>
          <w:tcPr>
            <w:tcW w:w="972" w:type="dxa"/>
            <w:tcBorders>
              <w:top w:val="single" w:sz="4" w:space="0" w:color="auto"/>
              <w:bottom w:val="single" w:sz="4" w:space="0" w:color="auto"/>
            </w:tcBorders>
            <w:vAlign w:val="center"/>
          </w:tcPr>
          <w:p w14:paraId="38427927" w14:textId="77777777" w:rsidR="00270E29" w:rsidRPr="00270E29" w:rsidRDefault="00270E29" w:rsidP="00E75DA6">
            <w:pPr>
              <w:spacing w:line="480" w:lineRule="auto"/>
              <w:jc w:val="center"/>
              <w:rPr>
                <w:sz w:val="20"/>
              </w:rPr>
            </w:pPr>
            <w:r w:rsidRPr="00270E29">
              <w:rPr>
                <w:sz w:val="20"/>
              </w:rPr>
              <w:t>Hombre</w:t>
            </w:r>
          </w:p>
        </w:tc>
        <w:tc>
          <w:tcPr>
            <w:tcW w:w="994" w:type="dxa"/>
            <w:tcBorders>
              <w:top w:val="single" w:sz="4" w:space="0" w:color="auto"/>
              <w:bottom w:val="single" w:sz="4" w:space="0" w:color="auto"/>
            </w:tcBorders>
            <w:vAlign w:val="center"/>
          </w:tcPr>
          <w:p w14:paraId="692E9745" w14:textId="77777777" w:rsidR="00270E29" w:rsidRPr="00270E29" w:rsidRDefault="00270E29" w:rsidP="00E75DA6">
            <w:pPr>
              <w:spacing w:line="480" w:lineRule="auto"/>
              <w:jc w:val="center"/>
              <w:rPr>
                <w:sz w:val="20"/>
              </w:rPr>
            </w:pPr>
            <w:r w:rsidRPr="00270E29">
              <w:rPr>
                <w:sz w:val="20"/>
              </w:rPr>
              <w:t>0</w:t>
            </w:r>
          </w:p>
        </w:tc>
        <w:tc>
          <w:tcPr>
            <w:tcW w:w="1072" w:type="dxa"/>
            <w:tcBorders>
              <w:top w:val="single" w:sz="4" w:space="0" w:color="auto"/>
              <w:bottom w:val="single" w:sz="4" w:space="0" w:color="auto"/>
            </w:tcBorders>
            <w:vAlign w:val="center"/>
          </w:tcPr>
          <w:p w14:paraId="3B6E248F" w14:textId="77777777" w:rsidR="00270E29" w:rsidRPr="00270E29" w:rsidRDefault="00270E29" w:rsidP="00E75DA6">
            <w:pPr>
              <w:spacing w:line="480" w:lineRule="auto"/>
              <w:jc w:val="center"/>
              <w:rPr>
                <w:sz w:val="20"/>
              </w:rPr>
            </w:pPr>
            <w:r w:rsidRPr="00270E29">
              <w:rPr>
                <w:sz w:val="20"/>
              </w:rPr>
              <w:t>4</w:t>
            </w:r>
          </w:p>
        </w:tc>
        <w:tc>
          <w:tcPr>
            <w:tcW w:w="861" w:type="dxa"/>
            <w:tcBorders>
              <w:top w:val="single" w:sz="4" w:space="0" w:color="auto"/>
              <w:bottom w:val="single" w:sz="4" w:space="0" w:color="auto"/>
            </w:tcBorders>
            <w:vAlign w:val="center"/>
          </w:tcPr>
          <w:p w14:paraId="0B7D4A69" w14:textId="77777777" w:rsidR="00270E29" w:rsidRPr="00270E29" w:rsidRDefault="00270E29" w:rsidP="00E75DA6">
            <w:pPr>
              <w:spacing w:line="480" w:lineRule="auto"/>
              <w:jc w:val="center"/>
              <w:rPr>
                <w:sz w:val="20"/>
              </w:rPr>
            </w:pPr>
            <w:r w:rsidRPr="00270E29">
              <w:rPr>
                <w:sz w:val="20"/>
              </w:rPr>
              <w:t>5.1</w:t>
            </w:r>
          </w:p>
        </w:tc>
        <w:tc>
          <w:tcPr>
            <w:tcW w:w="1247" w:type="dxa"/>
            <w:tcBorders>
              <w:top w:val="single" w:sz="4" w:space="0" w:color="auto"/>
              <w:bottom w:val="single" w:sz="4" w:space="0" w:color="auto"/>
            </w:tcBorders>
            <w:vAlign w:val="center"/>
          </w:tcPr>
          <w:p w14:paraId="609C440E" w14:textId="77777777" w:rsidR="00270E29" w:rsidRPr="00270E29" w:rsidRDefault="00270E29" w:rsidP="00E75DA6">
            <w:pPr>
              <w:spacing w:line="480" w:lineRule="auto"/>
              <w:jc w:val="center"/>
              <w:rPr>
                <w:sz w:val="20"/>
              </w:rPr>
            </w:pPr>
            <w:r w:rsidRPr="00270E29">
              <w:rPr>
                <w:sz w:val="20"/>
              </w:rPr>
              <w:t>5.1</w:t>
            </w:r>
          </w:p>
        </w:tc>
        <w:tc>
          <w:tcPr>
            <w:tcW w:w="1027" w:type="dxa"/>
            <w:tcBorders>
              <w:top w:val="single" w:sz="4" w:space="0" w:color="auto"/>
              <w:bottom w:val="single" w:sz="4" w:space="0" w:color="auto"/>
            </w:tcBorders>
            <w:vAlign w:val="center"/>
          </w:tcPr>
          <w:p w14:paraId="65EBC9D7" w14:textId="77777777" w:rsidR="00270E29" w:rsidRPr="00270E29" w:rsidRDefault="00270E29" w:rsidP="00E75DA6">
            <w:pPr>
              <w:spacing w:line="480" w:lineRule="auto"/>
              <w:jc w:val="center"/>
              <w:rPr>
                <w:sz w:val="20"/>
              </w:rPr>
            </w:pPr>
            <w:r w:rsidRPr="00270E29">
              <w:rPr>
                <w:sz w:val="20"/>
              </w:rPr>
              <w:t>19</w:t>
            </w:r>
          </w:p>
        </w:tc>
      </w:tr>
      <w:tr w:rsidR="00270E29" w:rsidRPr="00270E29" w14:paraId="70960543" w14:textId="77777777" w:rsidTr="00E75DA6">
        <w:trPr>
          <w:trHeight w:val="332"/>
          <w:jc w:val="center"/>
        </w:trPr>
        <w:tc>
          <w:tcPr>
            <w:tcW w:w="972" w:type="dxa"/>
            <w:tcBorders>
              <w:top w:val="single" w:sz="4" w:space="0" w:color="auto"/>
              <w:bottom w:val="single" w:sz="4" w:space="0" w:color="auto"/>
            </w:tcBorders>
            <w:vAlign w:val="center"/>
          </w:tcPr>
          <w:p w14:paraId="3E175701" w14:textId="77777777" w:rsidR="00270E29" w:rsidRPr="00270E29" w:rsidRDefault="00270E29" w:rsidP="00E75DA6">
            <w:pPr>
              <w:spacing w:line="480" w:lineRule="auto"/>
              <w:jc w:val="center"/>
              <w:rPr>
                <w:sz w:val="20"/>
              </w:rPr>
            </w:pPr>
            <w:r w:rsidRPr="00270E29">
              <w:rPr>
                <w:sz w:val="20"/>
              </w:rPr>
              <w:t>Mujer</w:t>
            </w:r>
          </w:p>
        </w:tc>
        <w:tc>
          <w:tcPr>
            <w:tcW w:w="994" w:type="dxa"/>
            <w:tcBorders>
              <w:top w:val="single" w:sz="4" w:space="0" w:color="auto"/>
              <w:bottom w:val="single" w:sz="4" w:space="0" w:color="auto"/>
            </w:tcBorders>
            <w:vAlign w:val="center"/>
          </w:tcPr>
          <w:p w14:paraId="2071A4B8" w14:textId="77777777" w:rsidR="00270E29" w:rsidRPr="00270E29" w:rsidRDefault="00270E29" w:rsidP="00E75DA6">
            <w:pPr>
              <w:spacing w:line="480" w:lineRule="auto"/>
              <w:jc w:val="center"/>
              <w:rPr>
                <w:sz w:val="20"/>
              </w:rPr>
            </w:pPr>
            <w:r w:rsidRPr="00270E29">
              <w:rPr>
                <w:sz w:val="20"/>
              </w:rPr>
              <w:t>0</w:t>
            </w:r>
          </w:p>
        </w:tc>
        <w:tc>
          <w:tcPr>
            <w:tcW w:w="1072" w:type="dxa"/>
            <w:tcBorders>
              <w:top w:val="single" w:sz="4" w:space="0" w:color="auto"/>
              <w:bottom w:val="single" w:sz="4" w:space="0" w:color="auto"/>
            </w:tcBorders>
            <w:vAlign w:val="center"/>
          </w:tcPr>
          <w:p w14:paraId="42C8FB23" w14:textId="77777777" w:rsidR="00270E29" w:rsidRPr="00270E29" w:rsidRDefault="00270E29" w:rsidP="00E75DA6">
            <w:pPr>
              <w:spacing w:line="480" w:lineRule="auto"/>
              <w:jc w:val="center"/>
              <w:rPr>
                <w:sz w:val="20"/>
              </w:rPr>
            </w:pPr>
            <w:r w:rsidRPr="00270E29">
              <w:rPr>
                <w:sz w:val="20"/>
              </w:rPr>
              <w:t>2</w:t>
            </w:r>
          </w:p>
        </w:tc>
        <w:tc>
          <w:tcPr>
            <w:tcW w:w="861" w:type="dxa"/>
            <w:tcBorders>
              <w:top w:val="single" w:sz="4" w:space="0" w:color="auto"/>
              <w:bottom w:val="single" w:sz="4" w:space="0" w:color="auto"/>
            </w:tcBorders>
            <w:vAlign w:val="center"/>
          </w:tcPr>
          <w:p w14:paraId="335754D1" w14:textId="77777777" w:rsidR="00270E29" w:rsidRPr="00270E29" w:rsidRDefault="00270E29" w:rsidP="00E75DA6">
            <w:pPr>
              <w:spacing w:line="480" w:lineRule="auto"/>
              <w:jc w:val="center"/>
              <w:rPr>
                <w:sz w:val="20"/>
              </w:rPr>
            </w:pPr>
            <w:r w:rsidRPr="00270E29">
              <w:rPr>
                <w:sz w:val="20"/>
              </w:rPr>
              <w:t>3.0</w:t>
            </w:r>
          </w:p>
        </w:tc>
        <w:tc>
          <w:tcPr>
            <w:tcW w:w="1247" w:type="dxa"/>
            <w:tcBorders>
              <w:top w:val="single" w:sz="4" w:space="0" w:color="auto"/>
              <w:bottom w:val="single" w:sz="4" w:space="0" w:color="auto"/>
            </w:tcBorders>
            <w:vAlign w:val="center"/>
          </w:tcPr>
          <w:p w14:paraId="385DAD5E" w14:textId="77777777" w:rsidR="00270E29" w:rsidRPr="00270E29" w:rsidRDefault="00270E29" w:rsidP="00E75DA6">
            <w:pPr>
              <w:spacing w:line="480" w:lineRule="auto"/>
              <w:jc w:val="center"/>
              <w:rPr>
                <w:sz w:val="20"/>
              </w:rPr>
            </w:pPr>
            <w:r w:rsidRPr="00270E29">
              <w:rPr>
                <w:sz w:val="20"/>
              </w:rPr>
              <w:t>3.6</w:t>
            </w:r>
          </w:p>
        </w:tc>
        <w:tc>
          <w:tcPr>
            <w:tcW w:w="1027" w:type="dxa"/>
            <w:tcBorders>
              <w:top w:val="single" w:sz="4" w:space="0" w:color="auto"/>
              <w:bottom w:val="single" w:sz="4" w:space="0" w:color="auto"/>
            </w:tcBorders>
            <w:vAlign w:val="center"/>
          </w:tcPr>
          <w:p w14:paraId="7CD0C803" w14:textId="77777777" w:rsidR="00270E29" w:rsidRPr="00270E29" w:rsidRDefault="00270E29" w:rsidP="00E75DA6">
            <w:pPr>
              <w:spacing w:line="480" w:lineRule="auto"/>
              <w:jc w:val="center"/>
              <w:rPr>
                <w:sz w:val="20"/>
              </w:rPr>
            </w:pPr>
            <w:r w:rsidRPr="00270E29">
              <w:rPr>
                <w:sz w:val="20"/>
              </w:rPr>
              <w:t>17</w:t>
            </w:r>
          </w:p>
        </w:tc>
      </w:tr>
    </w:tbl>
    <w:p w14:paraId="4654C404" w14:textId="77777777" w:rsidR="00270E29" w:rsidRDefault="00270E29" w:rsidP="00270E29">
      <w:pPr>
        <w:autoSpaceDE w:val="0"/>
        <w:autoSpaceDN w:val="0"/>
        <w:adjustRightInd w:val="0"/>
        <w:spacing w:line="480" w:lineRule="auto"/>
        <w:jc w:val="both"/>
        <w:rPr>
          <w:rFonts w:eastAsiaTheme="minorEastAsia"/>
          <w:lang w:val="es-CO" w:eastAsia="ja-JP"/>
        </w:rPr>
      </w:pPr>
    </w:p>
    <w:p w14:paraId="3CF09DDA" w14:textId="70007AA1" w:rsidR="00270E29" w:rsidRDefault="00270E29" w:rsidP="00270E29">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Al igual que en las estadísticas</w:t>
      </w:r>
      <w:r w:rsidR="003D010B">
        <w:rPr>
          <w:rFonts w:eastAsiaTheme="minorEastAsia"/>
          <w:lang w:val="es-CO" w:eastAsia="ja-JP"/>
        </w:rPr>
        <w:t xml:space="preserve"> descriptivas</w:t>
      </w:r>
      <w:r>
        <w:rPr>
          <w:rFonts w:eastAsiaTheme="minorEastAsia"/>
          <w:lang w:val="es-CO" w:eastAsia="ja-JP"/>
        </w:rPr>
        <w:t xml:space="preserve"> generales, los valores mínimo y máximo se conservan, no obstante analizando la mediana se tiene que esta se dobla para los hombres menores de edad en comparación con el grupo de mujeres</w:t>
      </w:r>
      <w:r w:rsidR="00063C99">
        <w:rPr>
          <w:rFonts w:eastAsiaTheme="minorEastAsia"/>
          <w:lang w:val="es-CO" w:eastAsia="ja-JP"/>
        </w:rPr>
        <w:t>, ver Tabla 4</w:t>
      </w:r>
      <w:r>
        <w:rPr>
          <w:rFonts w:eastAsiaTheme="minorEastAsia"/>
          <w:lang w:val="es-CO" w:eastAsia="ja-JP"/>
        </w:rPr>
        <w:t>.</w:t>
      </w:r>
    </w:p>
    <w:p w14:paraId="53F39080" w14:textId="2387DAEF" w:rsidR="00F64C32" w:rsidRPr="003F563F" w:rsidRDefault="003F563F" w:rsidP="005B7C9B">
      <w:pPr>
        <w:autoSpaceDE w:val="0"/>
        <w:autoSpaceDN w:val="0"/>
        <w:adjustRightInd w:val="0"/>
        <w:spacing w:line="480" w:lineRule="auto"/>
        <w:ind w:firstLine="284"/>
        <w:jc w:val="both"/>
      </w:pPr>
      <w:r>
        <w:rPr>
          <w:rFonts w:eastAsiaTheme="minorEastAsia"/>
          <w:lang w:val="es-CO" w:eastAsia="ja-JP"/>
        </w:rPr>
        <w:t xml:space="preserve">Continuando con el </w:t>
      </w:r>
      <w:r w:rsidR="00BF6ED1">
        <w:rPr>
          <w:rFonts w:eastAsiaTheme="minorEastAsia"/>
          <w:lang w:val="es-CO" w:eastAsia="ja-JP"/>
        </w:rPr>
        <w:t>análisis</w:t>
      </w:r>
      <w:r>
        <w:rPr>
          <w:rFonts w:eastAsiaTheme="minorEastAsia"/>
          <w:lang w:val="es-CO" w:eastAsia="ja-JP"/>
        </w:rPr>
        <w:t xml:space="preserve"> de este subgrupo de la población se </w:t>
      </w:r>
      <w:r w:rsidR="00F64C32" w:rsidRPr="003F563F">
        <w:t>encontró que del total de menores de edad (</w:t>
      </w:r>
      <w:r>
        <w:t>ver Figura 1</w:t>
      </w:r>
      <w:r w:rsidR="00F64C32" w:rsidRPr="003F563F">
        <w:t xml:space="preserve">), el 25.19% no han consumido alcohol en sus vidas de los cuales 13 sujetos son hombres y 20 son mujeres. En cuanto a los hombres menores de edad, el 24.5% tienen un puntaje total AUDIT </w:t>
      </w:r>
      <w:r w:rsidR="00F64C32" w:rsidRPr="003F563F">
        <w:sym w:font="Symbol" w:char="F0B3"/>
      </w:r>
      <w:r w:rsidR="00F64C32" w:rsidRPr="003F563F">
        <w:t xml:space="preserve">8 y en las mujeres un 15.3% tienen un puntaje total AUDIT </w:t>
      </w:r>
      <w:r w:rsidR="00F64C32" w:rsidRPr="003F563F">
        <w:sym w:font="Symbol" w:char="F0B3"/>
      </w:r>
      <w:r w:rsidR="00F64C32" w:rsidRPr="003F563F">
        <w:t>7. Siendo más específicos, para los hombres menores de edad se encontró que el 19% tienen un patrón de consumo de riesgo, el 6% tienen un patrón de consumo perjudicial y no se encuentra ningún participante que tenga un patrón de consumo de dependencia. En cuanto a las mujeres, se encontró que el 8.33% tienen un patrón de consumo de riesgo, el 2.78% tienen un patrón de consumo perjudicial y tampoco se encuentra ninguna participante que tenga un pat</w:t>
      </w:r>
      <w:r>
        <w:t>rón de consumo de dependencia.</w:t>
      </w:r>
    </w:p>
    <w:p w14:paraId="44440B22" w14:textId="39164286" w:rsidR="00384C55" w:rsidRDefault="00AE0FCE"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5E398F">
        <w:rPr>
          <w:rFonts w:eastAsiaTheme="minorEastAsia"/>
          <w:lang w:val="es-CO" w:eastAsia="ja-JP"/>
        </w:rPr>
        <w:t>de riesgo es la</w:t>
      </w:r>
      <w:r w:rsidR="00384C55">
        <w:rPr>
          <w:rFonts w:eastAsiaTheme="minorEastAsia"/>
          <w:lang w:val="es-CO" w:eastAsia="ja-JP"/>
        </w:rPr>
        <w:t xml:space="preserve"> carrera a la cual pertenec</w:t>
      </w:r>
      <w:r>
        <w:rPr>
          <w:rFonts w:eastAsiaTheme="minorEastAsia"/>
          <w:lang w:val="es-CO" w:eastAsia="ja-JP"/>
        </w:rPr>
        <w:t>e</w:t>
      </w:r>
      <w:r w:rsidR="00092881">
        <w:rPr>
          <w:rFonts w:eastAsiaTheme="minorEastAsia"/>
          <w:lang w:val="es-CO" w:eastAsia="ja-JP"/>
        </w:rPr>
        <w:t xml:space="preserve"> el encuestado</w:t>
      </w:r>
      <w:r w:rsidR="005E398F">
        <w:rPr>
          <w:rFonts w:eastAsiaTheme="minorEastAsia"/>
          <w:lang w:val="es-CO" w:eastAsia="ja-JP"/>
        </w:rPr>
        <w:t xml:space="preserve">. Este factor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w:t>
      </w:r>
      <w:r w:rsidR="004E497C">
        <w:rPr>
          <w:lang w:val="es-CO"/>
        </w:rPr>
        <w:t>(</w:t>
      </w:r>
      <w:r w:rsidR="004E497C">
        <w:rPr>
          <w:lang w:val="es-ES_tradnl"/>
        </w:rPr>
        <w:t xml:space="preserve">Siegel &amp; Castellan, </w:t>
      </w:r>
      <w:r w:rsidR="004E497C" w:rsidRPr="00693651">
        <w:rPr>
          <w:lang w:val="es-ES_tradnl"/>
        </w:rPr>
        <w:t>1995)</w:t>
      </w:r>
      <w:r w:rsidR="004E497C">
        <w:rPr>
          <w:lang w:val="es-ES_tradnl"/>
        </w:rPr>
        <w:t xml:space="preserve">, </w:t>
      </w:r>
      <w:r w:rsidR="00384C55">
        <w:rPr>
          <w:rFonts w:eastAsiaTheme="minorEastAsia"/>
          <w:lang w:val="es-CO" w:eastAsia="ja-JP"/>
        </w:rPr>
        <w:t>con</w:t>
      </w:r>
      <w:r w:rsidR="004E497C">
        <w:rPr>
          <w:rFonts w:eastAsiaTheme="minorEastAsia"/>
          <w:lang w:val="es-CO" w:eastAsia="ja-JP"/>
        </w:rPr>
        <w:t xml:space="preserve"> el fin de</w:t>
      </w:r>
      <w:r w:rsidR="00384C55">
        <w:rPr>
          <w:rFonts w:eastAsiaTheme="minorEastAsia"/>
          <w:lang w:val="es-CO" w:eastAsia="ja-JP"/>
        </w:rPr>
        <w:t xml:space="preserve">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F53D7B">
        <w:rPr>
          <w:rFonts w:eastAsiaTheme="minorEastAsia"/>
          <w:lang w:val="es-CO" w:eastAsia="ja-JP"/>
        </w:rPr>
        <w:t>9</w:t>
      </w:r>
      <w:r w:rsidR="009A5584">
        <w:rPr>
          <w:rFonts w:eastAsiaTheme="minorEastAsia"/>
          <w:lang w:val="es-CO" w:eastAsia="ja-JP"/>
        </w:rPr>
        <w:t>.</w:t>
      </w:r>
    </w:p>
    <w:p w14:paraId="09DA75B3" w14:textId="77777777" w:rsidR="0085525D" w:rsidRDefault="0085525D" w:rsidP="005B7C9B">
      <w:pPr>
        <w:autoSpaceDE w:val="0"/>
        <w:autoSpaceDN w:val="0"/>
        <w:adjustRightInd w:val="0"/>
        <w:spacing w:line="480" w:lineRule="auto"/>
        <w:ind w:firstLine="284"/>
        <w:jc w:val="both"/>
        <w:rPr>
          <w:rFonts w:eastAsiaTheme="minorEastAsia"/>
          <w:lang w:val="es-CO" w:eastAsia="ja-JP"/>
        </w:rPr>
      </w:pPr>
    </w:p>
    <w:p w14:paraId="678FF8C5" w14:textId="69A14A74" w:rsidR="004C3B65" w:rsidRPr="008A08D7" w:rsidRDefault="00D15778" w:rsidP="005B7C9B">
      <w:pPr>
        <w:autoSpaceDE w:val="0"/>
        <w:autoSpaceDN w:val="0"/>
        <w:adjustRightInd w:val="0"/>
        <w:spacing w:line="480" w:lineRule="auto"/>
        <w:ind w:firstLine="284"/>
        <w:jc w:val="center"/>
        <w:rPr>
          <w:rFonts w:eastAsiaTheme="minorEastAsia"/>
          <w:lang w:val="es-CO" w:eastAsia="ja-JP"/>
        </w:rPr>
      </w:pPr>
      <w:r>
        <w:rPr>
          <w:rFonts w:eastAsiaTheme="minorEastAsia"/>
          <w:noProof/>
          <w:lang w:val="es-CO" w:eastAsia="es-CO"/>
        </w:rPr>
        <w:lastRenderedPageBreak/>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F53D7B" w:rsidRDefault="004F1666" w:rsidP="005B7C9B">
      <w:pPr>
        <w:pStyle w:val="Caption"/>
        <w:spacing w:line="480" w:lineRule="auto"/>
        <w:ind w:firstLine="284"/>
        <w:jc w:val="center"/>
        <w:outlineLvl w:val="0"/>
        <w:rPr>
          <w:sz w:val="20"/>
        </w:rPr>
      </w:pPr>
      <w:bookmarkStart w:id="15" w:name="_Toc450578184"/>
      <w:r w:rsidRPr="00F53D7B">
        <w:rPr>
          <w:sz w:val="20"/>
        </w:rPr>
        <w:t>Figura</w:t>
      </w:r>
      <w:r w:rsidR="004C3B65" w:rsidRPr="00F53D7B">
        <w:rPr>
          <w:sz w:val="20"/>
        </w:rPr>
        <w:t xml:space="preserve"> </w:t>
      </w:r>
      <w:r w:rsidR="004C3B65" w:rsidRPr="00F53D7B">
        <w:rPr>
          <w:sz w:val="20"/>
        </w:rPr>
        <w:fldChar w:fldCharType="begin"/>
      </w:r>
      <w:r w:rsidR="004C3B65" w:rsidRPr="00F53D7B">
        <w:rPr>
          <w:sz w:val="20"/>
        </w:rPr>
        <w:instrText xml:space="preserve"> SEQ Ilustración \* ARABIC </w:instrText>
      </w:r>
      <w:r w:rsidR="004C3B65" w:rsidRPr="00F53D7B">
        <w:rPr>
          <w:sz w:val="20"/>
        </w:rPr>
        <w:fldChar w:fldCharType="separate"/>
      </w:r>
      <w:r w:rsidR="003A2538">
        <w:rPr>
          <w:noProof/>
          <w:sz w:val="20"/>
        </w:rPr>
        <w:t>9</w:t>
      </w:r>
      <w:r w:rsidR="004C3B65" w:rsidRPr="00F53D7B">
        <w:rPr>
          <w:sz w:val="20"/>
        </w:rPr>
        <w:fldChar w:fldCharType="end"/>
      </w:r>
      <w:r w:rsidRPr="00F53D7B">
        <w:rPr>
          <w:sz w:val="20"/>
        </w:rPr>
        <w:t xml:space="preserve">. </w:t>
      </w:r>
      <w:r w:rsidRPr="00F53D7B">
        <w:rPr>
          <w:i w:val="0"/>
          <w:sz w:val="20"/>
        </w:rPr>
        <w:t>Boxplot del puntaje AUDIT en función de la carrera que cursa el encuestado</w:t>
      </w:r>
      <w:bookmarkEnd w:id="15"/>
    </w:p>
    <w:p w14:paraId="1CE21C69" w14:textId="77777777" w:rsidR="0085525D" w:rsidRDefault="0085525D" w:rsidP="005B7C9B">
      <w:pPr>
        <w:autoSpaceDE w:val="0"/>
        <w:autoSpaceDN w:val="0"/>
        <w:adjustRightInd w:val="0"/>
        <w:spacing w:line="480" w:lineRule="auto"/>
        <w:ind w:firstLine="284"/>
        <w:jc w:val="both"/>
        <w:rPr>
          <w:rFonts w:eastAsiaTheme="minorEastAsia"/>
          <w:lang w:val="es-CO" w:eastAsia="ja-JP"/>
        </w:rPr>
      </w:pPr>
    </w:p>
    <w:p w14:paraId="01F54453" w14:textId="304FE836" w:rsidR="001D058A" w:rsidRDefault="00A87458"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Aunque no se encontró un efecto significativo de la carrera sobre el puntaje AUDIT, a continuación se profundiza sobre la distribución del número de estudiantes con puntajes AUDIT altos de acuerdo al género y la carrera, como se observa en la </w:t>
      </w:r>
      <w:r w:rsidR="00E75DA6">
        <w:rPr>
          <w:rFonts w:eastAsiaTheme="minorEastAsia"/>
          <w:lang w:val="es-CO" w:eastAsia="ja-JP"/>
        </w:rPr>
        <w:t>T</w:t>
      </w:r>
      <w:r>
        <w:rPr>
          <w:rFonts w:eastAsiaTheme="minorEastAsia"/>
          <w:lang w:val="es-CO" w:eastAsia="ja-JP"/>
        </w:rPr>
        <w:t>abla</w:t>
      </w:r>
      <w:r w:rsidR="00E75DA6">
        <w:rPr>
          <w:rFonts w:eastAsiaTheme="minorEastAsia"/>
          <w:lang w:val="es-CO" w:eastAsia="ja-JP"/>
        </w:rPr>
        <w:t xml:space="preserve"> 5</w:t>
      </w:r>
      <w:r>
        <w:rPr>
          <w:rFonts w:eastAsiaTheme="minorEastAsia"/>
          <w:lang w:val="es-CO" w:eastAsia="ja-JP"/>
        </w:rPr>
        <w:t>:</w:t>
      </w:r>
    </w:p>
    <w:p w14:paraId="17A013EA" w14:textId="77777777" w:rsidR="00A87458" w:rsidRDefault="00A87458" w:rsidP="005B7C9B">
      <w:pPr>
        <w:autoSpaceDE w:val="0"/>
        <w:autoSpaceDN w:val="0"/>
        <w:adjustRightInd w:val="0"/>
        <w:spacing w:line="480" w:lineRule="auto"/>
        <w:ind w:firstLine="284"/>
        <w:jc w:val="both"/>
        <w:rPr>
          <w:rFonts w:eastAsiaTheme="minorEastAsia"/>
          <w:lang w:val="es-CO" w:eastAsia="ja-JP"/>
        </w:rPr>
      </w:pPr>
    </w:p>
    <w:p w14:paraId="09CC180E"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75C381C9"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6856FEC4"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6C78A40E"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6B3A9AC7"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4250C180"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2F1C130F" w14:textId="77777777" w:rsidR="00E75DA6" w:rsidRDefault="00E75DA6" w:rsidP="005B7C9B">
      <w:pPr>
        <w:autoSpaceDE w:val="0"/>
        <w:autoSpaceDN w:val="0"/>
        <w:adjustRightInd w:val="0"/>
        <w:spacing w:line="480" w:lineRule="auto"/>
        <w:ind w:firstLine="284"/>
        <w:jc w:val="both"/>
        <w:rPr>
          <w:rFonts w:eastAsiaTheme="minorEastAsia"/>
          <w:lang w:val="es-CO" w:eastAsia="ja-JP"/>
        </w:rPr>
      </w:pPr>
    </w:p>
    <w:p w14:paraId="760F38F1" w14:textId="28FCEAE5" w:rsidR="00E75DA6" w:rsidRPr="00E75DA6" w:rsidRDefault="00E75DA6" w:rsidP="00E75DA6">
      <w:pPr>
        <w:pStyle w:val="Caption"/>
        <w:keepNext/>
        <w:jc w:val="center"/>
        <w:rPr>
          <w:i w:val="0"/>
          <w:sz w:val="20"/>
        </w:rPr>
      </w:pPr>
      <w:bookmarkStart w:id="16" w:name="_Toc450578293"/>
      <w:r w:rsidRPr="00E75DA6">
        <w:rPr>
          <w:sz w:val="20"/>
        </w:rPr>
        <w:lastRenderedPageBreak/>
        <w:t xml:space="preserve">Tabla </w:t>
      </w:r>
      <w:r w:rsidRPr="00E75DA6">
        <w:rPr>
          <w:sz w:val="20"/>
        </w:rPr>
        <w:fldChar w:fldCharType="begin"/>
      </w:r>
      <w:r w:rsidRPr="00E75DA6">
        <w:rPr>
          <w:sz w:val="20"/>
        </w:rPr>
        <w:instrText xml:space="preserve"> SEQ Tabla \* ARABIC </w:instrText>
      </w:r>
      <w:r w:rsidRPr="00E75DA6">
        <w:rPr>
          <w:sz w:val="20"/>
        </w:rPr>
        <w:fldChar w:fldCharType="separate"/>
      </w:r>
      <w:r w:rsidR="00E032D3">
        <w:rPr>
          <w:noProof/>
          <w:sz w:val="20"/>
        </w:rPr>
        <w:t>5</w:t>
      </w:r>
      <w:r w:rsidRPr="00E75DA6">
        <w:rPr>
          <w:sz w:val="20"/>
        </w:rPr>
        <w:fldChar w:fldCharType="end"/>
      </w:r>
      <w:r w:rsidRPr="00E75DA6">
        <w:rPr>
          <w:sz w:val="20"/>
        </w:rPr>
        <w:t xml:space="preserve">. </w:t>
      </w:r>
      <w:r w:rsidRPr="00E75DA6">
        <w:rPr>
          <w:i w:val="0"/>
          <w:sz w:val="20"/>
        </w:rPr>
        <w:t>Frecuencia absoluta en orden decreciente del número de estudiantes con puntajes AUDIT totales por encima de los límites tolerables</w:t>
      </w:r>
      <w:bookmarkEnd w:id="16"/>
    </w:p>
    <w:tbl>
      <w:tblPr>
        <w:tblW w:w="8760" w:type="dxa"/>
        <w:jc w:val="center"/>
        <w:tblCellMar>
          <w:left w:w="70" w:type="dxa"/>
          <w:right w:w="70" w:type="dxa"/>
        </w:tblCellMar>
        <w:tblLook w:val="04A0" w:firstRow="1" w:lastRow="0" w:firstColumn="1" w:lastColumn="0" w:noHBand="0" w:noVBand="1"/>
      </w:tblPr>
      <w:tblGrid>
        <w:gridCol w:w="2340"/>
        <w:gridCol w:w="1140"/>
        <w:gridCol w:w="980"/>
        <w:gridCol w:w="2340"/>
        <w:gridCol w:w="980"/>
        <w:gridCol w:w="980"/>
      </w:tblGrid>
      <w:tr w:rsidR="00A87458" w:rsidRPr="00E8258C" w14:paraId="4EFBE025" w14:textId="77777777" w:rsidTr="00E8258C">
        <w:trPr>
          <w:trHeight w:val="300"/>
          <w:jc w:val="center"/>
        </w:trPr>
        <w:tc>
          <w:tcPr>
            <w:tcW w:w="44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783A40" w14:textId="77777777" w:rsidR="00A87458" w:rsidRPr="00E8258C" w:rsidRDefault="00A87458" w:rsidP="00E239D7">
            <w:pPr>
              <w:spacing w:line="276" w:lineRule="auto"/>
              <w:ind w:firstLine="284"/>
              <w:jc w:val="center"/>
              <w:rPr>
                <w:b/>
                <w:color w:val="000000"/>
                <w:sz w:val="20"/>
                <w:szCs w:val="20"/>
                <w:lang w:val="es-CO" w:eastAsia="es-CO"/>
              </w:rPr>
            </w:pPr>
            <w:r w:rsidRPr="00E8258C">
              <w:rPr>
                <w:b/>
                <w:color w:val="000000"/>
                <w:sz w:val="20"/>
                <w:szCs w:val="20"/>
              </w:rPr>
              <w:t>Hombres</w:t>
            </w:r>
          </w:p>
        </w:tc>
        <w:tc>
          <w:tcPr>
            <w:tcW w:w="4300" w:type="dxa"/>
            <w:gridSpan w:val="3"/>
            <w:tcBorders>
              <w:top w:val="single" w:sz="4" w:space="0" w:color="auto"/>
              <w:left w:val="nil"/>
              <w:bottom w:val="single" w:sz="4" w:space="0" w:color="auto"/>
              <w:right w:val="nil"/>
            </w:tcBorders>
            <w:shd w:val="clear" w:color="auto" w:fill="auto"/>
            <w:noWrap/>
            <w:vAlign w:val="bottom"/>
            <w:hideMark/>
          </w:tcPr>
          <w:p w14:paraId="135F6D96" w14:textId="77777777" w:rsidR="00A87458" w:rsidRPr="00E8258C" w:rsidRDefault="00A87458" w:rsidP="00E239D7">
            <w:pPr>
              <w:spacing w:line="276" w:lineRule="auto"/>
              <w:ind w:firstLine="284"/>
              <w:jc w:val="center"/>
              <w:rPr>
                <w:b/>
                <w:color w:val="000000"/>
                <w:sz w:val="20"/>
                <w:szCs w:val="20"/>
              </w:rPr>
            </w:pPr>
            <w:r w:rsidRPr="00E8258C">
              <w:rPr>
                <w:b/>
                <w:color w:val="000000"/>
                <w:sz w:val="20"/>
                <w:szCs w:val="20"/>
              </w:rPr>
              <w:t>Mujeres</w:t>
            </w:r>
          </w:p>
        </w:tc>
      </w:tr>
      <w:tr w:rsidR="00A87458" w:rsidRPr="00E8258C" w14:paraId="3F90FDEA" w14:textId="77777777" w:rsidTr="00E8258C">
        <w:trPr>
          <w:trHeight w:val="300"/>
          <w:jc w:val="center"/>
        </w:trPr>
        <w:tc>
          <w:tcPr>
            <w:tcW w:w="2340" w:type="dxa"/>
            <w:tcBorders>
              <w:top w:val="nil"/>
              <w:left w:val="nil"/>
              <w:bottom w:val="single" w:sz="4" w:space="0" w:color="auto"/>
              <w:right w:val="nil"/>
            </w:tcBorders>
            <w:shd w:val="clear" w:color="auto" w:fill="auto"/>
            <w:noWrap/>
            <w:vAlign w:val="center"/>
            <w:hideMark/>
          </w:tcPr>
          <w:p w14:paraId="2FD2BE50"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Carrera</w:t>
            </w:r>
          </w:p>
        </w:tc>
        <w:tc>
          <w:tcPr>
            <w:tcW w:w="1140" w:type="dxa"/>
            <w:tcBorders>
              <w:top w:val="nil"/>
              <w:left w:val="nil"/>
              <w:bottom w:val="single" w:sz="4" w:space="0" w:color="auto"/>
              <w:right w:val="nil"/>
            </w:tcBorders>
            <w:shd w:val="clear" w:color="auto" w:fill="auto"/>
            <w:noWrap/>
            <w:vAlign w:val="center"/>
            <w:hideMark/>
          </w:tcPr>
          <w:p w14:paraId="42DBD8DB"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AUDIT &lt; 8</w:t>
            </w:r>
          </w:p>
        </w:tc>
        <w:tc>
          <w:tcPr>
            <w:tcW w:w="980" w:type="dxa"/>
            <w:tcBorders>
              <w:top w:val="nil"/>
              <w:left w:val="nil"/>
              <w:bottom w:val="single" w:sz="4" w:space="0" w:color="auto"/>
              <w:right w:val="single" w:sz="4" w:space="0" w:color="auto"/>
            </w:tcBorders>
            <w:shd w:val="clear" w:color="auto" w:fill="auto"/>
            <w:noWrap/>
            <w:vAlign w:val="center"/>
            <w:hideMark/>
          </w:tcPr>
          <w:p w14:paraId="071B2294"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AUDIT ≥ 8</w:t>
            </w:r>
          </w:p>
        </w:tc>
        <w:tc>
          <w:tcPr>
            <w:tcW w:w="2340" w:type="dxa"/>
            <w:tcBorders>
              <w:top w:val="nil"/>
              <w:left w:val="nil"/>
              <w:bottom w:val="single" w:sz="4" w:space="0" w:color="auto"/>
              <w:right w:val="nil"/>
            </w:tcBorders>
            <w:shd w:val="clear" w:color="auto" w:fill="auto"/>
            <w:noWrap/>
            <w:vAlign w:val="center"/>
            <w:hideMark/>
          </w:tcPr>
          <w:p w14:paraId="370A3326"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Carrera</w:t>
            </w:r>
          </w:p>
        </w:tc>
        <w:tc>
          <w:tcPr>
            <w:tcW w:w="980" w:type="dxa"/>
            <w:tcBorders>
              <w:top w:val="nil"/>
              <w:left w:val="nil"/>
              <w:bottom w:val="single" w:sz="4" w:space="0" w:color="auto"/>
              <w:right w:val="nil"/>
            </w:tcBorders>
            <w:shd w:val="clear" w:color="auto" w:fill="auto"/>
            <w:noWrap/>
            <w:vAlign w:val="center"/>
            <w:hideMark/>
          </w:tcPr>
          <w:p w14:paraId="1D59192A"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AUDIT &lt; 7</w:t>
            </w:r>
          </w:p>
        </w:tc>
        <w:tc>
          <w:tcPr>
            <w:tcW w:w="980" w:type="dxa"/>
            <w:tcBorders>
              <w:top w:val="nil"/>
              <w:left w:val="nil"/>
              <w:bottom w:val="single" w:sz="4" w:space="0" w:color="auto"/>
              <w:right w:val="nil"/>
            </w:tcBorders>
            <w:shd w:val="clear" w:color="auto" w:fill="auto"/>
            <w:noWrap/>
            <w:vAlign w:val="center"/>
            <w:hideMark/>
          </w:tcPr>
          <w:p w14:paraId="7E272A5C" w14:textId="77777777" w:rsidR="00A87458" w:rsidRPr="00E8258C" w:rsidRDefault="00A87458" w:rsidP="00E8258C">
            <w:pPr>
              <w:spacing w:line="276" w:lineRule="auto"/>
              <w:ind w:firstLine="284"/>
              <w:jc w:val="center"/>
              <w:rPr>
                <w:color w:val="000000"/>
                <w:sz w:val="20"/>
                <w:szCs w:val="20"/>
              </w:rPr>
            </w:pPr>
            <w:r w:rsidRPr="00E8258C">
              <w:rPr>
                <w:color w:val="000000"/>
                <w:sz w:val="20"/>
                <w:szCs w:val="20"/>
              </w:rPr>
              <w:t>AUDIT ≥ 7</w:t>
            </w:r>
          </w:p>
        </w:tc>
      </w:tr>
      <w:tr w:rsidR="00A87458" w:rsidRPr="00E8258C" w14:paraId="1B37E49B"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7C0196B8" w14:textId="77777777" w:rsidR="00E8258C" w:rsidRDefault="00A87458" w:rsidP="00E8258C">
            <w:pPr>
              <w:spacing w:line="276" w:lineRule="auto"/>
              <w:ind w:firstLine="284"/>
              <w:rPr>
                <w:color w:val="000000"/>
                <w:sz w:val="20"/>
                <w:szCs w:val="20"/>
              </w:rPr>
            </w:pPr>
            <w:r w:rsidRPr="00E8258C">
              <w:rPr>
                <w:color w:val="000000"/>
                <w:sz w:val="20"/>
                <w:szCs w:val="20"/>
              </w:rPr>
              <w:t>Econo y</w:t>
            </w:r>
            <w:r w:rsidR="00E8258C">
              <w:rPr>
                <w:color w:val="000000"/>
                <w:sz w:val="20"/>
                <w:szCs w:val="20"/>
              </w:rPr>
              <w:t xml:space="preserve"> </w:t>
            </w:r>
            <w:r w:rsidRPr="00E8258C">
              <w:rPr>
                <w:color w:val="000000"/>
                <w:sz w:val="20"/>
                <w:szCs w:val="20"/>
              </w:rPr>
              <w:t>Nego</w:t>
            </w:r>
          </w:p>
          <w:p w14:paraId="3869C277" w14:textId="63FFF9E4" w:rsidR="00A87458" w:rsidRPr="00E8258C" w:rsidRDefault="00A87458" w:rsidP="00E8258C">
            <w:pPr>
              <w:spacing w:line="276" w:lineRule="auto"/>
              <w:ind w:firstLine="284"/>
              <w:rPr>
                <w:color w:val="000000"/>
                <w:sz w:val="20"/>
                <w:szCs w:val="20"/>
              </w:rPr>
            </w:pPr>
            <w:r w:rsidRPr="00E8258C">
              <w:rPr>
                <w:color w:val="000000"/>
                <w:sz w:val="20"/>
                <w:szCs w:val="20"/>
              </w:rPr>
              <w:t>Internacionales</w:t>
            </w:r>
          </w:p>
        </w:tc>
        <w:tc>
          <w:tcPr>
            <w:tcW w:w="1140" w:type="dxa"/>
            <w:tcBorders>
              <w:top w:val="nil"/>
              <w:left w:val="nil"/>
              <w:bottom w:val="nil"/>
              <w:right w:val="nil"/>
            </w:tcBorders>
            <w:shd w:val="clear" w:color="auto" w:fill="auto"/>
            <w:noWrap/>
            <w:vAlign w:val="center"/>
            <w:hideMark/>
          </w:tcPr>
          <w:p w14:paraId="4C561B8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48</w:t>
            </w:r>
          </w:p>
        </w:tc>
        <w:tc>
          <w:tcPr>
            <w:tcW w:w="980" w:type="dxa"/>
            <w:tcBorders>
              <w:top w:val="nil"/>
              <w:left w:val="nil"/>
              <w:bottom w:val="nil"/>
              <w:right w:val="single" w:sz="4" w:space="0" w:color="auto"/>
            </w:tcBorders>
            <w:shd w:val="clear" w:color="auto" w:fill="auto"/>
            <w:noWrap/>
            <w:vAlign w:val="center"/>
            <w:hideMark/>
          </w:tcPr>
          <w:p w14:paraId="1E6A209F"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9</w:t>
            </w:r>
          </w:p>
        </w:tc>
        <w:tc>
          <w:tcPr>
            <w:tcW w:w="2340" w:type="dxa"/>
            <w:tcBorders>
              <w:top w:val="nil"/>
              <w:left w:val="nil"/>
              <w:bottom w:val="nil"/>
              <w:right w:val="nil"/>
            </w:tcBorders>
            <w:shd w:val="clear" w:color="auto" w:fill="auto"/>
            <w:noWrap/>
            <w:vAlign w:val="center"/>
            <w:hideMark/>
          </w:tcPr>
          <w:p w14:paraId="193878A0" w14:textId="77777777" w:rsidR="00E8258C" w:rsidRDefault="00A87458" w:rsidP="00E8258C">
            <w:pPr>
              <w:spacing w:line="276" w:lineRule="auto"/>
              <w:ind w:firstLine="284"/>
              <w:rPr>
                <w:color w:val="000000"/>
                <w:sz w:val="20"/>
                <w:szCs w:val="20"/>
              </w:rPr>
            </w:pPr>
            <w:r w:rsidRPr="00E8258C">
              <w:rPr>
                <w:color w:val="000000"/>
                <w:sz w:val="20"/>
                <w:szCs w:val="20"/>
              </w:rPr>
              <w:t>Econo y</w:t>
            </w:r>
            <w:r w:rsidR="00E8258C">
              <w:rPr>
                <w:color w:val="000000"/>
                <w:sz w:val="20"/>
                <w:szCs w:val="20"/>
              </w:rPr>
              <w:t xml:space="preserve"> </w:t>
            </w:r>
            <w:r w:rsidRPr="00E8258C">
              <w:rPr>
                <w:color w:val="000000"/>
                <w:sz w:val="20"/>
                <w:szCs w:val="20"/>
              </w:rPr>
              <w:t>Nego</w:t>
            </w:r>
          </w:p>
          <w:p w14:paraId="687237CB" w14:textId="26784D8C" w:rsidR="00A87458" w:rsidRPr="00E8258C" w:rsidRDefault="00A87458" w:rsidP="00E8258C">
            <w:pPr>
              <w:spacing w:line="276" w:lineRule="auto"/>
              <w:ind w:firstLine="284"/>
              <w:rPr>
                <w:color w:val="000000"/>
                <w:sz w:val="20"/>
                <w:szCs w:val="20"/>
              </w:rPr>
            </w:pPr>
            <w:r w:rsidRPr="00E8258C">
              <w:rPr>
                <w:color w:val="000000"/>
                <w:sz w:val="20"/>
                <w:szCs w:val="20"/>
              </w:rPr>
              <w:t>Internacionales</w:t>
            </w:r>
          </w:p>
        </w:tc>
        <w:tc>
          <w:tcPr>
            <w:tcW w:w="980" w:type="dxa"/>
            <w:tcBorders>
              <w:top w:val="nil"/>
              <w:left w:val="nil"/>
              <w:bottom w:val="nil"/>
              <w:right w:val="nil"/>
            </w:tcBorders>
            <w:shd w:val="clear" w:color="auto" w:fill="auto"/>
            <w:noWrap/>
            <w:vAlign w:val="center"/>
            <w:hideMark/>
          </w:tcPr>
          <w:p w14:paraId="00D36441"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51</w:t>
            </w:r>
          </w:p>
        </w:tc>
        <w:tc>
          <w:tcPr>
            <w:tcW w:w="980" w:type="dxa"/>
            <w:tcBorders>
              <w:top w:val="nil"/>
              <w:left w:val="nil"/>
              <w:bottom w:val="nil"/>
              <w:right w:val="nil"/>
            </w:tcBorders>
            <w:shd w:val="clear" w:color="auto" w:fill="auto"/>
            <w:noWrap/>
            <w:vAlign w:val="center"/>
            <w:hideMark/>
          </w:tcPr>
          <w:p w14:paraId="48B9CE9B"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6</w:t>
            </w:r>
          </w:p>
        </w:tc>
      </w:tr>
      <w:tr w:rsidR="00A87458" w:rsidRPr="00E8258C" w14:paraId="5CA6F7D8"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4A49DA83"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Industrial</w:t>
            </w:r>
          </w:p>
        </w:tc>
        <w:tc>
          <w:tcPr>
            <w:tcW w:w="1140" w:type="dxa"/>
            <w:tcBorders>
              <w:top w:val="nil"/>
              <w:left w:val="nil"/>
              <w:bottom w:val="nil"/>
              <w:right w:val="nil"/>
            </w:tcBorders>
            <w:shd w:val="clear" w:color="auto" w:fill="auto"/>
            <w:noWrap/>
            <w:vAlign w:val="center"/>
            <w:hideMark/>
          </w:tcPr>
          <w:p w14:paraId="0E50A30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29</w:t>
            </w:r>
          </w:p>
        </w:tc>
        <w:tc>
          <w:tcPr>
            <w:tcW w:w="980" w:type="dxa"/>
            <w:tcBorders>
              <w:top w:val="nil"/>
              <w:left w:val="nil"/>
              <w:bottom w:val="nil"/>
              <w:right w:val="single" w:sz="4" w:space="0" w:color="auto"/>
            </w:tcBorders>
            <w:shd w:val="clear" w:color="auto" w:fill="auto"/>
            <w:noWrap/>
            <w:vAlign w:val="center"/>
            <w:hideMark/>
          </w:tcPr>
          <w:p w14:paraId="468A989C"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5</w:t>
            </w:r>
          </w:p>
        </w:tc>
        <w:tc>
          <w:tcPr>
            <w:tcW w:w="2340" w:type="dxa"/>
            <w:tcBorders>
              <w:top w:val="nil"/>
              <w:left w:val="nil"/>
              <w:bottom w:val="nil"/>
              <w:right w:val="nil"/>
            </w:tcBorders>
            <w:shd w:val="clear" w:color="auto" w:fill="auto"/>
            <w:noWrap/>
            <w:vAlign w:val="center"/>
            <w:hideMark/>
          </w:tcPr>
          <w:p w14:paraId="4E0D6F70"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Industrial</w:t>
            </w:r>
          </w:p>
        </w:tc>
        <w:tc>
          <w:tcPr>
            <w:tcW w:w="980" w:type="dxa"/>
            <w:tcBorders>
              <w:top w:val="nil"/>
              <w:left w:val="nil"/>
              <w:bottom w:val="nil"/>
              <w:right w:val="nil"/>
            </w:tcBorders>
            <w:shd w:val="clear" w:color="auto" w:fill="auto"/>
            <w:noWrap/>
            <w:vAlign w:val="center"/>
            <w:hideMark/>
          </w:tcPr>
          <w:p w14:paraId="74790290"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30</w:t>
            </w:r>
          </w:p>
        </w:tc>
        <w:tc>
          <w:tcPr>
            <w:tcW w:w="980" w:type="dxa"/>
            <w:tcBorders>
              <w:top w:val="nil"/>
              <w:left w:val="nil"/>
              <w:bottom w:val="nil"/>
              <w:right w:val="nil"/>
            </w:tcBorders>
            <w:shd w:val="clear" w:color="auto" w:fill="auto"/>
            <w:noWrap/>
            <w:vAlign w:val="center"/>
            <w:hideMark/>
          </w:tcPr>
          <w:p w14:paraId="61643736"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r>
      <w:tr w:rsidR="00A87458" w:rsidRPr="00E8258C" w14:paraId="7F685A50"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0C7F0286" w14:textId="77777777" w:rsidR="00A87458" w:rsidRPr="00E8258C" w:rsidRDefault="00A87458" w:rsidP="00E8258C">
            <w:pPr>
              <w:spacing w:line="276" w:lineRule="auto"/>
              <w:ind w:firstLine="284"/>
              <w:rPr>
                <w:color w:val="000000"/>
                <w:sz w:val="20"/>
                <w:szCs w:val="20"/>
              </w:rPr>
            </w:pPr>
            <w:r w:rsidRPr="00E8258C">
              <w:rPr>
                <w:color w:val="000000"/>
                <w:sz w:val="20"/>
                <w:szCs w:val="20"/>
              </w:rPr>
              <w:t>Derecho</w:t>
            </w:r>
          </w:p>
        </w:tc>
        <w:tc>
          <w:tcPr>
            <w:tcW w:w="1140" w:type="dxa"/>
            <w:tcBorders>
              <w:top w:val="nil"/>
              <w:left w:val="nil"/>
              <w:bottom w:val="nil"/>
              <w:right w:val="nil"/>
            </w:tcBorders>
            <w:shd w:val="clear" w:color="auto" w:fill="auto"/>
            <w:noWrap/>
            <w:vAlign w:val="center"/>
            <w:hideMark/>
          </w:tcPr>
          <w:p w14:paraId="7F90751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16</w:t>
            </w:r>
          </w:p>
        </w:tc>
        <w:tc>
          <w:tcPr>
            <w:tcW w:w="980" w:type="dxa"/>
            <w:tcBorders>
              <w:top w:val="nil"/>
              <w:left w:val="nil"/>
              <w:bottom w:val="nil"/>
              <w:right w:val="single" w:sz="4" w:space="0" w:color="auto"/>
            </w:tcBorders>
            <w:shd w:val="clear" w:color="auto" w:fill="auto"/>
            <w:noWrap/>
            <w:vAlign w:val="center"/>
            <w:hideMark/>
          </w:tcPr>
          <w:p w14:paraId="63E9E0B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2340" w:type="dxa"/>
            <w:tcBorders>
              <w:top w:val="nil"/>
              <w:left w:val="nil"/>
              <w:bottom w:val="nil"/>
              <w:right w:val="nil"/>
            </w:tcBorders>
            <w:shd w:val="clear" w:color="auto" w:fill="auto"/>
            <w:noWrap/>
            <w:vAlign w:val="center"/>
            <w:hideMark/>
          </w:tcPr>
          <w:p w14:paraId="1F1E7A6C" w14:textId="77777777" w:rsidR="00E8258C" w:rsidRDefault="00A87458" w:rsidP="00E8258C">
            <w:pPr>
              <w:spacing w:line="276" w:lineRule="auto"/>
              <w:ind w:firstLine="284"/>
              <w:rPr>
                <w:color w:val="000000"/>
                <w:sz w:val="20"/>
                <w:szCs w:val="20"/>
              </w:rPr>
            </w:pPr>
            <w:r w:rsidRPr="00E8258C">
              <w:rPr>
                <w:color w:val="000000"/>
                <w:sz w:val="20"/>
                <w:szCs w:val="20"/>
              </w:rPr>
              <w:t>Merca Interna y</w:t>
            </w:r>
          </w:p>
          <w:p w14:paraId="1E5E4D4F" w14:textId="6F4B4A40" w:rsidR="00A87458" w:rsidRPr="00E8258C" w:rsidRDefault="00A87458" w:rsidP="00E8258C">
            <w:pPr>
              <w:spacing w:line="276" w:lineRule="auto"/>
              <w:ind w:firstLine="284"/>
              <w:rPr>
                <w:color w:val="000000"/>
                <w:sz w:val="20"/>
                <w:szCs w:val="20"/>
              </w:rPr>
            </w:pPr>
            <w:r w:rsidRPr="00E8258C">
              <w:rPr>
                <w:color w:val="000000"/>
                <w:sz w:val="20"/>
                <w:szCs w:val="20"/>
              </w:rPr>
              <w:t>Publicidad</w:t>
            </w:r>
          </w:p>
        </w:tc>
        <w:tc>
          <w:tcPr>
            <w:tcW w:w="980" w:type="dxa"/>
            <w:tcBorders>
              <w:top w:val="nil"/>
              <w:left w:val="nil"/>
              <w:bottom w:val="nil"/>
              <w:right w:val="nil"/>
            </w:tcBorders>
            <w:shd w:val="clear" w:color="auto" w:fill="auto"/>
            <w:noWrap/>
            <w:vAlign w:val="center"/>
            <w:hideMark/>
          </w:tcPr>
          <w:p w14:paraId="22C8831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31</w:t>
            </w:r>
          </w:p>
        </w:tc>
        <w:tc>
          <w:tcPr>
            <w:tcW w:w="980" w:type="dxa"/>
            <w:tcBorders>
              <w:top w:val="nil"/>
              <w:left w:val="nil"/>
              <w:bottom w:val="nil"/>
              <w:right w:val="nil"/>
            </w:tcBorders>
            <w:shd w:val="clear" w:color="auto" w:fill="auto"/>
            <w:noWrap/>
            <w:vAlign w:val="center"/>
            <w:hideMark/>
          </w:tcPr>
          <w:p w14:paraId="015A4727"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r>
      <w:tr w:rsidR="00A87458" w:rsidRPr="00E8258C" w14:paraId="73A6CFAB"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615DA347" w14:textId="77777777" w:rsidR="00A87458" w:rsidRPr="00E8258C" w:rsidRDefault="00A87458" w:rsidP="00E8258C">
            <w:pPr>
              <w:spacing w:line="276" w:lineRule="auto"/>
              <w:ind w:firstLine="284"/>
              <w:rPr>
                <w:color w:val="000000"/>
                <w:sz w:val="20"/>
                <w:szCs w:val="20"/>
              </w:rPr>
            </w:pPr>
            <w:r w:rsidRPr="00E8258C">
              <w:rPr>
                <w:color w:val="000000"/>
                <w:sz w:val="20"/>
                <w:szCs w:val="20"/>
              </w:rPr>
              <w:t>Medicina</w:t>
            </w:r>
          </w:p>
        </w:tc>
        <w:tc>
          <w:tcPr>
            <w:tcW w:w="1140" w:type="dxa"/>
            <w:tcBorders>
              <w:top w:val="nil"/>
              <w:left w:val="nil"/>
              <w:bottom w:val="nil"/>
              <w:right w:val="nil"/>
            </w:tcBorders>
            <w:shd w:val="clear" w:color="auto" w:fill="auto"/>
            <w:noWrap/>
            <w:vAlign w:val="center"/>
            <w:hideMark/>
          </w:tcPr>
          <w:p w14:paraId="604DB5AE"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30</w:t>
            </w:r>
          </w:p>
        </w:tc>
        <w:tc>
          <w:tcPr>
            <w:tcW w:w="980" w:type="dxa"/>
            <w:tcBorders>
              <w:top w:val="nil"/>
              <w:left w:val="nil"/>
              <w:bottom w:val="nil"/>
              <w:right w:val="single" w:sz="4" w:space="0" w:color="auto"/>
            </w:tcBorders>
            <w:shd w:val="clear" w:color="auto" w:fill="auto"/>
            <w:noWrap/>
            <w:vAlign w:val="center"/>
            <w:hideMark/>
          </w:tcPr>
          <w:p w14:paraId="203FBAB7"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2340" w:type="dxa"/>
            <w:tcBorders>
              <w:top w:val="nil"/>
              <w:left w:val="nil"/>
              <w:bottom w:val="nil"/>
              <w:right w:val="nil"/>
            </w:tcBorders>
            <w:shd w:val="clear" w:color="auto" w:fill="auto"/>
            <w:noWrap/>
            <w:vAlign w:val="center"/>
            <w:hideMark/>
          </w:tcPr>
          <w:p w14:paraId="47EAC48A" w14:textId="77777777" w:rsidR="00A87458" w:rsidRPr="00E8258C" w:rsidRDefault="00A87458" w:rsidP="00E8258C">
            <w:pPr>
              <w:spacing w:line="276" w:lineRule="auto"/>
              <w:ind w:firstLine="284"/>
              <w:rPr>
                <w:color w:val="000000"/>
                <w:sz w:val="20"/>
                <w:szCs w:val="20"/>
              </w:rPr>
            </w:pPr>
            <w:r w:rsidRPr="00E8258C">
              <w:rPr>
                <w:color w:val="000000"/>
                <w:sz w:val="20"/>
                <w:szCs w:val="20"/>
              </w:rPr>
              <w:t>Química Farmacéutica</w:t>
            </w:r>
          </w:p>
        </w:tc>
        <w:tc>
          <w:tcPr>
            <w:tcW w:w="980" w:type="dxa"/>
            <w:tcBorders>
              <w:top w:val="nil"/>
              <w:left w:val="nil"/>
              <w:bottom w:val="nil"/>
              <w:right w:val="nil"/>
            </w:tcBorders>
            <w:shd w:val="clear" w:color="auto" w:fill="auto"/>
            <w:noWrap/>
            <w:vAlign w:val="center"/>
            <w:hideMark/>
          </w:tcPr>
          <w:p w14:paraId="1482B59B"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25</w:t>
            </w:r>
          </w:p>
        </w:tc>
        <w:tc>
          <w:tcPr>
            <w:tcW w:w="980" w:type="dxa"/>
            <w:tcBorders>
              <w:top w:val="nil"/>
              <w:left w:val="nil"/>
              <w:bottom w:val="nil"/>
              <w:right w:val="nil"/>
            </w:tcBorders>
            <w:shd w:val="clear" w:color="auto" w:fill="auto"/>
            <w:noWrap/>
            <w:vAlign w:val="center"/>
            <w:hideMark/>
          </w:tcPr>
          <w:p w14:paraId="757DBC1E"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w:t>
            </w:r>
          </w:p>
        </w:tc>
      </w:tr>
      <w:tr w:rsidR="00A87458" w:rsidRPr="00E8258C" w14:paraId="316E53C1"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6EB3BD32" w14:textId="77777777" w:rsidR="00E8258C" w:rsidRDefault="00A87458" w:rsidP="00E8258C">
            <w:pPr>
              <w:spacing w:line="276" w:lineRule="auto"/>
              <w:ind w:firstLine="284"/>
              <w:rPr>
                <w:color w:val="000000"/>
                <w:sz w:val="20"/>
                <w:szCs w:val="20"/>
              </w:rPr>
            </w:pPr>
            <w:r w:rsidRPr="00E8258C">
              <w:rPr>
                <w:color w:val="000000"/>
                <w:sz w:val="20"/>
                <w:szCs w:val="20"/>
              </w:rPr>
              <w:t>Diseño Medios</w:t>
            </w:r>
          </w:p>
          <w:p w14:paraId="6179CE3A" w14:textId="006E1D2E" w:rsidR="00A87458" w:rsidRPr="00E8258C" w:rsidRDefault="00A87458" w:rsidP="00E8258C">
            <w:pPr>
              <w:spacing w:line="276" w:lineRule="auto"/>
              <w:ind w:firstLine="284"/>
              <w:rPr>
                <w:color w:val="000000"/>
                <w:sz w:val="20"/>
                <w:szCs w:val="20"/>
              </w:rPr>
            </w:pPr>
            <w:r w:rsidRPr="00E8258C">
              <w:rPr>
                <w:color w:val="000000"/>
                <w:sz w:val="20"/>
                <w:szCs w:val="20"/>
              </w:rPr>
              <w:t>Interactivos</w:t>
            </w:r>
          </w:p>
        </w:tc>
        <w:tc>
          <w:tcPr>
            <w:tcW w:w="1140" w:type="dxa"/>
            <w:tcBorders>
              <w:top w:val="nil"/>
              <w:left w:val="nil"/>
              <w:bottom w:val="nil"/>
              <w:right w:val="nil"/>
            </w:tcBorders>
            <w:shd w:val="clear" w:color="auto" w:fill="auto"/>
            <w:noWrap/>
            <w:vAlign w:val="center"/>
            <w:hideMark/>
          </w:tcPr>
          <w:p w14:paraId="18E971B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13</w:t>
            </w:r>
          </w:p>
        </w:tc>
        <w:tc>
          <w:tcPr>
            <w:tcW w:w="980" w:type="dxa"/>
            <w:tcBorders>
              <w:top w:val="nil"/>
              <w:left w:val="nil"/>
              <w:bottom w:val="nil"/>
              <w:right w:val="single" w:sz="4" w:space="0" w:color="auto"/>
            </w:tcBorders>
            <w:shd w:val="clear" w:color="auto" w:fill="auto"/>
            <w:noWrap/>
            <w:vAlign w:val="center"/>
            <w:hideMark/>
          </w:tcPr>
          <w:p w14:paraId="4EBB7F59"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w:t>
            </w:r>
          </w:p>
        </w:tc>
        <w:tc>
          <w:tcPr>
            <w:tcW w:w="2340" w:type="dxa"/>
            <w:tcBorders>
              <w:top w:val="nil"/>
              <w:left w:val="nil"/>
              <w:bottom w:val="nil"/>
              <w:right w:val="nil"/>
            </w:tcBorders>
            <w:shd w:val="clear" w:color="auto" w:fill="auto"/>
            <w:noWrap/>
            <w:vAlign w:val="center"/>
            <w:hideMark/>
          </w:tcPr>
          <w:p w14:paraId="0A115054" w14:textId="77777777" w:rsidR="00A87458" w:rsidRPr="00E8258C" w:rsidRDefault="00A87458" w:rsidP="00E8258C">
            <w:pPr>
              <w:spacing w:line="276" w:lineRule="auto"/>
              <w:ind w:firstLine="284"/>
              <w:rPr>
                <w:color w:val="000000"/>
                <w:sz w:val="20"/>
                <w:szCs w:val="20"/>
              </w:rPr>
            </w:pPr>
            <w:r w:rsidRPr="00E8258C">
              <w:rPr>
                <w:color w:val="000000"/>
                <w:sz w:val="20"/>
                <w:szCs w:val="20"/>
              </w:rPr>
              <w:t>Medicina</w:t>
            </w:r>
          </w:p>
        </w:tc>
        <w:tc>
          <w:tcPr>
            <w:tcW w:w="980" w:type="dxa"/>
            <w:tcBorders>
              <w:top w:val="nil"/>
              <w:left w:val="nil"/>
              <w:bottom w:val="nil"/>
              <w:right w:val="nil"/>
            </w:tcBorders>
            <w:shd w:val="clear" w:color="auto" w:fill="auto"/>
            <w:noWrap/>
            <w:vAlign w:val="center"/>
            <w:hideMark/>
          </w:tcPr>
          <w:p w14:paraId="5543559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32</w:t>
            </w:r>
          </w:p>
        </w:tc>
        <w:tc>
          <w:tcPr>
            <w:tcW w:w="980" w:type="dxa"/>
            <w:tcBorders>
              <w:top w:val="nil"/>
              <w:left w:val="nil"/>
              <w:bottom w:val="nil"/>
              <w:right w:val="nil"/>
            </w:tcBorders>
            <w:shd w:val="clear" w:color="auto" w:fill="auto"/>
            <w:noWrap/>
            <w:vAlign w:val="center"/>
            <w:hideMark/>
          </w:tcPr>
          <w:p w14:paraId="13369E9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r>
      <w:tr w:rsidR="00A87458" w:rsidRPr="00E8258C" w14:paraId="7431F5A6"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708FF198" w14:textId="77777777" w:rsidR="00A87458" w:rsidRPr="00E8258C" w:rsidRDefault="00A87458" w:rsidP="00E8258C">
            <w:pPr>
              <w:spacing w:line="276" w:lineRule="auto"/>
              <w:ind w:firstLine="284"/>
              <w:rPr>
                <w:color w:val="000000"/>
                <w:sz w:val="20"/>
                <w:szCs w:val="20"/>
              </w:rPr>
            </w:pPr>
            <w:r w:rsidRPr="00E8258C">
              <w:rPr>
                <w:color w:val="000000"/>
                <w:sz w:val="20"/>
                <w:szCs w:val="20"/>
              </w:rPr>
              <w:t>Química Farmacéutica</w:t>
            </w:r>
          </w:p>
        </w:tc>
        <w:tc>
          <w:tcPr>
            <w:tcW w:w="1140" w:type="dxa"/>
            <w:tcBorders>
              <w:top w:val="nil"/>
              <w:left w:val="nil"/>
              <w:bottom w:val="nil"/>
              <w:right w:val="nil"/>
            </w:tcBorders>
            <w:shd w:val="clear" w:color="auto" w:fill="auto"/>
            <w:noWrap/>
            <w:vAlign w:val="center"/>
            <w:hideMark/>
          </w:tcPr>
          <w:p w14:paraId="5D34564B"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25</w:t>
            </w:r>
          </w:p>
        </w:tc>
        <w:tc>
          <w:tcPr>
            <w:tcW w:w="980" w:type="dxa"/>
            <w:tcBorders>
              <w:top w:val="nil"/>
              <w:left w:val="nil"/>
              <w:bottom w:val="nil"/>
              <w:right w:val="single" w:sz="4" w:space="0" w:color="auto"/>
            </w:tcBorders>
            <w:shd w:val="clear" w:color="auto" w:fill="auto"/>
            <w:noWrap/>
            <w:vAlign w:val="center"/>
            <w:hideMark/>
          </w:tcPr>
          <w:p w14:paraId="3BDF61AC"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w:t>
            </w:r>
          </w:p>
        </w:tc>
        <w:tc>
          <w:tcPr>
            <w:tcW w:w="2340" w:type="dxa"/>
            <w:tcBorders>
              <w:top w:val="nil"/>
              <w:left w:val="nil"/>
              <w:bottom w:val="nil"/>
              <w:right w:val="nil"/>
            </w:tcBorders>
            <w:shd w:val="clear" w:color="auto" w:fill="auto"/>
            <w:noWrap/>
            <w:vAlign w:val="center"/>
            <w:hideMark/>
          </w:tcPr>
          <w:p w14:paraId="03B2E8F1" w14:textId="77777777" w:rsidR="00A87458" w:rsidRPr="00E8258C" w:rsidRDefault="00A87458" w:rsidP="00E8258C">
            <w:pPr>
              <w:spacing w:line="276" w:lineRule="auto"/>
              <w:ind w:firstLine="284"/>
              <w:rPr>
                <w:color w:val="000000"/>
                <w:sz w:val="20"/>
                <w:szCs w:val="20"/>
              </w:rPr>
            </w:pPr>
            <w:r w:rsidRPr="00E8258C">
              <w:rPr>
                <w:color w:val="000000"/>
                <w:sz w:val="20"/>
                <w:szCs w:val="20"/>
              </w:rPr>
              <w:t>Química Bioquímica</w:t>
            </w:r>
          </w:p>
        </w:tc>
        <w:tc>
          <w:tcPr>
            <w:tcW w:w="980" w:type="dxa"/>
            <w:tcBorders>
              <w:top w:val="nil"/>
              <w:left w:val="nil"/>
              <w:bottom w:val="nil"/>
              <w:right w:val="nil"/>
            </w:tcBorders>
            <w:shd w:val="clear" w:color="auto" w:fill="auto"/>
            <w:noWrap/>
            <w:vAlign w:val="center"/>
            <w:hideMark/>
          </w:tcPr>
          <w:p w14:paraId="019F16C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c>
          <w:tcPr>
            <w:tcW w:w="980" w:type="dxa"/>
            <w:tcBorders>
              <w:top w:val="nil"/>
              <w:left w:val="nil"/>
              <w:bottom w:val="nil"/>
              <w:right w:val="nil"/>
            </w:tcBorders>
            <w:shd w:val="clear" w:color="auto" w:fill="auto"/>
            <w:noWrap/>
            <w:vAlign w:val="center"/>
            <w:hideMark/>
          </w:tcPr>
          <w:p w14:paraId="4F39B71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r>
      <w:tr w:rsidR="00A87458" w:rsidRPr="00E8258C" w14:paraId="01DA79C8"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3BA9D61E" w14:textId="77777777" w:rsidR="00A87458" w:rsidRPr="00E8258C" w:rsidRDefault="00A87458" w:rsidP="00E8258C">
            <w:pPr>
              <w:spacing w:line="276" w:lineRule="auto"/>
              <w:ind w:firstLine="284"/>
              <w:rPr>
                <w:color w:val="000000"/>
                <w:sz w:val="20"/>
                <w:szCs w:val="20"/>
              </w:rPr>
            </w:pPr>
            <w:r w:rsidRPr="00E8258C">
              <w:rPr>
                <w:color w:val="000000"/>
                <w:sz w:val="20"/>
                <w:szCs w:val="20"/>
              </w:rPr>
              <w:t>Administración</w:t>
            </w:r>
          </w:p>
        </w:tc>
        <w:tc>
          <w:tcPr>
            <w:tcW w:w="1140" w:type="dxa"/>
            <w:tcBorders>
              <w:top w:val="nil"/>
              <w:left w:val="nil"/>
              <w:bottom w:val="nil"/>
              <w:right w:val="nil"/>
            </w:tcBorders>
            <w:shd w:val="clear" w:color="auto" w:fill="auto"/>
            <w:noWrap/>
            <w:vAlign w:val="center"/>
            <w:hideMark/>
          </w:tcPr>
          <w:p w14:paraId="7D881DA1"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19</w:t>
            </w:r>
          </w:p>
        </w:tc>
        <w:tc>
          <w:tcPr>
            <w:tcW w:w="980" w:type="dxa"/>
            <w:tcBorders>
              <w:top w:val="nil"/>
              <w:left w:val="nil"/>
              <w:bottom w:val="nil"/>
              <w:right w:val="single" w:sz="4" w:space="0" w:color="auto"/>
            </w:tcBorders>
            <w:shd w:val="clear" w:color="auto" w:fill="auto"/>
            <w:noWrap/>
            <w:vAlign w:val="center"/>
            <w:hideMark/>
          </w:tcPr>
          <w:p w14:paraId="69E5966F"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c>
          <w:tcPr>
            <w:tcW w:w="2340" w:type="dxa"/>
            <w:tcBorders>
              <w:top w:val="nil"/>
              <w:left w:val="nil"/>
              <w:bottom w:val="nil"/>
              <w:right w:val="nil"/>
            </w:tcBorders>
            <w:shd w:val="clear" w:color="auto" w:fill="auto"/>
            <w:noWrap/>
            <w:vAlign w:val="center"/>
            <w:hideMark/>
          </w:tcPr>
          <w:p w14:paraId="27C8FE5C" w14:textId="77777777" w:rsidR="00A87458" w:rsidRPr="00E8258C" w:rsidRDefault="00A87458" w:rsidP="00E8258C">
            <w:pPr>
              <w:spacing w:line="276" w:lineRule="auto"/>
              <w:ind w:firstLine="284"/>
              <w:rPr>
                <w:color w:val="000000"/>
                <w:sz w:val="20"/>
                <w:szCs w:val="20"/>
              </w:rPr>
            </w:pPr>
            <w:r w:rsidRPr="00E8258C">
              <w:rPr>
                <w:color w:val="000000"/>
                <w:sz w:val="20"/>
                <w:szCs w:val="20"/>
              </w:rPr>
              <w:t>Antropología</w:t>
            </w:r>
          </w:p>
        </w:tc>
        <w:tc>
          <w:tcPr>
            <w:tcW w:w="980" w:type="dxa"/>
            <w:tcBorders>
              <w:top w:val="nil"/>
              <w:left w:val="nil"/>
              <w:bottom w:val="nil"/>
              <w:right w:val="nil"/>
            </w:tcBorders>
            <w:shd w:val="clear" w:color="auto" w:fill="auto"/>
            <w:noWrap/>
            <w:vAlign w:val="center"/>
            <w:hideMark/>
          </w:tcPr>
          <w:p w14:paraId="64D2E7AF"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980" w:type="dxa"/>
            <w:tcBorders>
              <w:top w:val="nil"/>
              <w:left w:val="nil"/>
              <w:bottom w:val="nil"/>
              <w:right w:val="nil"/>
            </w:tcBorders>
            <w:shd w:val="clear" w:color="auto" w:fill="auto"/>
            <w:noWrap/>
            <w:vAlign w:val="center"/>
            <w:hideMark/>
          </w:tcPr>
          <w:p w14:paraId="0A0F23BB"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089582B1"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357E8DA7" w14:textId="77777777" w:rsidR="00A87458" w:rsidRPr="00E8258C" w:rsidRDefault="00A87458" w:rsidP="00E8258C">
            <w:pPr>
              <w:spacing w:line="276" w:lineRule="auto"/>
              <w:ind w:firstLine="284"/>
              <w:rPr>
                <w:color w:val="000000"/>
                <w:sz w:val="20"/>
                <w:szCs w:val="20"/>
              </w:rPr>
            </w:pPr>
            <w:r w:rsidRPr="00E8258C">
              <w:rPr>
                <w:color w:val="000000"/>
                <w:sz w:val="20"/>
                <w:szCs w:val="20"/>
              </w:rPr>
              <w:t>Diseño Industrial</w:t>
            </w:r>
          </w:p>
        </w:tc>
        <w:tc>
          <w:tcPr>
            <w:tcW w:w="1140" w:type="dxa"/>
            <w:tcBorders>
              <w:top w:val="nil"/>
              <w:left w:val="nil"/>
              <w:bottom w:val="nil"/>
              <w:right w:val="nil"/>
            </w:tcBorders>
            <w:shd w:val="clear" w:color="auto" w:fill="auto"/>
            <w:noWrap/>
            <w:vAlign w:val="center"/>
            <w:hideMark/>
          </w:tcPr>
          <w:p w14:paraId="530D08A6"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7</w:t>
            </w:r>
          </w:p>
        </w:tc>
        <w:tc>
          <w:tcPr>
            <w:tcW w:w="980" w:type="dxa"/>
            <w:tcBorders>
              <w:top w:val="nil"/>
              <w:left w:val="nil"/>
              <w:bottom w:val="nil"/>
              <w:right w:val="single" w:sz="4" w:space="0" w:color="auto"/>
            </w:tcBorders>
            <w:shd w:val="clear" w:color="auto" w:fill="auto"/>
            <w:noWrap/>
            <w:vAlign w:val="center"/>
            <w:hideMark/>
          </w:tcPr>
          <w:p w14:paraId="3611B600"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c>
          <w:tcPr>
            <w:tcW w:w="2340" w:type="dxa"/>
            <w:tcBorders>
              <w:top w:val="nil"/>
              <w:left w:val="nil"/>
              <w:bottom w:val="nil"/>
              <w:right w:val="nil"/>
            </w:tcBorders>
            <w:shd w:val="clear" w:color="auto" w:fill="auto"/>
            <w:noWrap/>
            <w:vAlign w:val="center"/>
            <w:hideMark/>
          </w:tcPr>
          <w:p w14:paraId="607FF4D7" w14:textId="77777777" w:rsidR="00A87458" w:rsidRPr="00E8258C" w:rsidRDefault="00A87458" w:rsidP="00E8258C">
            <w:pPr>
              <w:spacing w:line="276" w:lineRule="auto"/>
              <w:ind w:firstLine="284"/>
              <w:rPr>
                <w:color w:val="000000"/>
                <w:sz w:val="20"/>
                <w:szCs w:val="20"/>
              </w:rPr>
            </w:pPr>
            <w:r w:rsidRPr="00E8258C">
              <w:rPr>
                <w:color w:val="000000"/>
                <w:sz w:val="20"/>
                <w:szCs w:val="20"/>
              </w:rPr>
              <w:t>Biología</w:t>
            </w:r>
          </w:p>
        </w:tc>
        <w:tc>
          <w:tcPr>
            <w:tcW w:w="980" w:type="dxa"/>
            <w:tcBorders>
              <w:top w:val="nil"/>
              <w:left w:val="nil"/>
              <w:bottom w:val="nil"/>
              <w:right w:val="nil"/>
            </w:tcBorders>
            <w:shd w:val="clear" w:color="auto" w:fill="auto"/>
            <w:noWrap/>
            <w:vAlign w:val="center"/>
            <w:hideMark/>
          </w:tcPr>
          <w:p w14:paraId="27E0C9F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7</w:t>
            </w:r>
          </w:p>
        </w:tc>
        <w:tc>
          <w:tcPr>
            <w:tcW w:w="980" w:type="dxa"/>
            <w:tcBorders>
              <w:top w:val="nil"/>
              <w:left w:val="nil"/>
              <w:bottom w:val="nil"/>
              <w:right w:val="nil"/>
            </w:tcBorders>
            <w:shd w:val="clear" w:color="auto" w:fill="auto"/>
            <w:noWrap/>
            <w:vAlign w:val="center"/>
            <w:hideMark/>
          </w:tcPr>
          <w:p w14:paraId="75B0540E"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22031EED"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6AC37F77"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Sistemas</w:t>
            </w:r>
          </w:p>
        </w:tc>
        <w:tc>
          <w:tcPr>
            <w:tcW w:w="1140" w:type="dxa"/>
            <w:tcBorders>
              <w:top w:val="nil"/>
              <w:left w:val="nil"/>
              <w:bottom w:val="nil"/>
              <w:right w:val="nil"/>
            </w:tcBorders>
            <w:shd w:val="clear" w:color="auto" w:fill="auto"/>
            <w:noWrap/>
            <w:vAlign w:val="center"/>
            <w:hideMark/>
          </w:tcPr>
          <w:p w14:paraId="68FDD6C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11</w:t>
            </w:r>
          </w:p>
        </w:tc>
        <w:tc>
          <w:tcPr>
            <w:tcW w:w="980" w:type="dxa"/>
            <w:tcBorders>
              <w:top w:val="nil"/>
              <w:left w:val="nil"/>
              <w:bottom w:val="nil"/>
              <w:right w:val="single" w:sz="4" w:space="0" w:color="auto"/>
            </w:tcBorders>
            <w:shd w:val="clear" w:color="auto" w:fill="auto"/>
            <w:noWrap/>
            <w:vAlign w:val="center"/>
            <w:hideMark/>
          </w:tcPr>
          <w:p w14:paraId="6D25E610"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c>
          <w:tcPr>
            <w:tcW w:w="2340" w:type="dxa"/>
            <w:tcBorders>
              <w:top w:val="nil"/>
              <w:left w:val="nil"/>
              <w:bottom w:val="nil"/>
              <w:right w:val="nil"/>
            </w:tcBorders>
            <w:shd w:val="clear" w:color="auto" w:fill="auto"/>
            <w:noWrap/>
            <w:vAlign w:val="center"/>
            <w:hideMark/>
          </w:tcPr>
          <w:p w14:paraId="61F7D61E" w14:textId="77777777" w:rsidR="00A87458" w:rsidRPr="00E8258C" w:rsidRDefault="00A87458" w:rsidP="00E8258C">
            <w:pPr>
              <w:spacing w:line="276" w:lineRule="auto"/>
              <w:ind w:firstLine="284"/>
              <w:rPr>
                <w:color w:val="000000"/>
                <w:sz w:val="20"/>
                <w:szCs w:val="20"/>
              </w:rPr>
            </w:pPr>
            <w:r w:rsidRPr="00E8258C">
              <w:rPr>
                <w:color w:val="000000"/>
                <w:sz w:val="20"/>
                <w:szCs w:val="20"/>
              </w:rPr>
              <w:t>Ciencia Política</w:t>
            </w:r>
          </w:p>
        </w:tc>
        <w:tc>
          <w:tcPr>
            <w:tcW w:w="980" w:type="dxa"/>
            <w:tcBorders>
              <w:top w:val="nil"/>
              <w:left w:val="nil"/>
              <w:bottom w:val="nil"/>
              <w:right w:val="nil"/>
            </w:tcBorders>
            <w:shd w:val="clear" w:color="auto" w:fill="auto"/>
            <w:noWrap/>
            <w:vAlign w:val="center"/>
            <w:hideMark/>
          </w:tcPr>
          <w:p w14:paraId="7BDE22B9"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980" w:type="dxa"/>
            <w:tcBorders>
              <w:top w:val="nil"/>
              <w:left w:val="nil"/>
              <w:bottom w:val="nil"/>
              <w:right w:val="nil"/>
            </w:tcBorders>
            <w:shd w:val="clear" w:color="auto" w:fill="auto"/>
            <w:noWrap/>
            <w:vAlign w:val="center"/>
            <w:hideMark/>
          </w:tcPr>
          <w:p w14:paraId="13E70DA5"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2A0EA43E"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77A9395F" w14:textId="77777777" w:rsidR="00E8258C" w:rsidRDefault="00A87458" w:rsidP="00E8258C">
            <w:pPr>
              <w:spacing w:line="276" w:lineRule="auto"/>
              <w:ind w:firstLine="284"/>
              <w:rPr>
                <w:color w:val="000000"/>
                <w:sz w:val="20"/>
                <w:szCs w:val="20"/>
              </w:rPr>
            </w:pPr>
            <w:r w:rsidRPr="00E8258C">
              <w:rPr>
                <w:color w:val="000000"/>
                <w:sz w:val="20"/>
                <w:szCs w:val="20"/>
              </w:rPr>
              <w:t>Merca Interna y</w:t>
            </w:r>
          </w:p>
          <w:p w14:paraId="6CC63579" w14:textId="320AF563" w:rsidR="00A87458" w:rsidRPr="00E8258C" w:rsidRDefault="00A87458" w:rsidP="00E8258C">
            <w:pPr>
              <w:spacing w:line="276" w:lineRule="auto"/>
              <w:ind w:firstLine="284"/>
              <w:rPr>
                <w:color w:val="000000"/>
                <w:sz w:val="20"/>
                <w:szCs w:val="20"/>
              </w:rPr>
            </w:pPr>
            <w:r w:rsidRPr="00E8258C">
              <w:rPr>
                <w:color w:val="000000"/>
                <w:sz w:val="20"/>
                <w:szCs w:val="20"/>
              </w:rPr>
              <w:t>Publicidad</w:t>
            </w:r>
          </w:p>
        </w:tc>
        <w:tc>
          <w:tcPr>
            <w:tcW w:w="1140" w:type="dxa"/>
            <w:tcBorders>
              <w:top w:val="nil"/>
              <w:left w:val="nil"/>
              <w:bottom w:val="nil"/>
              <w:right w:val="nil"/>
            </w:tcBorders>
            <w:shd w:val="clear" w:color="auto" w:fill="auto"/>
            <w:noWrap/>
            <w:vAlign w:val="center"/>
            <w:hideMark/>
          </w:tcPr>
          <w:p w14:paraId="0AFE58D3"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33</w:t>
            </w:r>
          </w:p>
        </w:tc>
        <w:tc>
          <w:tcPr>
            <w:tcW w:w="980" w:type="dxa"/>
            <w:tcBorders>
              <w:top w:val="nil"/>
              <w:left w:val="nil"/>
              <w:bottom w:val="nil"/>
              <w:right w:val="single" w:sz="4" w:space="0" w:color="auto"/>
            </w:tcBorders>
            <w:shd w:val="clear" w:color="auto" w:fill="auto"/>
            <w:noWrap/>
            <w:vAlign w:val="center"/>
            <w:hideMark/>
          </w:tcPr>
          <w:p w14:paraId="5AA23F7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w:t>
            </w:r>
          </w:p>
        </w:tc>
        <w:tc>
          <w:tcPr>
            <w:tcW w:w="2340" w:type="dxa"/>
            <w:tcBorders>
              <w:top w:val="nil"/>
              <w:left w:val="nil"/>
              <w:bottom w:val="nil"/>
              <w:right w:val="nil"/>
            </w:tcBorders>
            <w:shd w:val="clear" w:color="auto" w:fill="auto"/>
            <w:noWrap/>
            <w:vAlign w:val="center"/>
            <w:hideMark/>
          </w:tcPr>
          <w:p w14:paraId="1D6A7807" w14:textId="77777777" w:rsidR="00A87458" w:rsidRPr="00E8258C" w:rsidRDefault="00A87458" w:rsidP="00E8258C">
            <w:pPr>
              <w:spacing w:line="276" w:lineRule="auto"/>
              <w:ind w:firstLine="284"/>
              <w:rPr>
                <w:color w:val="000000"/>
                <w:sz w:val="20"/>
                <w:szCs w:val="20"/>
              </w:rPr>
            </w:pPr>
            <w:r w:rsidRPr="00E8258C">
              <w:rPr>
                <w:color w:val="000000"/>
                <w:sz w:val="20"/>
                <w:szCs w:val="20"/>
              </w:rPr>
              <w:t>Contaduría y Finanzas</w:t>
            </w:r>
          </w:p>
        </w:tc>
        <w:tc>
          <w:tcPr>
            <w:tcW w:w="980" w:type="dxa"/>
            <w:tcBorders>
              <w:top w:val="nil"/>
              <w:left w:val="nil"/>
              <w:bottom w:val="nil"/>
              <w:right w:val="nil"/>
            </w:tcBorders>
            <w:shd w:val="clear" w:color="auto" w:fill="auto"/>
            <w:noWrap/>
            <w:vAlign w:val="center"/>
            <w:hideMark/>
          </w:tcPr>
          <w:p w14:paraId="188B6150"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8</w:t>
            </w:r>
          </w:p>
        </w:tc>
        <w:tc>
          <w:tcPr>
            <w:tcW w:w="980" w:type="dxa"/>
            <w:tcBorders>
              <w:top w:val="nil"/>
              <w:left w:val="nil"/>
              <w:bottom w:val="nil"/>
              <w:right w:val="nil"/>
            </w:tcBorders>
            <w:shd w:val="clear" w:color="auto" w:fill="auto"/>
            <w:noWrap/>
            <w:vAlign w:val="center"/>
            <w:hideMark/>
          </w:tcPr>
          <w:p w14:paraId="3620F97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3471F27A"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0EBFB4D8" w14:textId="77777777" w:rsidR="00A87458" w:rsidRPr="00E8258C" w:rsidRDefault="00A87458" w:rsidP="00E8258C">
            <w:pPr>
              <w:spacing w:line="276" w:lineRule="auto"/>
              <w:ind w:firstLine="284"/>
              <w:rPr>
                <w:color w:val="000000"/>
                <w:sz w:val="20"/>
                <w:szCs w:val="20"/>
              </w:rPr>
            </w:pPr>
            <w:r w:rsidRPr="00E8258C">
              <w:rPr>
                <w:color w:val="000000"/>
                <w:sz w:val="20"/>
                <w:szCs w:val="20"/>
              </w:rPr>
              <w:t>Contaduría y Finanzas</w:t>
            </w:r>
          </w:p>
        </w:tc>
        <w:tc>
          <w:tcPr>
            <w:tcW w:w="1140" w:type="dxa"/>
            <w:tcBorders>
              <w:top w:val="nil"/>
              <w:left w:val="nil"/>
              <w:bottom w:val="nil"/>
              <w:right w:val="nil"/>
            </w:tcBorders>
            <w:shd w:val="clear" w:color="auto" w:fill="auto"/>
            <w:noWrap/>
            <w:vAlign w:val="center"/>
            <w:hideMark/>
          </w:tcPr>
          <w:p w14:paraId="6B897F8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8</w:t>
            </w:r>
          </w:p>
        </w:tc>
        <w:tc>
          <w:tcPr>
            <w:tcW w:w="980" w:type="dxa"/>
            <w:tcBorders>
              <w:top w:val="nil"/>
              <w:left w:val="nil"/>
              <w:bottom w:val="nil"/>
              <w:right w:val="single" w:sz="4" w:space="0" w:color="auto"/>
            </w:tcBorders>
            <w:shd w:val="clear" w:color="auto" w:fill="auto"/>
            <w:noWrap/>
            <w:vAlign w:val="center"/>
            <w:hideMark/>
          </w:tcPr>
          <w:p w14:paraId="14EE8609"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c>
          <w:tcPr>
            <w:tcW w:w="2340" w:type="dxa"/>
            <w:tcBorders>
              <w:top w:val="nil"/>
              <w:left w:val="nil"/>
              <w:bottom w:val="nil"/>
              <w:right w:val="nil"/>
            </w:tcBorders>
            <w:shd w:val="clear" w:color="auto" w:fill="auto"/>
            <w:noWrap/>
            <w:vAlign w:val="center"/>
            <w:hideMark/>
          </w:tcPr>
          <w:p w14:paraId="1D98C40A" w14:textId="77777777" w:rsidR="00A87458" w:rsidRPr="00E8258C" w:rsidRDefault="00A87458" w:rsidP="00E8258C">
            <w:pPr>
              <w:spacing w:line="276" w:lineRule="auto"/>
              <w:ind w:firstLine="284"/>
              <w:rPr>
                <w:color w:val="000000"/>
                <w:sz w:val="20"/>
                <w:szCs w:val="20"/>
              </w:rPr>
            </w:pPr>
            <w:r w:rsidRPr="00E8258C">
              <w:rPr>
                <w:color w:val="000000"/>
                <w:sz w:val="20"/>
                <w:szCs w:val="20"/>
              </w:rPr>
              <w:t>Derecho</w:t>
            </w:r>
          </w:p>
        </w:tc>
        <w:tc>
          <w:tcPr>
            <w:tcW w:w="980" w:type="dxa"/>
            <w:tcBorders>
              <w:top w:val="nil"/>
              <w:left w:val="nil"/>
              <w:bottom w:val="nil"/>
              <w:right w:val="nil"/>
            </w:tcBorders>
            <w:shd w:val="clear" w:color="auto" w:fill="auto"/>
            <w:noWrap/>
            <w:vAlign w:val="center"/>
            <w:hideMark/>
          </w:tcPr>
          <w:p w14:paraId="08A57307"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19</w:t>
            </w:r>
          </w:p>
        </w:tc>
        <w:tc>
          <w:tcPr>
            <w:tcW w:w="980" w:type="dxa"/>
            <w:tcBorders>
              <w:top w:val="nil"/>
              <w:left w:val="nil"/>
              <w:bottom w:val="nil"/>
              <w:right w:val="nil"/>
            </w:tcBorders>
            <w:shd w:val="clear" w:color="auto" w:fill="auto"/>
            <w:noWrap/>
            <w:vAlign w:val="center"/>
            <w:hideMark/>
          </w:tcPr>
          <w:p w14:paraId="4E3A7A4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52650708"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652A2653" w14:textId="1D0D2D46" w:rsidR="00E8258C" w:rsidRDefault="00E8258C" w:rsidP="00E8258C">
            <w:pPr>
              <w:spacing w:line="276" w:lineRule="auto"/>
              <w:ind w:firstLine="284"/>
              <w:rPr>
                <w:color w:val="000000"/>
                <w:sz w:val="20"/>
                <w:szCs w:val="20"/>
              </w:rPr>
            </w:pPr>
            <w:r>
              <w:rPr>
                <w:color w:val="000000"/>
                <w:sz w:val="20"/>
                <w:szCs w:val="20"/>
              </w:rPr>
              <w:t>Economía Políticas</w:t>
            </w:r>
          </w:p>
          <w:p w14:paraId="126FEF64" w14:textId="7E462C9B" w:rsidR="00A87458" w:rsidRPr="00E8258C" w:rsidRDefault="00A87458" w:rsidP="00E8258C">
            <w:pPr>
              <w:spacing w:line="276" w:lineRule="auto"/>
              <w:ind w:firstLine="284"/>
              <w:rPr>
                <w:color w:val="000000"/>
                <w:sz w:val="20"/>
                <w:szCs w:val="20"/>
              </w:rPr>
            </w:pPr>
            <w:r w:rsidRPr="00E8258C">
              <w:rPr>
                <w:color w:val="000000"/>
                <w:sz w:val="20"/>
                <w:szCs w:val="20"/>
              </w:rPr>
              <w:t>Públicas</w:t>
            </w:r>
          </w:p>
        </w:tc>
        <w:tc>
          <w:tcPr>
            <w:tcW w:w="1140" w:type="dxa"/>
            <w:tcBorders>
              <w:top w:val="nil"/>
              <w:left w:val="nil"/>
              <w:bottom w:val="nil"/>
              <w:right w:val="nil"/>
            </w:tcBorders>
            <w:shd w:val="clear" w:color="auto" w:fill="auto"/>
            <w:noWrap/>
            <w:vAlign w:val="center"/>
            <w:hideMark/>
          </w:tcPr>
          <w:p w14:paraId="6B3F843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3</w:t>
            </w:r>
          </w:p>
        </w:tc>
        <w:tc>
          <w:tcPr>
            <w:tcW w:w="980" w:type="dxa"/>
            <w:tcBorders>
              <w:top w:val="nil"/>
              <w:left w:val="nil"/>
              <w:bottom w:val="nil"/>
              <w:right w:val="single" w:sz="4" w:space="0" w:color="auto"/>
            </w:tcBorders>
            <w:shd w:val="clear" w:color="auto" w:fill="auto"/>
            <w:noWrap/>
            <w:vAlign w:val="center"/>
            <w:hideMark/>
          </w:tcPr>
          <w:p w14:paraId="7EC0880C"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c>
          <w:tcPr>
            <w:tcW w:w="2340" w:type="dxa"/>
            <w:tcBorders>
              <w:top w:val="nil"/>
              <w:left w:val="nil"/>
              <w:bottom w:val="nil"/>
              <w:right w:val="nil"/>
            </w:tcBorders>
            <w:shd w:val="clear" w:color="auto" w:fill="auto"/>
            <w:noWrap/>
            <w:vAlign w:val="center"/>
            <w:hideMark/>
          </w:tcPr>
          <w:p w14:paraId="3B30329D" w14:textId="77777777" w:rsidR="00A87458" w:rsidRPr="00E8258C" w:rsidRDefault="00A87458" w:rsidP="00E8258C">
            <w:pPr>
              <w:spacing w:line="276" w:lineRule="auto"/>
              <w:ind w:firstLine="284"/>
              <w:rPr>
                <w:color w:val="000000"/>
                <w:sz w:val="20"/>
                <w:szCs w:val="20"/>
              </w:rPr>
            </w:pPr>
            <w:r w:rsidRPr="00E8258C">
              <w:rPr>
                <w:color w:val="000000"/>
                <w:sz w:val="20"/>
                <w:szCs w:val="20"/>
              </w:rPr>
              <w:t>Diseño Industrial</w:t>
            </w:r>
          </w:p>
        </w:tc>
        <w:tc>
          <w:tcPr>
            <w:tcW w:w="980" w:type="dxa"/>
            <w:tcBorders>
              <w:top w:val="nil"/>
              <w:left w:val="nil"/>
              <w:bottom w:val="nil"/>
              <w:right w:val="nil"/>
            </w:tcBorders>
            <w:shd w:val="clear" w:color="auto" w:fill="auto"/>
            <w:noWrap/>
            <w:vAlign w:val="center"/>
            <w:hideMark/>
          </w:tcPr>
          <w:p w14:paraId="43128D6C"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8</w:t>
            </w:r>
          </w:p>
        </w:tc>
        <w:tc>
          <w:tcPr>
            <w:tcW w:w="980" w:type="dxa"/>
            <w:tcBorders>
              <w:top w:val="nil"/>
              <w:left w:val="nil"/>
              <w:bottom w:val="nil"/>
              <w:right w:val="nil"/>
            </w:tcBorders>
            <w:shd w:val="clear" w:color="auto" w:fill="auto"/>
            <w:noWrap/>
            <w:vAlign w:val="center"/>
            <w:hideMark/>
          </w:tcPr>
          <w:p w14:paraId="39C840A7"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21B8B61C"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08CB98DF" w14:textId="77777777" w:rsidR="00A87458" w:rsidRPr="00E8258C" w:rsidRDefault="00A87458" w:rsidP="00E8258C">
            <w:pPr>
              <w:spacing w:line="276" w:lineRule="auto"/>
              <w:ind w:firstLine="284"/>
              <w:rPr>
                <w:color w:val="000000"/>
                <w:sz w:val="20"/>
                <w:szCs w:val="20"/>
              </w:rPr>
            </w:pPr>
            <w:r w:rsidRPr="00E8258C">
              <w:rPr>
                <w:color w:val="000000"/>
                <w:sz w:val="20"/>
                <w:szCs w:val="20"/>
              </w:rPr>
              <w:t>Antropología</w:t>
            </w:r>
          </w:p>
        </w:tc>
        <w:tc>
          <w:tcPr>
            <w:tcW w:w="1140" w:type="dxa"/>
            <w:tcBorders>
              <w:top w:val="nil"/>
              <w:left w:val="nil"/>
              <w:bottom w:val="nil"/>
              <w:right w:val="nil"/>
            </w:tcBorders>
            <w:shd w:val="clear" w:color="auto" w:fill="auto"/>
            <w:noWrap/>
            <w:vAlign w:val="center"/>
            <w:hideMark/>
          </w:tcPr>
          <w:p w14:paraId="05B46A1F"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5</w:t>
            </w:r>
          </w:p>
        </w:tc>
        <w:tc>
          <w:tcPr>
            <w:tcW w:w="980" w:type="dxa"/>
            <w:tcBorders>
              <w:top w:val="nil"/>
              <w:left w:val="nil"/>
              <w:bottom w:val="nil"/>
              <w:right w:val="single" w:sz="4" w:space="0" w:color="auto"/>
            </w:tcBorders>
            <w:shd w:val="clear" w:color="auto" w:fill="auto"/>
            <w:noWrap/>
            <w:vAlign w:val="center"/>
            <w:hideMark/>
          </w:tcPr>
          <w:p w14:paraId="7557E93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489A1D5F" w14:textId="77777777" w:rsidR="00A87458" w:rsidRPr="00E8258C" w:rsidRDefault="00A87458" w:rsidP="00E8258C">
            <w:pPr>
              <w:spacing w:line="276" w:lineRule="auto"/>
              <w:ind w:firstLine="284"/>
              <w:rPr>
                <w:color w:val="000000"/>
                <w:sz w:val="20"/>
                <w:szCs w:val="20"/>
              </w:rPr>
            </w:pPr>
            <w:r w:rsidRPr="00E8258C">
              <w:rPr>
                <w:color w:val="000000"/>
                <w:sz w:val="20"/>
                <w:szCs w:val="20"/>
              </w:rPr>
              <w:t>Psicología</w:t>
            </w:r>
          </w:p>
        </w:tc>
        <w:tc>
          <w:tcPr>
            <w:tcW w:w="980" w:type="dxa"/>
            <w:tcBorders>
              <w:top w:val="nil"/>
              <w:left w:val="nil"/>
              <w:bottom w:val="nil"/>
              <w:right w:val="nil"/>
            </w:tcBorders>
            <w:shd w:val="clear" w:color="auto" w:fill="auto"/>
            <w:noWrap/>
            <w:vAlign w:val="center"/>
            <w:hideMark/>
          </w:tcPr>
          <w:p w14:paraId="5B65A93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11</w:t>
            </w:r>
          </w:p>
        </w:tc>
        <w:tc>
          <w:tcPr>
            <w:tcW w:w="980" w:type="dxa"/>
            <w:tcBorders>
              <w:top w:val="nil"/>
              <w:left w:val="nil"/>
              <w:bottom w:val="nil"/>
              <w:right w:val="nil"/>
            </w:tcBorders>
            <w:shd w:val="clear" w:color="auto" w:fill="auto"/>
            <w:noWrap/>
            <w:vAlign w:val="center"/>
            <w:hideMark/>
          </w:tcPr>
          <w:p w14:paraId="661A804B"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r>
      <w:tr w:rsidR="00A87458" w:rsidRPr="00E8258C" w14:paraId="090E0261"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462F0320" w14:textId="77777777" w:rsidR="00A87458" w:rsidRPr="00E8258C" w:rsidRDefault="00A87458" w:rsidP="00E8258C">
            <w:pPr>
              <w:spacing w:line="276" w:lineRule="auto"/>
              <w:ind w:firstLine="284"/>
              <w:rPr>
                <w:color w:val="000000"/>
                <w:sz w:val="20"/>
                <w:szCs w:val="20"/>
              </w:rPr>
            </w:pPr>
            <w:r w:rsidRPr="00E8258C">
              <w:rPr>
                <w:color w:val="000000"/>
                <w:sz w:val="20"/>
                <w:szCs w:val="20"/>
              </w:rPr>
              <w:t>Biología</w:t>
            </w:r>
          </w:p>
        </w:tc>
        <w:tc>
          <w:tcPr>
            <w:tcW w:w="1140" w:type="dxa"/>
            <w:tcBorders>
              <w:top w:val="nil"/>
              <w:left w:val="nil"/>
              <w:bottom w:val="nil"/>
              <w:right w:val="nil"/>
            </w:tcBorders>
            <w:shd w:val="clear" w:color="auto" w:fill="auto"/>
            <w:noWrap/>
            <w:vAlign w:val="center"/>
            <w:hideMark/>
          </w:tcPr>
          <w:p w14:paraId="1497A9E3"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8</w:t>
            </w:r>
          </w:p>
        </w:tc>
        <w:tc>
          <w:tcPr>
            <w:tcW w:w="980" w:type="dxa"/>
            <w:tcBorders>
              <w:top w:val="nil"/>
              <w:left w:val="nil"/>
              <w:bottom w:val="nil"/>
              <w:right w:val="single" w:sz="4" w:space="0" w:color="auto"/>
            </w:tcBorders>
            <w:shd w:val="clear" w:color="auto" w:fill="auto"/>
            <w:noWrap/>
            <w:vAlign w:val="center"/>
            <w:hideMark/>
          </w:tcPr>
          <w:p w14:paraId="195D12F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22ADCC6D" w14:textId="77777777" w:rsidR="00A87458" w:rsidRPr="00E8258C" w:rsidRDefault="00A87458" w:rsidP="00E8258C">
            <w:pPr>
              <w:spacing w:line="276" w:lineRule="auto"/>
              <w:ind w:firstLine="284"/>
              <w:rPr>
                <w:color w:val="000000"/>
                <w:sz w:val="20"/>
                <w:szCs w:val="20"/>
              </w:rPr>
            </w:pPr>
            <w:r w:rsidRPr="00E8258C">
              <w:rPr>
                <w:color w:val="000000"/>
                <w:sz w:val="20"/>
                <w:szCs w:val="20"/>
              </w:rPr>
              <w:t>Administración</w:t>
            </w:r>
          </w:p>
        </w:tc>
        <w:tc>
          <w:tcPr>
            <w:tcW w:w="980" w:type="dxa"/>
            <w:tcBorders>
              <w:top w:val="nil"/>
              <w:left w:val="nil"/>
              <w:bottom w:val="nil"/>
              <w:right w:val="nil"/>
            </w:tcBorders>
            <w:shd w:val="clear" w:color="auto" w:fill="auto"/>
            <w:noWrap/>
            <w:vAlign w:val="center"/>
            <w:hideMark/>
          </w:tcPr>
          <w:p w14:paraId="00882FA4"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21</w:t>
            </w:r>
          </w:p>
        </w:tc>
        <w:tc>
          <w:tcPr>
            <w:tcW w:w="980" w:type="dxa"/>
            <w:tcBorders>
              <w:top w:val="nil"/>
              <w:left w:val="nil"/>
              <w:bottom w:val="nil"/>
              <w:right w:val="nil"/>
            </w:tcBorders>
            <w:shd w:val="clear" w:color="auto" w:fill="auto"/>
            <w:noWrap/>
            <w:vAlign w:val="center"/>
            <w:hideMark/>
          </w:tcPr>
          <w:p w14:paraId="0398695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r w:rsidR="00A87458" w:rsidRPr="00E8258C" w14:paraId="6D180347"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797E050E" w14:textId="77777777" w:rsidR="00A87458" w:rsidRPr="00E8258C" w:rsidRDefault="00A87458" w:rsidP="00E8258C">
            <w:pPr>
              <w:spacing w:line="276" w:lineRule="auto"/>
              <w:ind w:firstLine="284"/>
              <w:rPr>
                <w:color w:val="000000"/>
                <w:sz w:val="20"/>
                <w:szCs w:val="20"/>
              </w:rPr>
            </w:pPr>
            <w:r w:rsidRPr="00E8258C">
              <w:rPr>
                <w:color w:val="000000"/>
                <w:sz w:val="20"/>
                <w:szCs w:val="20"/>
              </w:rPr>
              <w:t>Ciencia Política</w:t>
            </w:r>
          </w:p>
        </w:tc>
        <w:tc>
          <w:tcPr>
            <w:tcW w:w="1140" w:type="dxa"/>
            <w:tcBorders>
              <w:top w:val="nil"/>
              <w:left w:val="nil"/>
              <w:bottom w:val="nil"/>
              <w:right w:val="nil"/>
            </w:tcBorders>
            <w:shd w:val="clear" w:color="auto" w:fill="auto"/>
            <w:noWrap/>
            <w:vAlign w:val="center"/>
            <w:hideMark/>
          </w:tcPr>
          <w:p w14:paraId="7294E565"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5</w:t>
            </w:r>
          </w:p>
        </w:tc>
        <w:tc>
          <w:tcPr>
            <w:tcW w:w="980" w:type="dxa"/>
            <w:tcBorders>
              <w:top w:val="nil"/>
              <w:left w:val="nil"/>
              <w:bottom w:val="nil"/>
              <w:right w:val="single" w:sz="4" w:space="0" w:color="auto"/>
            </w:tcBorders>
            <w:shd w:val="clear" w:color="auto" w:fill="auto"/>
            <w:noWrap/>
            <w:vAlign w:val="center"/>
            <w:hideMark/>
          </w:tcPr>
          <w:p w14:paraId="55315B16"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7E300395" w14:textId="77777777" w:rsidR="00E8258C" w:rsidRDefault="00A87458" w:rsidP="00E8258C">
            <w:pPr>
              <w:spacing w:line="276" w:lineRule="auto"/>
              <w:ind w:firstLine="284"/>
              <w:rPr>
                <w:color w:val="000000"/>
                <w:sz w:val="20"/>
                <w:szCs w:val="20"/>
              </w:rPr>
            </w:pPr>
            <w:r w:rsidRPr="00E8258C">
              <w:rPr>
                <w:color w:val="000000"/>
                <w:sz w:val="20"/>
                <w:szCs w:val="20"/>
              </w:rPr>
              <w:t>Diseño Medios</w:t>
            </w:r>
          </w:p>
          <w:p w14:paraId="61803D85" w14:textId="13066437" w:rsidR="00A87458" w:rsidRPr="00E8258C" w:rsidRDefault="00A87458" w:rsidP="00E8258C">
            <w:pPr>
              <w:spacing w:line="276" w:lineRule="auto"/>
              <w:ind w:firstLine="284"/>
              <w:rPr>
                <w:color w:val="000000"/>
                <w:sz w:val="20"/>
                <w:szCs w:val="20"/>
              </w:rPr>
            </w:pPr>
            <w:r w:rsidRPr="00E8258C">
              <w:rPr>
                <w:color w:val="000000"/>
                <w:sz w:val="20"/>
                <w:szCs w:val="20"/>
              </w:rPr>
              <w:t>Interactivos</w:t>
            </w:r>
          </w:p>
        </w:tc>
        <w:tc>
          <w:tcPr>
            <w:tcW w:w="980" w:type="dxa"/>
            <w:tcBorders>
              <w:top w:val="nil"/>
              <w:left w:val="nil"/>
              <w:bottom w:val="nil"/>
              <w:right w:val="nil"/>
            </w:tcBorders>
            <w:shd w:val="clear" w:color="auto" w:fill="auto"/>
            <w:noWrap/>
            <w:vAlign w:val="center"/>
            <w:hideMark/>
          </w:tcPr>
          <w:p w14:paraId="0FC5120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16</w:t>
            </w:r>
          </w:p>
        </w:tc>
        <w:tc>
          <w:tcPr>
            <w:tcW w:w="980" w:type="dxa"/>
            <w:tcBorders>
              <w:top w:val="nil"/>
              <w:left w:val="nil"/>
              <w:bottom w:val="nil"/>
              <w:right w:val="nil"/>
            </w:tcBorders>
            <w:shd w:val="clear" w:color="auto" w:fill="auto"/>
            <w:noWrap/>
            <w:vAlign w:val="center"/>
            <w:hideMark/>
          </w:tcPr>
          <w:p w14:paraId="1652446F"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r w:rsidR="00A87458" w:rsidRPr="00E8258C" w14:paraId="3981BCD2"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4D42BA65"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Telemática</w:t>
            </w:r>
          </w:p>
        </w:tc>
        <w:tc>
          <w:tcPr>
            <w:tcW w:w="1140" w:type="dxa"/>
            <w:tcBorders>
              <w:top w:val="nil"/>
              <w:left w:val="nil"/>
              <w:bottom w:val="nil"/>
              <w:right w:val="nil"/>
            </w:tcBorders>
            <w:shd w:val="clear" w:color="auto" w:fill="auto"/>
            <w:noWrap/>
            <w:vAlign w:val="center"/>
            <w:hideMark/>
          </w:tcPr>
          <w:p w14:paraId="13F59B6C"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6</w:t>
            </w:r>
          </w:p>
        </w:tc>
        <w:tc>
          <w:tcPr>
            <w:tcW w:w="980" w:type="dxa"/>
            <w:tcBorders>
              <w:top w:val="nil"/>
              <w:left w:val="nil"/>
              <w:bottom w:val="nil"/>
              <w:right w:val="single" w:sz="4" w:space="0" w:color="auto"/>
            </w:tcBorders>
            <w:shd w:val="clear" w:color="auto" w:fill="auto"/>
            <w:noWrap/>
            <w:vAlign w:val="center"/>
            <w:hideMark/>
          </w:tcPr>
          <w:p w14:paraId="505832D5"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02726242" w14:textId="77777777" w:rsidR="00E8258C" w:rsidRDefault="00A87458" w:rsidP="00E8258C">
            <w:pPr>
              <w:spacing w:line="276" w:lineRule="auto"/>
              <w:ind w:firstLine="284"/>
              <w:rPr>
                <w:color w:val="000000"/>
                <w:sz w:val="20"/>
                <w:szCs w:val="20"/>
              </w:rPr>
            </w:pPr>
            <w:r w:rsidRPr="00E8258C">
              <w:rPr>
                <w:color w:val="000000"/>
                <w:sz w:val="20"/>
                <w:szCs w:val="20"/>
              </w:rPr>
              <w:t>Economía Políticas</w:t>
            </w:r>
          </w:p>
          <w:p w14:paraId="62A302D9" w14:textId="79301D25" w:rsidR="00A87458" w:rsidRPr="00E8258C" w:rsidRDefault="00A87458" w:rsidP="00E8258C">
            <w:pPr>
              <w:spacing w:line="276" w:lineRule="auto"/>
              <w:ind w:firstLine="284"/>
              <w:rPr>
                <w:color w:val="000000"/>
                <w:sz w:val="20"/>
                <w:szCs w:val="20"/>
              </w:rPr>
            </w:pPr>
            <w:r w:rsidRPr="00E8258C">
              <w:rPr>
                <w:color w:val="000000"/>
                <w:sz w:val="20"/>
                <w:szCs w:val="20"/>
              </w:rPr>
              <w:t>Públicas</w:t>
            </w:r>
          </w:p>
        </w:tc>
        <w:tc>
          <w:tcPr>
            <w:tcW w:w="980" w:type="dxa"/>
            <w:tcBorders>
              <w:top w:val="nil"/>
              <w:left w:val="nil"/>
              <w:bottom w:val="nil"/>
              <w:right w:val="nil"/>
            </w:tcBorders>
            <w:shd w:val="clear" w:color="auto" w:fill="auto"/>
            <w:noWrap/>
            <w:vAlign w:val="center"/>
            <w:hideMark/>
          </w:tcPr>
          <w:p w14:paraId="22B1272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980" w:type="dxa"/>
            <w:tcBorders>
              <w:top w:val="nil"/>
              <w:left w:val="nil"/>
              <w:bottom w:val="nil"/>
              <w:right w:val="nil"/>
            </w:tcBorders>
            <w:shd w:val="clear" w:color="auto" w:fill="auto"/>
            <w:noWrap/>
            <w:vAlign w:val="center"/>
            <w:hideMark/>
          </w:tcPr>
          <w:p w14:paraId="01371733"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r w:rsidR="00A87458" w:rsidRPr="00E8258C" w14:paraId="6F74A519"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41358E18" w14:textId="77777777" w:rsidR="00A87458" w:rsidRPr="00E8258C" w:rsidRDefault="00A87458" w:rsidP="00E8258C">
            <w:pPr>
              <w:spacing w:line="276" w:lineRule="auto"/>
              <w:ind w:firstLine="284"/>
              <w:rPr>
                <w:color w:val="000000"/>
                <w:sz w:val="20"/>
                <w:szCs w:val="20"/>
              </w:rPr>
            </w:pPr>
            <w:r w:rsidRPr="00E8258C">
              <w:rPr>
                <w:color w:val="000000"/>
                <w:sz w:val="20"/>
                <w:szCs w:val="20"/>
              </w:rPr>
              <w:t>Psicología</w:t>
            </w:r>
          </w:p>
        </w:tc>
        <w:tc>
          <w:tcPr>
            <w:tcW w:w="1140" w:type="dxa"/>
            <w:tcBorders>
              <w:top w:val="nil"/>
              <w:left w:val="nil"/>
              <w:bottom w:val="nil"/>
              <w:right w:val="nil"/>
            </w:tcBorders>
            <w:shd w:val="clear" w:color="auto" w:fill="auto"/>
            <w:noWrap/>
            <w:vAlign w:val="center"/>
            <w:hideMark/>
          </w:tcPr>
          <w:p w14:paraId="3E9910C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12</w:t>
            </w:r>
          </w:p>
        </w:tc>
        <w:tc>
          <w:tcPr>
            <w:tcW w:w="980" w:type="dxa"/>
            <w:tcBorders>
              <w:top w:val="nil"/>
              <w:left w:val="nil"/>
              <w:bottom w:val="nil"/>
              <w:right w:val="single" w:sz="4" w:space="0" w:color="auto"/>
            </w:tcBorders>
            <w:shd w:val="clear" w:color="auto" w:fill="auto"/>
            <w:noWrap/>
            <w:vAlign w:val="center"/>
            <w:hideMark/>
          </w:tcPr>
          <w:p w14:paraId="11265966"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07405821"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Sistemas</w:t>
            </w:r>
          </w:p>
        </w:tc>
        <w:tc>
          <w:tcPr>
            <w:tcW w:w="980" w:type="dxa"/>
            <w:tcBorders>
              <w:top w:val="nil"/>
              <w:left w:val="nil"/>
              <w:bottom w:val="nil"/>
              <w:right w:val="nil"/>
            </w:tcBorders>
            <w:shd w:val="clear" w:color="auto" w:fill="auto"/>
            <w:noWrap/>
            <w:vAlign w:val="center"/>
            <w:hideMark/>
          </w:tcPr>
          <w:p w14:paraId="4A8194B2"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13</w:t>
            </w:r>
          </w:p>
        </w:tc>
        <w:tc>
          <w:tcPr>
            <w:tcW w:w="980" w:type="dxa"/>
            <w:tcBorders>
              <w:top w:val="nil"/>
              <w:left w:val="nil"/>
              <w:bottom w:val="nil"/>
              <w:right w:val="nil"/>
            </w:tcBorders>
            <w:shd w:val="clear" w:color="auto" w:fill="auto"/>
            <w:noWrap/>
            <w:vAlign w:val="center"/>
            <w:hideMark/>
          </w:tcPr>
          <w:p w14:paraId="68325F08"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r w:rsidR="00A87458" w:rsidRPr="00E8258C" w14:paraId="4635AF24" w14:textId="77777777" w:rsidTr="00E8258C">
        <w:trPr>
          <w:trHeight w:val="300"/>
          <w:jc w:val="center"/>
        </w:trPr>
        <w:tc>
          <w:tcPr>
            <w:tcW w:w="2340" w:type="dxa"/>
            <w:tcBorders>
              <w:top w:val="nil"/>
              <w:left w:val="nil"/>
              <w:bottom w:val="nil"/>
              <w:right w:val="nil"/>
            </w:tcBorders>
            <w:shd w:val="clear" w:color="auto" w:fill="auto"/>
            <w:noWrap/>
            <w:vAlign w:val="center"/>
            <w:hideMark/>
          </w:tcPr>
          <w:p w14:paraId="68EE9F33" w14:textId="77777777" w:rsidR="00A87458" w:rsidRPr="00E8258C" w:rsidRDefault="00A87458" w:rsidP="00E8258C">
            <w:pPr>
              <w:spacing w:line="276" w:lineRule="auto"/>
              <w:ind w:firstLine="284"/>
              <w:rPr>
                <w:color w:val="000000"/>
                <w:sz w:val="20"/>
                <w:szCs w:val="20"/>
              </w:rPr>
            </w:pPr>
            <w:r w:rsidRPr="00E8258C">
              <w:rPr>
                <w:color w:val="000000"/>
                <w:sz w:val="20"/>
                <w:szCs w:val="20"/>
              </w:rPr>
              <w:t>Química Bioquímica</w:t>
            </w:r>
          </w:p>
        </w:tc>
        <w:tc>
          <w:tcPr>
            <w:tcW w:w="1140" w:type="dxa"/>
            <w:tcBorders>
              <w:top w:val="nil"/>
              <w:left w:val="nil"/>
              <w:bottom w:val="nil"/>
              <w:right w:val="nil"/>
            </w:tcBorders>
            <w:shd w:val="clear" w:color="auto" w:fill="auto"/>
            <w:noWrap/>
            <w:vAlign w:val="center"/>
            <w:hideMark/>
          </w:tcPr>
          <w:p w14:paraId="255E4FC1"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4</w:t>
            </w:r>
          </w:p>
        </w:tc>
        <w:tc>
          <w:tcPr>
            <w:tcW w:w="980" w:type="dxa"/>
            <w:tcBorders>
              <w:top w:val="nil"/>
              <w:left w:val="nil"/>
              <w:bottom w:val="nil"/>
              <w:right w:val="single" w:sz="4" w:space="0" w:color="auto"/>
            </w:tcBorders>
            <w:shd w:val="clear" w:color="auto" w:fill="auto"/>
            <w:noWrap/>
            <w:vAlign w:val="center"/>
            <w:hideMark/>
          </w:tcPr>
          <w:p w14:paraId="2E266BFE"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nil"/>
              <w:right w:val="nil"/>
            </w:tcBorders>
            <w:shd w:val="clear" w:color="auto" w:fill="auto"/>
            <w:noWrap/>
            <w:vAlign w:val="center"/>
            <w:hideMark/>
          </w:tcPr>
          <w:p w14:paraId="1309B0B0" w14:textId="77777777" w:rsidR="00A87458" w:rsidRPr="00E8258C" w:rsidRDefault="00A87458" w:rsidP="00E8258C">
            <w:pPr>
              <w:spacing w:line="276" w:lineRule="auto"/>
              <w:ind w:firstLine="284"/>
              <w:rPr>
                <w:color w:val="000000"/>
                <w:sz w:val="20"/>
                <w:szCs w:val="20"/>
              </w:rPr>
            </w:pPr>
            <w:r w:rsidRPr="00E8258C">
              <w:rPr>
                <w:color w:val="000000"/>
                <w:sz w:val="20"/>
                <w:szCs w:val="20"/>
              </w:rPr>
              <w:t>Ingeniería Telemática</w:t>
            </w:r>
          </w:p>
        </w:tc>
        <w:tc>
          <w:tcPr>
            <w:tcW w:w="980" w:type="dxa"/>
            <w:tcBorders>
              <w:top w:val="nil"/>
              <w:left w:val="nil"/>
              <w:bottom w:val="nil"/>
              <w:right w:val="nil"/>
            </w:tcBorders>
            <w:shd w:val="clear" w:color="auto" w:fill="auto"/>
            <w:noWrap/>
            <w:vAlign w:val="center"/>
            <w:hideMark/>
          </w:tcPr>
          <w:p w14:paraId="75CC195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6</w:t>
            </w:r>
          </w:p>
        </w:tc>
        <w:tc>
          <w:tcPr>
            <w:tcW w:w="980" w:type="dxa"/>
            <w:tcBorders>
              <w:top w:val="nil"/>
              <w:left w:val="nil"/>
              <w:bottom w:val="nil"/>
              <w:right w:val="nil"/>
            </w:tcBorders>
            <w:shd w:val="clear" w:color="auto" w:fill="auto"/>
            <w:noWrap/>
            <w:vAlign w:val="center"/>
            <w:hideMark/>
          </w:tcPr>
          <w:p w14:paraId="31F6054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r w:rsidR="00A87458" w:rsidRPr="00E8258C" w14:paraId="7971A3A6" w14:textId="77777777" w:rsidTr="00E8258C">
        <w:trPr>
          <w:trHeight w:val="300"/>
          <w:jc w:val="center"/>
        </w:trPr>
        <w:tc>
          <w:tcPr>
            <w:tcW w:w="2340" w:type="dxa"/>
            <w:tcBorders>
              <w:top w:val="nil"/>
              <w:left w:val="nil"/>
              <w:bottom w:val="single" w:sz="4" w:space="0" w:color="auto"/>
              <w:right w:val="nil"/>
            </w:tcBorders>
            <w:shd w:val="clear" w:color="auto" w:fill="auto"/>
            <w:noWrap/>
            <w:vAlign w:val="center"/>
            <w:hideMark/>
          </w:tcPr>
          <w:p w14:paraId="148CC7F4" w14:textId="77777777" w:rsidR="00A87458" w:rsidRPr="00E8258C" w:rsidRDefault="00A87458" w:rsidP="00E8258C">
            <w:pPr>
              <w:spacing w:line="276" w:lineRule="auto"/>
              <w:ind w:firstLine="284"/>
              <w:rPr>
                <w:color w:val="000000"/>
                <w:sz w:val="20"/>
                <w:szCs w:val="20"/>
              </w:rPr>
            </w:pPr>
            <w:r w:rsidRPr="00E8258C">
              <w:rPr>
                <w:color w:val="000000"/>
                <w:sz w:val="20"/>
                <w:szCs w:val="20"/>
              </w:rPr>
              <w:t>Sociología</w:t>
            </w:r>
          </w:p>
        </w:tc>
        <w:tc>
          <w:tcPr>
            <w:tcW w:w="1140" w:type="dxa"/>
            <w:tcBorders>
              <w:top w:val="nil"/>
              <w:left w:val="nil"/>
              <w:bottom w:val="single" w:sz="4" w:space="0" w:color="auto"/>
              <w:right w:val="nil"/>
            </w:tcBorders>
            <w:shd w:val="clear" w:color="auto" w:fill="auto"/>
            <w:noWrap/>
            <w:vAlign w:val="center"/>
            <w:hideMark/>
          </w:tcPr>
          <w:p w14:paraId="77DFA73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c>
          <w:tcPr>
            <w:tcW w:w="980" w:type="dxa"/>
            <w:tcBorders>
              <w:top w:val="nil"/>
              <w:left w:val="nil"/>
              <w:bottom w:val="single" w:sz="4" w:space="0" w:color="auto"/>
              <w:right w:val="single" w:sz="4" w:space="0" w:color="auto"/>
            </w:tcBorders>
            <w:shd w:val="clear" w:color="auto" w:fill="auto"/>
            <w:noWrap/>
            <w:vAlign w:val="center"/>
            <w:hideMark/>
          </w:tcPr>
          <w:p w14:paraId="5A1FD9ED"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c>
          <w:tcPr>
            <w:tcW w:w="2340" w:type="dxa"/>
            <w:tcBorders>
              <w:top w:val="nil"/>
              <w:left w:val="nil"/>
              <w:bottom w:val="single" w:sz="4" w:space="0" w:color="auto"/>
              <w:right w:val="nil"/>
            </w:tcBorders>
            <w:shd w:val="clear" w:color="auto" w:fill="auto"/>
            <w:noWrap/>
            <w:vAlign w:val="center"/>
            <w:hideMark/>
          </w:tcPr>
          <w:p w14:paraId="12F8423A" w14:textId="77777777" w:rsidR="00A87458" w:rsidRPr="00E8258C" w:rsidRDefault="00A87458" w:rsidP="00E8258C">
            <w:pPr>
              <w:spacing w:line="276" w:lineRule="auto"/>
              <w:ind w:firstLine="284"/>
              <w:rPr>
                <w:color w:val="000000"/>
                <w:sz w:val="20"/>
                <w:szCs w:val="20"/>
              </w:rPr>
            </w:pPr>
            <w:r w:rsidRPr="00E8258C">
              <w:rPr>
                <w:color w:val="000000"/>
                <w:sz w:val="20"/>
                <w:szCs w:val="20"/>
              </w:rPr>
              <w:t>Sociología</w:t>
            </w:r>
          </w:p>
        </w:tc>
        <w:tc>
          <w:tcPr>
            <w:tcW w:w="980" w:type="dxa"/>
            <w:tcBorders>
              <w:top w:val="nil"/>
              <w:left w:val="nil"/>
              <w:bottom w:val="single" w:sz="4" w:space="0" w:color="auto"/>
              <w:right w:val="nil"/>
            </w:tcBorders>
            <w:shd w:val="clear" w:color="auto" w:fill="auto"/>
            <w:noWrap/>
            <w:vAlign w:val="center"/>
            <w:hideMark/>
          </w:tcPr>
          <w:p w14:paraId="5911587A"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1</w:t>
            </w:r>
          </w:p>
        </w:tc>
        <w:tc>
          <w:tcPr>
            <w:tcW w:w="980" w:type="dxa"/>
            <w:tcBorders>
              <w:top w:val="nil"/>
              <w:left w:val="nil"/>
              <w:bottom w:val="single" w:sz="4" w:space="0" w:color="auto"/>
              <w:right w:val="nil"/>
            </w:tcBorders>
            <w:shd w:val="clear" w:color="auto" w:fill="auto"/>
            <w:noWrap/>
            <w:vAlign w:val="center"/>
            <w:hideMark/>
          </w:tcPr>
          <w:p w14:paraId="097C1D03" w14:textId="77777777" w:rsidR="00A87458" w:rsidRPr="00E8258C" w:rsidRDefault="00A87458" w:rsidP="00E8258C">
            <w:pPr>
              <w:spacing w:line="276" w:lineRule="auto"/>
              <w:ind w:firstLine="284"/>
              <w:jc w:val="right"/>
              <w:rPr>
                <w:color w:val="000000"/>
                <w:sz w:val="20"/>
                <w:szCs w:val="20"/>
              </w:rPr>
            </w:pPr>
            <w:r w:rsidRPr="00E8258C">
              <w:rPr>
                <w:color w:val="000000"/>
                <w:sz w:val="20"/>
                <w:szCs w:val="20"/>
              </w:rPr>
              <w:t>0</w:t>
            </w:r>
          </w:p>
        </w:tc>
      </w:tr>
    </w:tbl>
    <w:p w14:paraId="7328AE2E" w14:textId="77777777" w:rsidR="00A87458" w:rsidRDefault="00A87458" w:rsidP="005B7C9B">
      <w:pPr>
        <w:autoSpaceDE w:val="0"/>
        <w:autoSpaceDN w:val="0"/>
        <w:adjustRightInd w:val="0"/>
        <w:spacing w:line="480" w:lineRule="auto"/>
        <w:ind w:firstLine="284"/>
        <w:jc w:val="both"/>
        <w:rPr>
          <w:rFonts w:eastAsiaTheme="minorEastAsia"/>
          <w:lang w:val="es-CO" w:eastAsia="ja-JP"/>
        </w:rPr>
      </w:pPr>
    </w:p>
    <w:p w14:paraId="59F917A6" w14:textId="77777777" w:rsidR="002A30FC" w:rsidRDefault="00A87458" w:rsidP="002A30FC">
      <w:pPr>
        <w:autoSpaceDE w:val="0"/>
        <w:autoSpaceDN w:val="0"/>
        <w:adjustRightInd w:val="0"/>
        <w:spacing w:line="480" w:lineRule="auto"/>
        <w:ind w:firstLine="284"/>
        <w:jc w:val="both"/>
        <w:rPr>
          <w:rFonts w:eastAsiaTheme="minorEastAsia"/>
          <w:color w:val="FF0000"/>
          <w:lang w:val="es-CO" w:eastAsia="ja-JP"/>
        </w:rPr>
      </w:pPr>
      <w:r w:rsidRPr="004E497C">
        <w:rPr>
          <w:rFonts w:eastAsiaTheme="minorEastAsia"/>
          <w:lang w:val="es-CO" w:eastAsia="ja-JP"/>
        </w:rPr>
        <w:t xml:space="preserve">De aquí se puede ver que Economía y Negocios Internacionales es la carrera con puntajes altos en hombres y mujeres, seguida de Ingeniería Industrial. Para el caso de los hombres Derecho y Medicina son las carreras con mayor número de estudiantes con puntajes AUDIT altos, mientras en las mujeres </w:t>
      </w:r>
      <w:r w:rsidR="00D20667" w:rsidRPr="004E497C">
        <w:rPr>
          <w:rFonts w:eastAsiaTheme="minorEastAsia"/>
          <w:lang w:val="es-CO" w:eastAsia="ja-JP"/>
        </w:rPr>
        <w:t>sigue Mercadeo y Publicidad.</w:t>
      </w:r>
    </w:p>
    <w:p w14:paraId="7F9545E2" w14:textId="49EB754C" w:rsidR="003D3EAC" w:rsidRPr="002A30FC" w:rsidRDefault="004511DC" w:rsidP="002A30FC">
      <w:pPr>
        <w:autoSpaceDE w:val="0"/>
        <w:autoSpaceDN w:val="0"/>
        <w:adjustRightInd w:val="0"/>
        <w:spacing w:line="480" w:lineRule="auto"/>
        <w:ind w:firstLine="284"/>
        <w:jc w:val="both"/>
        <w:rPr>
          <w:rFonts w:eastAsiaTheme="minorEastAsia"/>
          <w:color w:val="FF0000"/>
          <w:lang w:val="es-CO" w:eastAsia="ja-JP"/>
        </w:rPr>
      </w:pPr>
      <w:r>
        <w:rPr>
          <w:rFonts w:eastAsiaTheme="minorEastAsia"/>
          <w:lang w:val="es-CO" w:eastAsia="ja-JP"/>
        </w:rPr>
        <w:t>D</w:t>
      </w:r>
      <w:r w:rsidR="000A0C94">
        <w:rPr>
          <w:rFonts w:eastAsiaTheme="minorEastAsia"/>
          <w:lang w:val="es-CO" w:eastAsia="ja-JP"/>
        </w:rPr>
        <w:t>ado que el interés se centra en estudiar los patrones de consumo</w:t>
      </w:r>
      <w:r w:rsidR="00617754">
        <w:rPr>
          <w:rFonts w:eastAsiaTheme="minorEastAsia"/>
          <w:lang w:val="es-CO" w:eastAsia="ja-JP"/>
        </w:rPr>
        <w:t xml:space="preserve"> asociados al riesgo</w:t>
      </w:r>
      <w:r w:rsidR="000A0C94">
        <w:rPr>
          <w:rFonts w:eastAsiaTheme="minorEastAsia"/>
          <w:lang w:val="es-CO" w:eastAsia="ja-JP"/>
        </w:rPr>
        <w:t xml:space="preserve"> y habiendo identificado que la edad y el género inciden sobre estos</w:t>
      </w:r>
      <w:r>
        <w:rPr>
          <w:rFonts w:eastAsiaTheme="minorEastAsia"/>
          <w:lang w:val="es-CO" w:eastAsia="ja-JP"/>
        </w:rPr>
        <w:t>, a</w:t>
      </w:r>
      <w:r w:rsidR="000A0C94">
        <w:rPr>
          <w:rFonts w:eastAsiaTheme="minorEastAsia"/>
          <w:lang w:val="es-CO" w:eastAsia="ja-JP"/>
        </w:rPr>
        <w:t xml:space="preserve"> continuación se presenta un</w:t>
      </w:r>
      <w:r w:rsidR="00617754">
        <w:rPr>
          <w:rFonts w:eastAsiaTheme="minorEastAsia"/>
          <w:lang w:val="es-CO" w:eastAsia="ja-JP"/>
        </w:rPr>
        <w:t>a</w:t>
      </w:r>
      <w:r w:rsidR="000A0C94">
        <w:rPr>
          <w:rFonts w:eastAsiaTheme="minorEastAsia"/>
          <w:lang w:val="es-CO" w:eastAsia="ja-JP"/>
        </w:rPr>
        <w:t xml:space="preserve"> descripción de los principales dominios</w:t>
      </w:r>
      <w:r w:rsidR="00617754">
        <w:rPr>
          <w:rFonts w:eastAsiaTheme="minorEastAsia"/>
          <w:lang w:val="es-CO" w:eastAsia="ja-JP"/>
        </w:rPr>
        <w:t xml:space="preserve"> de riesgo</w:t>
      </w:r>
      <w:r w:rsidR="000A0C94">
        <w:rPr>
          <w:rFonts w:eastAsiaTheme="minorEastAsia"/>
          <w:lang w:val="es-CO" w:eastAsia="ja-JP"/>
        </w:rPr>
        <w:t xml:space="preserve"> donde se pueden catalogar a los individuos de acuerdo a su patrón de consumo.</w:t>
      </w:r>
      <w:r>
        <w:rPr>
          <w:rFonts w:eastAsiaTheme="minorEastAsia"/>
          <w:lang w:val="es-CO" w:eastAsia="ja-JP"/>
        </w:rPr>
        <w:t xml:space="preserve"> De este modo, las primeras tres preguntas de</w:t>
      </w:r>
      <w:r w:rsidR="007A29DA">
        <w:rPr>
          <w:rFonts w:eastAsiaTheme="minorEastAsia"/>
          <w:lang w:val="es-CO" w:eastAsia="ja-JP"/>
        </w:rPr>
        <w:t xml:space="preserve">l </w:t>
      </w:r>
      <w:r w:rsidR="007A29DA">
        <w:rPr>
          <w:rFonts w:eastAsiaTheme="minorEastAsia"/>
          <w:lang w:val="es-CO" w:eastAsia="ja-JP"/>
        </w:rPr>
        <w:lastRenderedPageBreak/>
        <w:t>AUDIT</w:t>
      </w:r>
      <w:r>
        <w:rPr>
          <w:rFonts w:eastAsiaTheme="minorEastAsia"/>
          <w:lang w:val="es-CO" w:eastAsia="ja-JP"/>
        </w:rPr>
        <w:t xml:space="preserve"> que hacen referencia al consumo de riesgo y que miden</w:t>
      </w:r>
      <w:r w:rsidR="00B85B1C">
        <w:rPr>
          <w:rFonts w:eastAsiaTheme="minorEastAsia"/>
          <w:lang w:val="es-CO" w:eastAsia="ja-JP"/>
        </w:rPr>
        <w:t>:</w:t>
      </w:r>
      <w:r>
        <w:rPr>
          <w:rFonts w:eastAsiaTheme="minorEastAsia"/>
          <w:lang w:val="es-CO" w:eastAsia="ja-JP"/>
        </w:rPr>
        <w:t xml:space="preserve"> </w:t>
      </w:r>
      <w:r w:rsidR="00F22BEF">
        <w:rPr>
          <w:rFonts w:eastAsiaTheme="minorEastAsia"/>
          <w:lang w:val="es-CO" w:eastAsia="ja-JP"/>
        </w:rPr>
        <w:t>1</w:t>
      </w:r>
      <w:r w:rsidR="0033784F">
        <w:rPr>
          <w:rFonts w:eastAsiaTheme="minorEastAsia"/>
          <w:lang w:val="es-CO" w:eastAsia="ja-JP"/>
        </w:rPr>
        <w:t xml:space="preserve">) </w:t>
      </w:r>
      <w:r>
        <w:rPr>
          <w:rFonts w:eastAsiaTheme="minorEastAsia"/>
          <w:lang w:val="es-CO" w:eastAsia="ja-JP"/>
        </w:rPr>
        <w:t xml:space="preserve">frecuencia de consumo de bebidas alcohólicas, </w:t>
      </w:r>
      <w:r w:rsidR="00F22BEF">
        <w:rPr>
          <w:rFonts w:eastAsiaTheme="minorEastAsia"/>
          <w:lang w:val="es-CO" w:eastAsia="ja-JP"/>
        </w:rPr>
        <w:t>2</w:t>
      </w:r>
      <w:r w:rsidR="0033784F">
        <w:rPr>
          <w:rFonts w:eastAsiaTheme="minorEastAsia"/>
          <w:lang w:val="es-CO" w:eastAsia="ja-JP"/>
        </w:rPr>
        <w:t xml:space="preserve">) </w:t>
      </w:r>
      <w:r>
        <w:rPr>
          <w:rFonts w:eastAsiaTheme="minorEastAsia"/>
          <w:lang w:val="es-CO" w:eastAsia="ja-JP"/>
        </w:rPr>
        <w:t xml:space="preserve">consumiciones en un día de consumo normal y </w:t>
      </w:r>
      <w:r w:rsidR="00F22BEF">
        <w:rPr>
          <w:rFonts w:eastAsiaTheme="minorEastAsia"/>
          <w:lang w:val="es-CO" w:eastAsia="ja-JP"/>
        </w:rPr>
        <w:t>3</w:t>
      </w:r>
      <w:r w:rsidR="0033784F">
        <w:rPr>
          <w:rFonts w:eastAsiaTheme="minorEastAsia"/>
          <w:lang w:val="es-CO" w:eastAsia="ja-JP"/>
        </w:rPr>
        <w:t xml:space="preserve">) </w:t>
      </w:r>
      <w:r>
        <w:rPr>
          <w:rFonts w:eastAsiaTheme="minorEastAsia"/>
          <w:lang w:val="es-CO" w:eastAsia="ja-JP"/>
        </w:rPr>
        <w:t>la frecuencia de veces donde el individuo toma 6 o más bebidas alcohólicas en un solo día, muestran</w:t>
      </w:r>
      <w:r w:rsidR="00B85B1C">
        <w:rPr>
          <w:rFonts w:eastAsiaTheme="minorEastAsia"/>
          <w:lang w:val="es-CO" w:eastAsia="ja-JP"/>
        </w:rPr>
        <w:t xml:space="preserve"> una tendencia hacia un </w:t>
      </w:r>
      <w:r w:rsidR="0067145D">
        <w:rPr>
          <w:rFonts w:eastAsiaTheme="minorEastAsia"/>
          <w:lang w:val="es-CO" w:eastAsia="ja-JP"/>
        </w:rPr>
        <w:t>consumo bajo por parte de la mayoría de los individuos encuestados</w:t>
      </w:r>
      <w:r w:rsidR="0033784F">
        <w:rPr>
          <w:rFonts w:eastAsiaTheme="minorEastAsia"/>
          <w:lang w:val="es-CO" w:eastAsia="ja-JP"/>
        </w:rPr>
        <w:t>.</w:t>
      </w:r>
    </w:p>
    <w:p w14:paraId="49F6D15B" w14:textId="2EB20C79" w:rsidR="000E652F" w:rsidRDefault="000E652F" w:rsidP="005B7C9B">
      <w:pPr>
        <w:autoSpaceDE w:val="0"/>
        <w:autoSpaceDN w:val="0"/>
        <w:adjustRightInd w:val="0"/>
        <w:spacing w:line="480" w:lineRule="auto"/>
        <w:ind w:firstLine="284"/>
        <w:rPr>
          <w:rFonts w:eastAsiaTheme="minorEastAsia"/>
          <w:lang w:val="es-CO" w:eastAsia="ja-JP"/>
        </w:rPr>
      </w:pPr>
    </w:p>
    <w:p w14:paraId="3371D3BE" w14:textId="77777777" w:rsidR="001E7DDC" w:rsidRDefault="00857102" w:rsidP="001E7DDC">
      <w:pPr>
        <w:keepNext/>
        <w:autoSpaceDE w:val="0"/>
        <w:autoSpaceDN w:val="0"/>
        <w:adjustRightInd w:val="0"/>
        <w:spacing w:line="480" w:lineRule="auto"/>
        <w:ind w:firstLine="284"/>
        <w:jc w:val="center"/>
      </w:pPr>
      <w:r>
        <w:rPr>
          <w:noProof/>
          <w:lang w:val="es-CO" w:eastAsia="es-CO"/>
        </w:rPr>
        <w:drawing>
          <wp:inline distT="0" distB="0" distL="0" distR="0" wp14:anchorId="43623C2D" wp14:editId="40047F9F">
            <wp:extent cx="4731328" cy="3657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328" cy="3657600"/>
                    </a:xfrm>
                    <a:prstGeom prst="rect">
                      <a:avLst/>
                    </a:prstGeom>
                  </pic:spPr>
                </pic:pic>
              </a:graphicData>
            </a:graphic>
          </wp:inline>
        </w:drawing>
      </w:r>
    </w:p>
    <w:p w14:paraId="26B32998" w14:textId="3815252C" w:rsidR="00857102" w:rsidRPr="001E7DDC" w:rsidRDefault="001E7DDC" w:rsidP="001E7DDC">
      <w:pPr>
        <w:pStyle w:val="Caption"/>
        <w:jc w:val="center"/>
        <w:rPr>
          <w:rFonts w:eastAsiaTheme="minorEastAsia"/>
          <w:sz w:val="20"/>
          <w:lang w:val="es-CO" w:eastAsia="ja-JP"/>
        </w:rPr>
      </w:pPr>
      <w:bookmarkStart w:id="17" w:name="_Toc450578185"/>
      <w:r>
        <w:rPr>
          <w:sz w:val="20"/>
        </w:rPr>
        <w:t>Figura</w:t>
      </w:r>
      <w:r w:rsidRPr="001E7DDC">
        <w:rPr>
          <w:sz w:val="20"/>
        </w:rPr>
        <w:t xml:space="preserve"> </w:t>
      </w:r>
      <w:r w:rsidRPr="001E7DDC">
        <w:rPr>
          <w:sz w:val="20"/>
        </w:rPr>
        <w:fldChar w:fldCharType="begin"/>
      </w:r>
      <w:r w:rsidRPr="001E7DDC">
        <w:rPr>
          <w:sz w:val="20"/>
        </w:rPr>
        <w:instrText xml:space="preserve"> SEQ Ilustración \* ARABIC </w:instrText>
      </w:r>
      <w:r w:rsidRPr="001E7DDC">
        <w:rPr>
          <w:sz w:val="20"/>
        </w:rPr>
        <w:fldChar w:fldCharType="separate"/>
      </w:r>
      <w:r w:rsidR="003A2538">
        <w:rPr>
          <w:noProof/>
          <w:sz w:val="20"/>
        </w:rPr>
        <w:t>10</w:t>
      </w:r>
      <w:r w:rsidRPr="001E7DDC">
        <w:rPr>
          <w:sz w:val="20"/>
        </w:rPr>
        <w:fldChar w:fldCharType="end"/>
      </w:r>
      <w:r w:rsidRPr="001E7DDC">
        <w:rPr>
          <w:sz w:val="20"/>
        </w:rPr>
        <w:t xml:space="preserve">. </w:t>
      </w:r>
      <w:r w:rsidRPr="001E7DDC">
        <w:rPr>
          <w:i w:val="0"/>
          <w:sz w:val="20"/>
        </w:rPr>
        <w:t>Categorías de respuesta por variable en el dominio de Consumo de riesgo de alcohol</w:t>
      </w:r>
      <w:bookmarkEnd w:id="17"/>
    </w:p>
    <w:p w14:paraId="118323D3" w14:textId="241CA785" w:rsidR="000E652F" w:rsidRDefault="000E652F" w:rsidP="005B7C9B">
      <w:pPr>
        <w:autoSpaceDE w:val="0"/>
        <w:autoSpaceDN w:val="0"/>
        <w:adjustRightInd w:val="0"/>
        <w:spacing w:line="480" w:lineRule="auto"/>
        <w:ind w:firstLine="284"/>
        <w:rPr>
          <w:rFonts w:eastAsiaTheme="minorEastAsia"/>
          <w:lang w:val="es-CO" w:eastAsia="ja-JP"/>
        </w:rPr>
      </w:pPr>
    </w:p>
    <w:p w14:paraId="2F1E2811" w14:textId="4422E097" w:rsidR="00B12A02" w:rsidRPr="007A29DA" w:rsidRDefault="0099572B" w:rsidP="005B7C9B">
      <w:pPr>
        <w:spacing w:line="480" w:lineRule="auto"/>
        <w:ind w:firstLine="284"/>
        <w:jc w:val="both"/>
        <w:rPr>
          <w:rFonts w:eastAsiaTheme="minorEastAsia"/>
          <w:color w:val="FF0000"/>
          <w:lang w:val="es-CO" w:eastAsia="ja-JP"/>
        </w:rPr>
      </w:pPr>
      <w:r>
        <w:rPr>
          <w:rFonts w:eastAsiaTheme="minorEastAsia"/>
          <w:lang w:val="es-CO" w:eastAsia="ja-JP"/>
        </w:rPr>
        <w:t>No obstante, si se analiza la</w:t>
      </w:r>
      <w:r w:rsidR="0033784F">
        <w:rPr>
          <w:rFonts w:eastAsiaTheme="minorEastAsia"/>
          <w:lang w:val="es-CO" w:eastAsia="ja-JP"/>
        </w:rPr>
        <w:t xml:space="preserve"> Figura</w:t>
      </w:r>
      <w:r>
        <w:rPr>
          <w:rFonts w:eastAsiaTheme="minorEastAsia"/>
          <w:lang w:val="es-CO" w:eastAsia="ja-JP"/>
        </w:rPr>
        <w:t xml:space="preserve"> 10</w:t>
      </w:r>
      <w:r w:rsidR="0033784F">
        <w:rPr>
          <w:rFonts w:eastAsiaTheme="minorEastAsia"/>
          <w:lang w:val="es-CO" w:eastAsia="ja-JP"/>
        </w:rPr>
        <w:t xml:space="preserve"> se destaca que un porcentaje considerable de individuos muestran una tendencia hacia consumos de riesgo. Examinando las variables asociadas a</w:t>
      </w:r>
      <w:r w:rsidR="00857102">
        <w:rPr>
          <w:rFonts w:eastAsiaTheme="minorEastAsia"/>
          <w:lang w:val="es-CO" w:eastAsia="ja-JP"/>
        </w:rPr>
        <w:t xml:space="preserve"> la dependencia donde se mide: 4</w:t>
      </w:r>
      <w:r w:rsidR="0033784F">
        <w:rPr>
          <w:rFonts w:eastAsiaTheme="minorEastAsia"/>
          <w:lang w:val="es-CO" w:eastAsia="ja-JP"/>
        </w:rPr>
        <w:t>) el hecho de ser incapaz de parar de</w:t>
      </w:r>
      <w:r w:rsidR="00857102">
        <w:rPr>
          <w:rFonts w:eastAsiaTheme="minorEastAsia"/>
          <w:lang w:val="es-CO" w:eastAsia="ja-JP"/>
        </w:rPr>
        <w:t xml:space="preserve"> beber una vez se ha empezado, 5</w:t>
      </w:r>
      <w:r w:rsidR="0033784F">
        <w:rPr>
          <w:rFonts w:eastAsiaTheme="minorEastAsia"/>
          <w:lang w:val="es-CO" w:eastAsia="ja-JP"/>
        </w:rPr>
        <w:t xml:space="preserve">) no poder cumplir con las obligaciones por haber bebido y </w:t>
      </w:r>
      <w:r w:rsidR="00857102">
        <w:rPr>
          <w:rFonts w:eastAsiaTheme="minorEastAsia"/>
          <w:lang w:val="es-CO" w:eastAsia="ja-JP"/>
        </w:rPr>
        <w:t>6</w:t>
      </w:r>
      <w:r w:rsidR="0033784F">
        <w:rPr>
          <w:rFonts w:eastAsiaTheme="minorEastAsia"/>
          <w:lang w:val="es-CO" w:eastAsia="ja-JP"/>
        </w:rPr>
        <w:t>) la frecuencia con la que ha necesitado beber en ayunas para recuperarse por haber bebido el día anterior</w:t>
      </w:r>
      <w:r>
        <w:rPr>
          <w:rFonts w:eastAsiaTheme="minorEastAsia"/>
          <w:lang w:val="es-CO" w:eastAsia="ja-JP"/>
        </w:rPr>
        <w:t xml:space="preserve"> (ver Figura 11)</w:t>
      </w:r>
      <w:r w:rsidR="0033784F">
        <w:rPr>
          <w:rFonts w:eastAsiaTheme="minorEastAsia"/>
          <w:lang w:val="es-CO" w:eastAsia="ja-JP"/>
        </w:rPr>
        <w:t xml:space="preserve">; se observa que </w:t>
      </w:r>
      <w:r w:rsidR="00B12A02">
        <w:rPr>
          <w:rFonts w:eastAsiaTheme="minorEastAsia"/>
          <w:lang w:val="es-CO" w:eastAsia="ja-JP"/>
        </w:rPr>
        <w:t xml:space="preserve">aproximadamente </w:t>
      </w:r>
      <w:r w:rsidR="0033784F">
        <w:rPr>
          <w:rFonts w:eastAsiaTheme="minorEastAsia"/>
          <w:lang w:val="es-CO" w:eastAsia="ja-JP"/>
        </w:rPr>
        <w:t>más de un 80% de los estudiantes en las 3 variables evaluadas nunca ha prese</w:t>
      </w:r>
      <w:r w:rsidR="00B12A02">
        <w:rPr>
          <w:rFonts w:eastAsiaTheme="minorEastAsia"/>
          <w:lang w:val="es-CO" w:eastAsia="ja-JP"/>
        </w:rPr>
        <w:t>ntado antecedentes de ese tipo.</w:t>
      </w:r>
      <w:r w:rsidR="00794344">
        <w:rPr>
          <w:rFonts w:eastAsiaTheme="minorEastAsia"/>
          <w:lang w:val="es-CO" w:eastAsia="ja-JP"/>
        </w:rPr>
        <w:t xml:space="preserve"> </w:t>
      </w:r>
      <w:r w:rsidR="00B12A02">
        <w:rPr>
          <w:rFonts w:eastAsiaTheme="minorEastAsia"/>
          <w:lang w:val="es-CO" w:eastAsia="ja-JP"/>
        </w:rPr>
        <w:t xml:space="preserve">Sin embargo, el </w:t>
      </w:r>
      <w:r w:rsidR="00B12A02">
        <w:rPr>
          <w:rFonts w:eastAsiaTheme="minorEastAsia"/>
          <w:lang w:val="es-CO" w:eastAsia="ja-JP"/>
        </w:rPr>
        <w:lastRenderedPageBreak/>
        <w:t xml:space="preserve">20% restante de los estudiantes muestran </w:t>
      </w:r>
      <w:r w:rsidR="00794344">
        <w:rPr>
          <w:rFonts w:eastAsiaTheme="minorEastAsia"/>
          <w:lang w:val="es-CO" w:eastAsia="ja-JP"/>
        </w:rPr>
        <w:t>en un bajo rango patrones de respuesta que pueden conllevar un riesgo posterior o posteriores problemas de adicción.</w:t>
      </w:r>
      <w:r w:rsidR="007A29DA">
        <w:rPr>
          <w:rFonts w:eastAsiaTheme="minorEastAsia"/>
          <w:lang w:val="es-CO" w:eastAsia="ja-JP"/>
        </w:rPr>
        <w:t xml:space="preserve"> </w:t>
      </w:r>
    </w:p>
    <w:p w14:paraId="4C0F3032" w14:textId="77777777" w:rsidR="000E652F" w:rsidRDefault="000E652F" w:rsidP="005B7C9B">
      <w:pPr>
        <w:autoSpaceDE w:val="0"/>
        <w:autoSpaceDN w:val="0"/>
        <w:adjustRightInd w:val="0"/>
        <w:spacing w:line="480" w:lineRule="auto"/>
        <w:ind w:firstLine="284"/>
        <w:jc w:val="both"/>
        <w:rPr>
          <w:rFonts w:eastAsiaTheme="minorEastAsia"/>
          <w:lang w:val="es-CO" w:eastAsia="ja-JP"/>
        </w:rPr>
      </w:pPr>
    </w:p>
    <w:p w14:paraId="1A622EEB" w14:textId="77777777" w:rsidR="001E7DDC" w:rsidRDefault="005435E9" w:rsidP="001E7DDC">
      <w:pPr>
        <w:keepNext/>
        <w:autoSpaceDE w:val="0"/>
        <w:autoSpaceDN w:val="0"/>
        <w:adjustRightInd w:val="0"/>
        <w:spacing w:line="480" w:lineRule="auto"/>
        <w:ind w:firstLine="284"/>
        <w:jc w:val="center"/>
      </w:pPr>
      <w:r>
        <w:rPr>
          <w:noProof/>
          <w:lang w:val="es-CO" w:eastAsia="es-CO"/>
        </w:rPr>
        <w:drawing>
          <wp:inline distT="0" distB="0" distL="0" distR="0" wp14:anchorId="1D658A87" wp14:editId="7A9E2A10">
            <wp:extent cx="4634947" cy="3657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4947" cy="3657600"/>
                    </a:xfrm>
                    <a:prstGeom prst="rect">
                      <a:avLst/>
                    </a:prstGeom>
                  </pic:spPr>
                </pic:pic>
              </a:graphicData>
            </a:graphic>
          </wp:inline>
        </w:drawing>
      </w:r>
    </w:p>
    <w:p w14:paraId="1C446C21" w14:textId="548DBBDC" w:rsidR="004E497C" w:rsidRPr="001E7DDC" w:rsidRDefault="001E7DDC" w:rsidP="001E7DDC">
      <w:pPr>
        <w:pStyle w:val="Caption"/>
        <w:jc w:val="center"/>
        <w:rPr>
          <w:rFonts w:eastAsiaTheme="minorEastAsia"/>
          <w:sz w:val="20"/>
          <w:lang w:val="es-CO" w:eastAsia="ja-JP"/>
        </w:rPr>
      </w:pPr>
      <w:bookmarkStart w:id="18" w:name="_Toc450578186"/>
      <w:r>
        <w:rPr>
          <w:sz w:val="20"/>
        </w:rPr>
        <w:t>Figura</w:t>
      </w:r>
      <w:r w:rsidRPr="001E7DDC">
        <w:rPr>
          <w:sz w:val="20"/>
        </w:rPr>
        <w:t xml:space="preserve"> </w:t>
      </w:r>
      <w:r w:rsidRPr="001E7DDC">
        <w:rPr>
          <w:sz w:val="20"/>
        </w:rPr>
        <w:fldChar w:fldCharType="begin"/>
      </w:r>
      <w:r w:rsidRPr="001E7DDC">
        <w:rPr>
          <w:sz w:val="20"/>
        </w:rPr>
        <w:instrText xml:space="preserve"> SEQ Ilustración \* ARABIC </w:instrText>
      </w:r>
      <w:r w:rsidRPr="001E7DDC">
        <w:rPr>
          <w:sz w:val="20"/>
        </w:rPr>
        <w:fldChar w:fldCharType="separate"/>
      </w:r>
      <w:r w:rsidR="003A2538">
        <w:rPr>
          <w:noProof/>
          <w:sz w:val="20"/>
        </w:rPr>
        <w:t>11</w:t>
      </w:r>
      <w:r w:rsidRPr="001E7DDC">
        <w:rPr>
          <w:sz w:val="20"/>
        </w:rPr>
        <w:fldChar w:fldCharType="end"/>
      </w:r>
      <w:r w:rsidRPr="001E7DDC">
        <w:rPr>
          <w:sz w:val="20"/>
        </w:rPr>
        <w:t xml:space="preserve">. </w:t>
      </w:r>
      <w:r w:rsidRPr="001E7DDC">
        <w:rPr>
          <w:i w:val="0"/>
          <w:sz w:val="20"/>
        </w:rPr>
        <w:t>Categorías de respuesta por variable en el dominio de Dependencia</w:t>
      </w:r>
      <w:bookmarkEnd w:id="18"/>
    </w:p>
    <w:p w14:paraId="2F4AEB21"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B4E7527" w14:textId="3AD1246D" w:rsidR="00794344" w:rsidRDefault="0079434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Finalmente estudiando el consumo perjudicial de alcohol definido por las </w:t>
      </w:r>
      <w:r w:rsidR="005435E9">
        <w:rPr>
          <w:rFonts w:eastAsiaTheme="minorEastAsia"/>
          <w:lang w:val="es-CO" w:eastAsia="ja-JP"/>
        </w:rPr>
        <w:t>variables: 7</w:t>
      </w:r>
      <w:r>
        <w:rPr>
          <w:rFonts w:eastAsiaTheme="minorEastAsia"/>
          <w:lang w:val="es-CO" w:eastAsia="ja-JP"/>
        </w:rPr>
        <w:t xml:space="preserve">) frecuencia con que ha tenido remordimientos o sentimientos de culpa después de haber bebido, </w:t>
      </w:r>
      <w:r w:rsidR="005435E9">
        <w:rPr>
          <w:rFonts w:eastAsiaTheme="minorEastAsia"/>
          <w:lang w:val="es-CO" w:eastAsia="ja-JP"/>
        </w:rPr>
        <w:t>8</w:t>
      </w:r>
      <w:r>
        <w:rPr>
          <w:rFonts w:eastAsiaTheme="minorEastAsia"/>
          <w:lang w:val="es-CO" w:eastAsia="ja-JP"/>
        </w:rPr>
        <w:t xml:space="preserve">) frecuencia con que no ha podido recordar lo sucedido en la noche anterior, </w:t>
      </w:r>
      <w:r w:rsidR="005435E9">
        <w:rPr>
          <w:rFonts w:eastAsiaTheme="minorEastAsia"/>
          <w:lang w:val="es-CO" w:eastAsia="ja-JP"/>
        </w:rPr>
        <w:t>9</w:t>
      </w:r>
      <w:r>
        <w:rPr>
          <w:rFonts w:eastAsiaTheme="minorEastAsia"/>
          <w:lang w:val="es-CO" w:eastAsia="ja-JP"/>
        </w:rPr>
        <w:t xml:space="preserve">) el hecho de que alguien haya resultado herido por haber estado bebiendo y </w:t>
      </w:r>
      <w:r w:rsidR="005435E9">
        <w:rPr>
          <w:rFonts w:eastAsiaTheme="minorEastAsia"/>
          <w:lang w:val="es-CO" w:eastAsia="ja-JP"/>
        </w:rPr>
        <w:t>10</w:t>
      </w:r>
      <w:r>
        <w:rPr>
          <w:rFonts w:eastAsiaTheme="minorEastAsia"/>
          <w:lang w:val="es-CO" w:eastAsia="ja-JP"/>
        </w:rPr>
        <w:t>) el hecho de que alguien (familiar, amigo, médico o profesional sanitario) muestre preocupación por el consumo de bebidas alcohólica</w:t>
      </w:r>
      <w:r w:rsidR="007831EB">
        <w:rPr>
          <w:rFonts w:eastAsiaTheme="minorEastAsia"/>
          <w:lang w:val="es-CO" w:eastAsia="ja-JP"/>
        </w:rPr>
        <w:t>s; se observa que en los casos 7) y 8)</w:t>
      </w:r>
      <w:r>
        <w:rPr>
          <w:rFonts w:eastAsiaTheme="minorEastAsia"/>
          <w:lang w:val="es-CO" w:eastAsia="ja-JP"/>
        </w:rPr>
        <w:t xml:space="preserve"> relacionados con sentimientos de culpa y </w:t>
      </w:r>
      <w:r w:rsidR="00655E55">
        <w:rPr>
          <w:rFonts w:eastAsiaTheme="minorEastAsia"/>
          <w:lang w:val="es-CO" w:eastAsia="ja-JP"/>
        </w:rPr>
        <w:t>falta de conciencia, aproximadamente un 20% de los estudiantes muestran un moderado nivel de rie</w:t>
      </w:r>
      <w:r w:rsidR="007831EB">
        <w:rPr>
          <w:rFonts w:eastAsiaTheme="minorEastAsia"/>
          <w:lang w:val="es-CO" w:eastAsia="ja-JP"/>
        </w:rPr>
        <w:t>sgo, mientras en las variables 9)</w:t>
      </w:r>
      <w:r w:rsidR="00655E55">
        <w:rPr>
          <w:rFonts w:eastAsiaTheme="minorEastAsia"/>
          <w:lang w:val="es-CO" w:eastAsia="ja-JP"/>
        </w:rPr>
        <w:t xml:space="preserve"> y </w:t>
      </w:r>
      <w:r w:rsidR="007831EB">
        <w:rPr>
          <w:rFonts w:eastAsiaTheme="minorEastAsia"/>
          <w:lang w:val="es-CO" w:eastAsia="ja-JP"/>
        </w:rPr>
        <w:t>10)</w:t>
      </w:r>
      <w:r w:rsidR="00655E55">
        <w:rPr>
          <w:rFonts w:eastAsiaTheme="minorEastAsia"/>
          <w:lang w:val="es-CO" w:eastAsia="ja-JP"/>
        </w:rPr>
        <w:t xml:space="preserve"> relacionadas con lesiones personales y hábitos perjudiciales de consumo  se tiene que aproximadamente un 10% de los estudiantes encuestados presentan un patrón perjudicial de riesgo</w:t>
      </w:r>
      <w:r w:rsidR="00565F40">
        <w:rPr>
          <w:rFonts w:eastAsiaTheme="minorEastAsia"/>
          <w:lang w:val="es-CO" w:eastAsia="ja-JP"/>
        </w:rPr>
        <w:t xml:space="preserve"> (Figura 12)</w:t>
      </w:r>
      <w:r w:rsidR="00655E55">
        <w:rPr>
          <w:rFonts w:eastAsiaTheme="minorEastAsia"/>
          <w:lang w:val="es-CO" w:eastAsia="ja-JP"/>
        </w:rPr>
        <w:t>.</w:t>
      </w:r>
    </w:p>
    <w:p w14:paraId="354A4768" w14:textId="77777777" w:rsidR="007831EB" w:rsidRDefault="007831EB" w:rsidP="005B7C9B">
      <w:pPr>
        <w:autoSpaceDE w:val="0"/>
        <w:autoSpaceDN w:val="0"/>
        <w:adjustRightInd w:val="0"/>
        <w:spacing w:line="480" w:lineRule="auto"/>
        <w:ind w:firstLine="284"/>
        <w:jc w:val="both"/>
        <w:rPr>
          <w:rFonts w:eastAsiaTheme="minorEastAsia"/>
          <w:lang w:val="es-CO" w:eastAsia="ja-JP"/>
        </w:rPr>
      </w:pPr>
    </w:p>
    <w:p w14:paraId="5CA96F94" w14:textId="77777777" w:rsidR="0099572B" w:rsidRDefault="007831EB" w:rsidP="0099572B">
      <w:pPr>
        <w:keepNext/>
        <w:autoSpaceDE w:val="0"/>
        <w:autoSpaceDN w:val="0"/>
        <w:adjustRightInd w:val="0"/>
        <w:spacing w:line="480" w:lineRule="auto"/>
        <w:ind w:firstLine="284"/>
        <w:jc w:val="center"/>
      </w:pPr>
      <w:r>
        <w:rPr>
          <w:noProof/>
          <w:lang w:val="es-CO" w:eastAsia="es-CO"/>
        </w:rPr>
        <w:drawing>
          <wp:inline distT="0" distB="0" distL="0" distR="0" wp14:anchorId="631B388A" wp14:editId="7C8184FF">
            <wp:extent cx="4690964" cy="3657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0964" cy="3657600"/>
                    </a:xfrm>
                    <a:prstGeom prst="rect">
                      <a:avLst/>
                    </a:prstGeom>
                  </pic:spPr>
                </pic:pic>
              </a:graphicData>
            </a:graphic>
          </wp:inline>
        </w:drawing>
      </w:r>
    </w:p>
    <w:p w14:paraId="7DA2227D" w14:textId="5F37C316" w:rsidR="007831EB" w:rsidRPr="0099572B" w:rsidRDefault="0099572B" w:rsidP="0099572B">
      <w:pPr>
        <w:pStyle w:val="Caption"/>
        <w:jc w:val="center"/>
        <w:rPr>
          <w:rFonts w:eastAsiaTheme="minorEastAsia"/>
          <w:i w:val="0"/>
          <w:sz w:val="20"/>
          <w:lang w:val="es-CO" w:eastAsia="ja-JP"/>
        </w:rPr>
      </w:pPr>
      <w:bookmarkStart w:id="19" w:name="_Toc450578187"/>
      <w:r>
        <w:rPr>
          <w:sz w:val="20"/>
        </w:rPr>
        <w:t>Figura</w:t>
      </w:r>
      <w:r w:rsidRPr="0099572B">
        <w:rPr>
          <w:sz w:val="20"/>
        </w:rPr>
        <w:t xml:space="preserve"> </w:t>
      </w:r>
      <w:r w:rsidRPr="0099572B">
        <w:rPr>
          <w:sz w:val="20"/>
        </w:rPr>
        <w:fldChar w:fldCharType="begin"/>
      </w:r>
      <w:r w:rsidRPr="0099572B">
        <w:rPr>
          <w:sz w:val="20"/>
        </w:rPr>
        <w:instrText xml:space="preserve"> SEQ Ilustración \* ARABIC </w:instrText>
      </w:r>
      <w:r w:rsidRPr="0099572B">
        <w:rPr>
          <w:sz w:val="20"/>
        </w:rPr>
        <w:fldChar w:fldCharType="separate"/>
      </w:r>
      <w:r w:rsidR="003A2538">
        <w:rPr>
          <w:noProof/>
          <w:sz w:val="20"/>
        </w:rPr>
        <w:t>12</w:t>
      </w:r>
      <w:r w:rsidRPr="0099572B">
        <w:rPr>
          <w:sz w:val="20"/>
        </w:rPr>
        <w:fldChar w:fldCharType="end"/>
      </w:r>
      <w:r w:rsidRPr="0099572B">
        <w:rPr>
          <w:sz w:val="20"/>
        </w:rPr>
        <w:t xml:space="preserve">. </w:t>
      </w:r>
      <w:r w:rsidRPr="0099572B">
        <w:rPr>
          <w:i w:val="0"/>
          <w:sz w:val="20"/>
        </w:rPr>
        <w:t>Categorías de respuesta por variable en el dominio de Consumo perjudicial</w:t>
      </w:r>
      <w:bookmarkEnd w:id="19"/>
    </w:p>
    <w:p w14:paraId="50122113" w14:textId="77777777" w:rsidR="007831EB" w:rsidRDefault="007831EB" w:rsidP="005B7C9B">
      <w:pPr>
        <w:autoSpaceDE w:val="0"/>
        <w:autoSpaceDN w:val="0"/>
        <w:adjustRightInd w:val="0"/>
        <w:spacing w:line="480" w:lineRule="auto"/>
        <w:ind w:firstLine="284"/>
        <w:jc w:val="both"/>
        <w:rPr>
          <w:rFonts w:eastAsiaTheme="minorEastAsia"/>
          <w:lang w:val="es-CO" w:eastAsia="ja-JP"/>
        </w:rPr>
      </w:pPr>
    </w:p>
    <w:p w14:paraId="6394FD17" w14:textId="54C0C877" w:rsidR="002408AC" w:rsidRDefault="00655E5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Del análisis por dominios </w:t>
      </w:r>
      <w:r w:rsidR="00551FC2">
        <w:rPr>
          <w:rFonts w:eastAsiaTheme="minorEastAsia"/>
          <w:lang w:val="es-CO" w:eastAsia="ja-JP"/>
        </w:rPr>
        <w:t xml:space="preserve">se puede ver que si bien la mayoría de los individuos muestran una tendencia baja al riesgo, en todos los casos un cierto dominio puede incidir más en el riesgo que los demás, lo cual no se muestra en el puntaje AUDIT </w:t>
      </w:r>
      <w:r w:rsidR="002056B9">
        <w:rPr>
          <w:rFonts w:eastAsiaTheme="minorEastAsia"/>
          <w:lang w:val="es-CO" w:eastAsia="ja-JP"/>
        </w:rPr>
        <w:t>total</w:t>
      </w:r>
      <w:r w:rsidR="004E70EA">
        <w:rPr>
          <w:rFonts w:eastAsiaTheme="minorEastAsia"/>
          <w:lang w:val="es-CO" w:eastAsia="ja-JP"/>
        </w:rPr>
        <w:t>,</w:t>
      </w:r>
      <w:r w:rsidR="00551FC2">
        <w:rPr>
          <w:rFonts w:eastAsiaTheme="minorEastAsia"/>
          <w:lang w:val="es-CO" w:eastAsia="ja-JP"/>
        </w:rPr>
        <w:t xml:space="preserve"> debido a que este</w:t>
      </w:r>
      <w:r w:rsidR="002056B9">
        <w:rPr>
          <w:rFonts w:eastAsiaTheme="minorEastAsia"/>
          <w:lang w:val="es-CO" w:eastAsia="ja-JP"/>
        </w:rPr>
        <w:t xml:space="preserve"> es un acumulado de las respuestas de los diferentes dominios</w:t>
      </w:r>
      <w:r w:rsidR="00BB3570">
        <w:rPr>
          <w:rFonts w:eastAsiaTheme="minorEastAsia"/>
          <w:lang w:val="es-CO" w:eastAsia="ja-JP"/>
        </w:rPr>
        <w:t xml:space="preserve">. </w:t>
      </w:r>
      <w:r w:rsidR="002E2D6C">
        <w:rPr>
          <w:rFonts w:eastAsiaTheme="minorEastAsia"/>
          <w:lang w:val="es-CO" w:eastAsia="ja-JP"/>
        </w:rPr>
        <w:t>En este sentido, para identificar los principales factores de riesgo que están dominando en el puntaje AUDIT y poder clasificar a los individuos en un perfil de riesgo bajo o alto</w:t>
      </w:r>
      <w:r w:rsidR="004F0D9A">
        <w:rPr>
          <w:rFonts w:eastAsiaTheme="minorEastAsia"/>
          <w:lang w:val="es-CO" w:eastAsia="ja-JP"/>
        </w:rPr>
        <w:t xml:space="preserve"> (acorde a la clasificación hecha en el AUDIT),</w:t>
      </w:r>
      <w:r w:rsidR="002E2D6C">
        <w:rPr>
          <w:rFonts w:eastAsiaTheme="minorEastAsia"/>
          <w:lang w:val="es-CO" w:eastAsia="ja-JP"/>
        </w:rPr>
        <w:t xml:space="preserve"> se hizo uso del Análisis de Correspondencias Múltiple (MCA)</w:t>
      </w:r>
      <w:r w:rsidR="004B4B95">
        <w:rPr>
          <w:rFonts w:eastAsiaTheme="minorEastAsia"/>
          <w:lang w:val="es-CO" w:eastAsia="ja-JP"/>
        </w:rPr>
        <w:t>, aquí se hizo uso de las 10 preguntas del cuestionario como variables en análisis y la edad, género y puntaje AUDIT tota</w:t>
      </w:r>
      <w:r w:rsidR="00C43F7B">
        <w:rPr>
          <w:rFonts w:eastAsiaTheme="minorEastAsia"/>
          <w:lang w:val="es-CO" w:eastAsia="ja-JP"/>
        </w:rPr>
        <w:t xml:space="preserve">l como variables suplementarias </w:t>
      </w:r>
      <w:r w:rsidR="00C43F7B">
        <w:rPr>
          <w:lang w:val="es-CO"/>
        </w:rPr>
        <w:t>(</w:t>
      </w:r>
      <w:r w:rsidR="00C43F7B" w:rsidRPr="00DE336D">
        <w:rPr>
          <w:highlight w:val="red"/>
          <w:lang w:val="es-ES_tradnl"/>
        </w:rPr>
        <w:t>Siegel &amp; Castellan, 1995</w:t>
      </w:r>
      <w:r w:rsidR="00C43F7B" w:rsidRPr="00693651">
        <w:rPr>
          <w:lang w:val="es-ES_tradnl"/>
        </w:rPr>
        <w:t>)</w:t>
      </w:r>
      <w:r w:rsidR="00C43F7B">
        <w:rPr>
          <w:lang w:val="es-ES_tradnl"/>
        </w:rPr>
        <w:t>.</w:t>
      </w:r>
    </w:p>
    <w:p w14:paraId="3801C952" w14:textId="5251A421" w:rsidR="008B6311" w:rsidRDefault="00EE09E2"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Previo a esto se realizaron test Chi-cuadrado entre todos los pares de variables, encontrando que existe asociación </w:t>
      </w:r>
      <w:r w:rsidR="004D1023">
        <w:rPr>
          <w:rFonts w:eastAsiaTheme="minorEastAsia"/>
          <w:lang w:val="es-CO" w:eastAsia="ja-JP"/>
        </w:rPr>
        <w:t xml:space="preserve">significativa </w:t>
      </w:r>
      <w:r>
        <w:rPr>
          <w:rFonts w:eastAsiaTheme="minorEastAsia"/>
          <w:lang w:val="es-CO" w:eastAsia="ja-JP"/>
        </w:rPr>
        <w:t xml:space="preserve">entre todas las variables de la encuesta, esto permite: verificar que el instrumento mide lo que tiene que medir, es decir, existe </w:t>
      </w:r>
      <w:r>
        <w:rPr>
          <w:rFonts w:eastAsiaTheme="minorEastAsia"/>
          <w:lang w:val="es-CO" w:eastAsia="ja-JP"/>
        </w:rPr>
        <w:lastRenderedPageBreak/>
        <w:t>consistencia entre las variables de la encuesta y permite realizar el MCA dado que el objetivo general de este an</w:t>
      </w:r>
      <w:r w:rsidR="00363F78">
        <w:rPr>
          <w:rFonts w:eastAsiaTheme="minorEastAsia"/>
          <w:lang w:val="es-CO" w:eastAsia="ja-JP"/>
        </w:rPr>
        <w:t>álisis es descomponer las relaciones existentes entre variables e individuos.</w:t>
      </w:r>
    </w:p>
    <w:p w14:paraId="45D75D6B" w14:textId="70E1D1E6" w:rsidR="00363F78" w:rsidRDefault="00946F65"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Entre los principales hallazgos se destaca</w:t>
      </w:r>
      <w:r w:rsidR="00717410">
        <w:rPr>
          <w:rFonts w:eastAsiaTheme="minorEastAsia"/>
          <w:lang w:val="es-CO" w:eastAsia="ja-JP"/>
        </w:rPr>
        <w:t xml:space="preserve"> un porcentaje de explicación del 87.5% con las dos primeras dimensiones del análisis</w:t>
      </w:r>
      <w:r w:rsidR="004F4341">
        <w:rPr>
          <w:rFonts w:eastAsiaTheme="minorEastAsia"/>
          <w:lang w:val="es-CO" w:eastAsia="ja-JP"/>
        </w:rPr>
        <w:t xml:space="preserve"> (Dimensión 1: 53.6%; Dimensión 2: 33.9%)</w:t>
      </w:r>
      <w:r w:rsidR="00717410">
        <w:rPr>
          <w:rFonts w:eastAsiaTheme="minorEastAsia"/>
          <w:lang w:val="es-CO" w:eastAsia="ja-JP"/>
        </w:rPr>
        <w:t xml:space="preserve"> a partir de las cuales se verifican las principales rel</w:t>
      </w:r>
      <w:r w:rsidR="00CF75DC">
        <w:rPr>
          <w:rFonts w:eastAsiaTheme="minorEastAsia"/>
          <w:lang w:val="es-CO" w:eastAsia="ja-JP"/>
        </w:rPr>
        <w:t>aciones y patrones de respuesta en los mapas perceptuales que se muestran más adelante.</w:t>
      </w:r>
    </w:p>
    <w:p w14:paraId="744202E5" w14:textId="47B6FA8C" w:rsidR="00152FEA" w:rsidRDefault="00CF75DC"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La composición del</w:t>
      </w:r>
      <w:r w:rsidR="00166027">
        <w:rPr>
          <w:rFonts w:eastAsiaTheme="minorEastAsia"/>
          <w:lang w:val="es-CO" w:eastAsia="ja-JP"/>
        </w:rPr>
        <w:t xml:space="preserve"> mapa perceptual</w:t>
      </w:r>
      <w:r w:rsidR="00DE2519">
        <w:rPr>
          <w:rFonts w:eastAsiaTheme="minorEastAsia"/>
          <w:lang w:val="es-CO" w:eastAsia="ja-JP"/>
        </w:rPr>
        <w:t xml:space="preserve"> se ve explicada de la siguiente manera,</w:t>
      </w:r>
      <w:r w:rsidR="00166027">
        <w:rPr>
          <w:rFonts w:eastAsiaTheme="minorEastAsia"/>
          <w:lang w:val="es-CO" w:eastAsia="ja-JP"/>
        </w:rPr>
        <w:t xml:space="preserve"> la primera dimensión se </w:t>
      </w:r>
      <w:r w:rsidR="0029168D">
        <w:rPr>
          <w:rFonts w:eastAsiaTheme="minorEastAsia"/>
          <w:lang w:val="es-CO" w:eastAsia="ja-JP"/>
        </w:rPr>
        <w:t>ve caracterizada fuertemente por la frecuencia de consumo de bebidas alcohólicas (Pregunta 1), número de consumiciones en un día de consumo normal (Pregunta 2) y por la frecuencia con que se toma 6 o más bebidas alcohólicas en un solo día (Pregunta 3), todas estas variables conforman el dominio correspondiente al consumo de riesgo de a</w:t>
      </w:r>
      <w:r w:rsidR="00306B5B">
        <w:rPr>
          <w:rFonts w:eastAsiaTheme="minorEastAsia"/>
          <w:lang w:val="es-CO" w:eastAsia="ja-JP"/>
        </w:rPr>
        <w:t>lcohol.</w:t>
      </w:r>
      <w:r w:rsidR="00152FEA">
        <w:rPr>
          <w:rFonts w:eastAsiaTheme="minorEastAsia"/>
          <w:lang w:val="es-CO" w:eastAsia="ja-JP"/>
        </w:rPr>
        <w:t xml:space="preserve"> Adicional a esto se muestra que el puntaje AUDIT y el género (ambos utilizados como variables suplementarias) se ven mejor explicados la primera dimensión como se muestra en la Figura</w:t>
      </w:r>
      <w:r w:rsidR="00DE336D">
        <w:rPr>
          <w:rFonts w:eastAsiaTheme="minorEastAsia"/>
          <w:lang w:val="es-CO" w:eastAsia="ja-JP"/>
        </w:rPr>
        <w:t xml:space="preserve"> 13</w:t>
      </w:r>
      <w:r w:rsidR="00152FEA">
        <w:rPr>
          <w:rFonts w:eastAsiaTheme="minorEastAsia"/>
          <w:lang w:val="es-CO" w:eastAsia="ja-JP"/>
        </w:rPr>
        <w:t>.</w:t>
      </w:r>
    </w:p>
    <w:p w14:paraId="02D7501B"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36D38901" w14:textId="77777777" w:rsidR="00DE336D" w:rsidRDefault="00E91FE3" w:rsidP="00DE336D">
      <w:pPr>
        <w:keepNext/>
        <w:autoSpaceDE w:val="0"/>
        <w:autoSpaceDN w:val="0"/>
        <w:adjustRightInd w:val="0"/>
        <w:spacing w:line="480" w:lineRule="auto"/>
        <w:ind w:firstLine="284"/>
        <w:jc w:val="center"/>
      </w:pPr>
      <w:r>
        <w:rPr>
          <w:rFonts w:eastAsiaTheme="minorEastAsia"/>
          <w:noProof/>
          <w:lang w:val="es-CO" w:eastAsia="es-CO"/>
        </w:rPr>
        <w:lastRenderedPageBreak/>
        <w:drawing>
          <wp:inline distT="0" distB="0" distL="0" distR="0" wp14:anchorId="5CBB0ED4" wp14:editId="0F54EF76">
            <wp:extent cx="4573832"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832" cy="3657600"/>
                    </a:xfrm>
                    <a:prstGeom prst="rect">
                      <a:avLst/>
                    </a:prstGeom>
                    <a:noFill/>
                    <a:ln>
                      <a:noFill/>
                    </a:ln>
                  </pic:spPr>
                </pic:pic>
              </a:graphicData>
            </a:graphic>
          </wp:inline>
        </w:drawing>
      </w:r>
    </w:p>
    <w:p w14:paraId="6A3DF686" w14:textId="366D8F53" w:rsidR="00166027" w:rsidRPr="00DE336D" w:rsidRDefault="00DE336D" w:rsidP="00DE336D">
      <w:pPr>
        <w:pStyle w:val="Caption"/>
        <w:jc w:val="center"/>
        <w:rPr>
          <w:rFonts w:eastAsiaTheme="minorEastAsia"/>
          <w:sz w:val="20"/>
          <w:lang w:val="es-CO" w:eastAsia="ja-JP"/>
        </w:rPr>
      </w:pPr>
      <w:bookmarkStart w:id="20" w:name="_Toc450578188"/>
      <w:r w:rsidRPr="00DE336D">
        <w:rPr>
          <w:sz w:val="20"/>
        </w:rPr>
        <w:t xml:space="preserve">Figura </w:t>
      </w:r>
      <w:r w:rsidRPr="00DE336D">
        <w:rPr>
          <w:sz w:val="20"/>
        </w:rPr>
        <w:fldChar w:fldCharType="begin"/>
      </w:r>
      <w:r w:rsidRPr="00DE336D">
        <w:rPr>
          <w:sz w:val="20"/>
        </w:rPr>
        <w:instrText xml:space="preserve"> SEQ Ilustración \* ARABIC </w:instrText>
      </w:r>
      <w:r w:rsidRPr="00DE336D">
        <w:rPr>
          <w:sz w:val="20"/>
        </w:rPr>
        <w:fldChar w:fldCharType="separate"/>
      </w:r>
      <w:r w:rsidR="003A2538">
        <w:rPr>
          <w:noProof/>
          <w:sz w:val="20"/>
        </w:rPr>
        <w:t>13</w:t>
      </w:r>
      <w:r w:rsidRPr="00DE336D">
        <w:rPr>
          <w:sz w:val="20"/>
        </w:rPr>
        <w:fldChar w:fldCharType="end"/>
      </w:r>
      <w:r w:rsidRPr="00DE336D">
        <w:rPr>
          <w:sz w:val="20"/>
        </w:rPr>
        <w:t xml:space="preserve">. </w:t>
      </w:r>
      <w:r w:rsidRPr="00DE336D">
        <w:rPr>
          <w:i w:val="0"/>
          <w:sz w:val="20"/>
        </w:rPr>
        <w:t>Importancia de las variables originales sobre los ejes principales calculados</w:t>
      </w:r>
      <w:bookmarkEnd w:id="20"/>
    </w:p>
    <w:p w14:paraId="1928CB3E"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2454A39C" w14:textId="77777777" w:rsidR="002A30FC" w:rsidRDefault="00883E17"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Por otro lado, </w:t>
      </w:r>
      <w:r w:rsidR="004057F5">
        <w:rPr>
          <w:rFonts w:eastAsiaTheme="minorEastAsia"/>
          <w:lang w:val="es-CO" w:eastAsia="ja-JP"/>
        </w:rPr>
        <w:t xml:space="preserve">además de </w:t>
      </w:r>
      <w:r>
        <w:rPr>
          <w:rFonts w:eastAsiaTheme="minorEastAsia"/>
          <w:lang w:val="es-CO" w:eastAsia="ja-JP"/>
        </w:rPr>
        <w:t>las preguntas 1 y 2</w:t>
      </w:r>
      <w:r w:rsidR="004057F5">
        <w:rPr>
          <w:rFonts w:eastAsiaTheme="minorEastAsia"/>
          <w:lang w:val="es-CO" w:eastAsia="ja-JP"/>
        </w:rPr>
        <w:t>,</w:t>
      </w:r>
      <w:r>
        <w:rPr>
          <w:rFonts w:eastAsiaTheme="minorEastAsia"/>
          <w:lang w:val="es-CO" w:eastAsia="ja-JP"/>
        </w:rPr>
        <w:t xml:space="preserve"> </w:t>
      </w:r>
      <w:r w:rsidR="004057F5">
        <w:rPr>
          <w:rFonts w:eastAsiaTheme="minorEastAsia"/>
          <w:lang w:val="es-CO" w:eastAsia="ja-JP"/>
        </w:rPr>
        <w:t>el aporte de la frecuencia de veces en que se ha necesitado beber en ayunas (Pregunta 6</w:t>
      </w:r>
      <w:r w:rsidR="00306B5B">
        <w:rPr>
          <w:rFonts w:eastAsiaTheme="minorEastAsia"/>
          <w:lang w:val="es-CO" w:eastAsia="ja-JP"/>
        </w:rPr>
        <w:t>, Dominio: Dependencia</w:t>
      </w:r>
      <w:r w:rsidR="004057F5">
        <w:rPr>
          <w:rFonts w:eastAsiaTheme="minorEastAsia"/>
          <w:lang w:val="es-CO" w:eastAsia="ja-JP"/>
        </w:rPr>
        <w:t xml:space="preserve">) y </w:t>
      </w:r>
      <w:r w:rsidR="004057F5" w:rsidRPr="004057F5">
        <w:rPr>
          <w:rFonts w:eastAsiaTheme="minorEastAsia"/>
          <w:lang w:val="es-CO" w:eastAsia="ja-JP"/>
        </w:rPr>
        <w:t>el hecho de que alguien (familiar, amigo, médico o profesional sanitario) muestre preocupación por el consumo de bebidas alcohólicas</w:t>
      </w:r>
      <w:r w:rsidR="004057F5">
        <w:rPr>
          <w:rFonts w:eastAsiaTheme="minorEastAsia"/>
          <w:lang w:val="es-CO" w:eastAsia="ja-JP"/>
        </w:rPr>
        <w:t xml:space="preserve"> (Pregunta 10</w:t>
      </w:r>
      <w:r w:rsidR="00306B5B">
        <w:rPr>
          <w:rFonts w:eastAsiaTheme="minorEastAsia"/>
          <w:lang w:val="es-CO" w:eastAsia="ja-JP"/>
        </w:rPr>
        <w:t>, Dominio: Consumo perjudicial</w:t>
      </w:r>
      <w:r w:rsidR="004057F5">
        <w:rPr>
          <w:rFonts w:eastAsiaTheme="minorEastAsia"/>
          <w:lang w:val="es-CO" w:eastAsia="ja-JP"/>
        </w:rPr>
        <w:t xml:space="preserve">) </w:t>
      </w:r>
      <w:r>
        <w:rPr>
          <w:rFonts w:eastAsiaTheme="minorEastAsia"/>
          <w:lang w:val="es-CO" w:eastAsia="ja-JP"/>
        </w:rPr>
        <w:t>también caracterizan fuertemente la segunda dimensión</w:t>
      </w:r>
      <w:r w:rsidR="00306B5B">
        <w:rPr>
          <w:rFonts w:eastAsiaTheme="minorEastAsia"/>
          <w:lang w:val="es-CO" w:eastAsia="ja-JP"/>
        </w:rPr>
        <w:t>.</w:t>
      </w:r>
    </w:p>
    <w:p w14:paraId="62F315CA" w14:textId="5E155F27" w:rsidR="00BE4CA7" w:rsidRDefault="00306B5B"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En este sentido</w:t>
      </w:r>
      <w:r w:rsidR="00152FEA">
        <w:rPr>
          <w:rFonts w:eastAsiaTheme="minorEastAsia"/>
          <w:lang w:val="es-CO" w:eastAsia="ja-JP"/>
        </w:rPr>
        <w:t>,</w:t>
      </w:r>
      <w:r>
        <w:rPr>
          <w:rFonts w:eastAsiaTheme="minorEastAsia"/>
          <w:lang w:val="es-CO" w:eastAsia="ja-JP"/>
        </w:rPr>
        <w:t xml:space="preserve"> el dominio que tiene una mayor influencia sobre el puntaje AUDIT total es el </w:t>
      </w:r>
      <w:r w:rsidR="00152FEA">
        <w:rPr>
          <w:rFonts w:eastAsiaTheme="minorEastAsia"/>
          <w:lang w:val="es-CO" w:eastAsia="ja-JP"/>
        </w:rPr>
        <w:t>consumo de riesgo, seguido por los dominios de dependencia y consumo perjudicial, cada uno de estos con el aporte de una sola variable</w:t>
      </w:r>
      <w:r>
        <w:rPr>
          <w:rFonts w:eastAsiaTheme="minorEastAsia"/>
          <w:lang w:val="es-CO" w:eastAsia="ja-JP"/>
        </w:rPr>
        <w:t>.</w:t>
      </w:r>
      <w:r w:rsidR="00BE4CA7">
        <w:rPr>
          <w:rFonts w:eastAsiaTheme="minorEastAsia"/>
          <w:lang w:val="es-CO" w:eastAsia="ja-JP"/>
        </w:rPr>
        <w:t xml:space="preserve"> Este resultado conduce a una aclaración importante sobre el puntaje AUDIT total, ya que este se limita a destacar principalmente a los individuos que presentan un consumo alto de riesgo, no obstante los dominios de </w:t>
      </w:r>
      <w:r w:rsidR="00DE2519">
        <w:rPr>
          <w:rFonts w:eastAsiaTheme="minorEastAsia"/>
          <w:lang w:val="es-CO" w:eastAsia="ja-JP"/>
        </w:rPr>
        <w:t>dependencia y consumo perjudicial</w:t>
      </w:r>
      <w:r w:rsidR="00BE4CA7">
        <w:rPr>
          <w:rFonts w:eastAsiaTheme="minorEastAsia"/>
          <w:lang w:val="es-CO" w:eastAsia="ja-JP"/>
        </w:rPr>
        <w:t xml:space="preserve"> no se ven bien representados por este.</w:t>
      </w:r>
    </w:p>
    <w:p w14:paraId="0B29251D" w14:textId="77777777" w:rsidR="00DE2519" w:rsidRDefault="00DE2519" w:rsidP="005B7C9B">
      <w:pPr>
        <w:autoSpaceDE w:val="0"/>
        <w:autoSpaceDN w:val="0"/>
        <w:adjustRightInd w:val="0"/>
        <w:spacing w:line="480" w:lineRule="auto"/>
        <w:ind w:firstLine="284"/>
        <w:jc w:val="both"/>
        <w:rPr>
          <w:rFonts w:eastAsiaTheme="minorEastAsia"/>
          <w:lang w:val="es-CO" w:eastAsia="ja-JP"/>
        </w:rPr>
      </w:pPr>
    </w:p>
    <w:p w14:paraId="5027948A" w14:textId="02667E3F" w:rsidR="00A05A24" w:rsidRDefault="00A05A2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lastRenderedPageBreak/>
        <w:t>La lectura de los mapas perceptuales presentados a continuación se base en la definición de cuadrantes como se exhibe en la Figura</w:t>
      </w:r>
      <w:r w:rsidR="00DE336D">
        <w:rPr>
          <w:rFonts w:eastAsiaTheme="minorEastAsia"/>
          <w:lang w:val="es-CO" w:eastAsia="ja-JP"/>
        </w:rPr>
        <w:t xml:space="preserve"> 14</w:t>
      </w:r>
      <w:r>
        <w:rPr>
          <w:rFonts w:eastAsiaTheme="minorEastAsia"/>
          <w:lang w:val="es-CO" w:eastAsia="ja-JP"/>
        </w:rPr>
        <w:t>.</w:t>
      </w:r>
    </w:p>
    <w:p w14:paraId="00DA0E27" w14:textId="77777777" w:rsidR="00A05A24" w:rsidRDefault="00A05A24" w:rsidP="005B7C9B">
      <w:pPr>
        <w:autoSpaceDE w:val="0"/>
        <w:autoSpaceDN w:val="0"/>
        <w:adjustRightInd w:val="0"/>
        <w:spacing w:line="480" w:lineRule="auto"/>
        <w:ind w:firstLine="284"/>
        <w:jc w:val="both"/>
        <w:rPr>
          <w:rFonts w:eastAsiaTheme="minorEastAsia"/>
          <w:lang w:val="es-CO" w:eastAsia="ja-JP"/>
        </w:rPr>
      </w:pPr>
    </w:p>
    <w:p w14:paraId="4FC07E3D" w14:textId="77777777" w:rsidR="00DE336D" w:rsidRDefault="00A05A24" w:rsidP="00DE336D">
      <w:pPr>
        <w:keepNext/>
        <w:autoSpaceDE w:val="0"/>
        <w:autoSpaceDN w:val="0"/>
        <w:adjustRightInd w:val="0"/>
        <w:spacing w:line="480" w:lineRule="auto"/>
        <w:ind w:firstLine="284"/>
        <w:jc w:val="center"/>
      </w:pPr>
      <w:r>
        <w:rPr>
          <w:noProof/>
          <w:lang w:val="es-CO" w:eastAsia="es-CO"/>
        </w:rPr>
        <w:drawing>
          <wp:inline distT="0" distB="0" distL="0" distR="0" wp14:anchorId="48B4E732" wp14:editId="78845B61">
            <wp:extent cx="2621121" cy="2286000"/>
            <wp:effectExtent l="0" t="0" r="8255" b="0"/>
            <wp:docPr id="194" name="Picture 194" descr="http://www.escolares.net/wp-content/uploads/Plano-cartes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lares.net/wp-content/uploads/Plano-cartesia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1121" cy="2286000"/>
                    </a:xfrm>
                    <a:prstGeom prst="rect">
                      <a:avLst/>
                    </a:prstGeom>
                    <a:noFill/>
                    <a:ln>
                      <a:noFill/>
                    </a:ln>
                  </pic:spPr>
                </pic:pic>
              </a:graphicData>
            </a:graphic>
          </wp:inline>
        </w:drawing>
      </w:r>
    </w:p>
    <w:p w14:paraId="2BC5A5B3" w14:textId="504D1202" w:rsidR="00A05A24" w:rsidRPr="00DE336D" w:rsidRDefault="00DE336D" w:rsidP="00DE336D">
      <w:pPr>
        <w:pStyle w:val="Caption"/>
        <w:jc w:val="center"/>
        <w:rPr>
          <w:rFonts w:eastAsiaTheme="minorEastAsia"/>
          <w:sz w:val="20"/>
          <w:lang w:val="es-CO" w:eastAsia="ja-JP"/>
        </w:rPr>
      </w:pPr>
      <w:bookmarkStart w:id="21" w:name="_Toc450578189"/>
      <w:r w:rsidRPr="00DE336D">
        <w:rPr>
          <w:sz w:val="20"/>
        </w:rPr>
        <w:t xml:space="preserve">Figura </w:t>
      </w:r>
      <w:r w:rsidRPr="00DE336D">
        <w:rPr>
          <w:sz w:val="20"/>
        </w:rPr>
        <w:fldChar w:fldCharType="begin"/>
      </w:r>
      <w:r w:rsidRPr="00DE336D">
        <w:rPr>
          <w:sz w:val="20"/>
        </w:rPr>
        <w:instrText xml:space="preserve"> SEQ Ilustración \* ARABIC </w:instrText>
      </w:r>
      <w:r w:rsidRPr="00DE336D">
        <w:rPr>
          <w:sz w:val="20"/>
        </w:rPr>
        <w:fldChar w:fldCharType="separate"/>
      </w:r>
      <w:r w:rsidR="003A2538">
        <w:rPr>
          <w:noProof/>
          <w:sz w:val="20"/>
        </w:rPr>
        <w:t>14</w:t>
      </w:r>
      <w:r w:rsidRPr="00DE336D">
        <w:rPr>
          <w:sz w:val="20"/>
        </w:rPr>
        <w:fldChar w:fldCharType="end"/>
      </w:r>
      <w:r w:rsidRPr="00DE336D">
        <w:rPr>
          <w:sz w:val="20"/>
        </w:rPr>
        <w:t xml:space="preserve">. </w:t>
      </w:r>
      <w:r w:rsidRPr="00DE336D">
        <w:rPr>
          <w:i w:val="0"/>
          <w:sz w:val="20"/>
        </w:rPr>
        <w:t>Representación del plano cartesiano</w:t>
      </w:r>
      <w:bookmarkEnd w:id="21"/>
    </w:p>
    <w:p w14:paraId="4A6BC63F" w14:textId="77777777" w:rsidR="00A05A24" w:rsidRDefault="00A05A24" w:rsidP="005B7C9B">
      <w:pPr>
        <w:autoSpaceDE w:val="0"/>
        <w:autoSpaceDN w:val="0"/>
        <w:adjustRightInd w:val="0"/>
        <w:spacing w:line="480" w:lineRule="auto"/>
        <w:ind w:firstLine="284"/>
        <w:jc w:val="both"/>
        <w:rPr>
          <w:rFonts w:eastAsiaTheme="minorEastAsia"/>
          <w:lang w:val="es-CO" w:eastAsia="ja-JP"/>
        </w:rPr>
      </w:pPr>
    </w:p>
    <w:p w14:paraId="3CD20558" w14:textId="34627EDB" w:rsidR="00A05A24" w:rsidRDefault="00ED7088"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w:t>
      </w:r>
      <w:r w:rsidR="00A05A24">
        <w:rPr>
          <w:rFonts w:eastAsiaTheme="minorEastAsia"/>
          <w:lang w:val="es-CO" w:eastAsia="ja-JP"/>
        </w:rPr>
        <w:t xml:space="preserve">l plano cartesiano definido por dos variables (X: eje horizontal e Y: eje vertical), </w:t>
      </w:r>
      <w:r>
        <w:rPr>
          <w:rFonts w:eastAsiaTheme="minorEastAsia"/>
          <w:lang w:val="es-CO" w:eastAsia="ja-JP"/>
        </w:rPr>
        <w:t>en el presente caso, las dimensiones estimadas sobre las cuales se grafican las relaciones entre las variables; se puede dividir en cuadrantes, cada uno definiendo una sección del plano con un patrón de respuesta característico.</w:t>
      </w:r>
    </w:p>
    <w:p w14:paraId="41C21075" w14:textId="1FA1D773" w:rsidR="00ED7088" w:rsidRDefault="00ED7088"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Como se observa en la Figura</w:t>
      </w:r>
      <w:r w:rsidR="00320B36">
        <w:rPr>
          <w:rFonts w:eastAsiaTheme="minorEastAsia"/>
          <w:lang w:val="es-CO" w:eastAsia="ja-JP"/>
        </w:rPr>
        <w:t xml:space="preserve"> 15</w:t>
      </w:r>
      <w:r>
        <w:rPr>
          <w:rFonts w:eastAsiaTheme="minorEastAsia"/>
          <w:lang w:val="es-CO" w:eastAsia="ja-JP"/>
        </w:rPr>
        <w:t xml:space="preserve"> correspondiente al mapa perceptual estimado, el puntaje AUDIT total se distribuye a través de los cuadrantes III y I de menor a mayor, lo que indica que en el primer cuadrante (I) se encuentran las variables que presentan la mayor incidencia sobre el puntaje AUDIT destacándose frecuencias altas de consumo de bebidas alcohólicas</w:t>
      </w:r>
      <w:r w:rsidR="00DF440E">
        <w:rPr>
          <w:rFonts w:eastAsiaTheme="minorEastAsia"/>
          <w:lang w:val="es-CO" w:eastAsia="ja-JP"/>
        </w:rPr>
        <w:t>, alto número de consumiciones</w:t>
      </w:r>
      <w:r>
        <w:rPr>
          <w:rFonts w:eastAsiaTheme="minorEastAsia"/>
          <w:lang w:val="es-CO" w:eastAsia="ja-JP"/>
        </w:rPr>
        <w:t>, problemas pasados y recientes</w:t>
      </w:r>
      <w:r w:rsidR="00DF440E">
        <w:rPr>
          <w:rFonts w:eastAsiaTheme="minorEastAsia"/>
          <w:lang w:val="es-CO" w:eastAsia="ja-JP"/>
        </w:rPr>
        <w:t xml:space="preserve"> referentes a </w:t>
      </w:r>
      <w:r w:rsidR="009450CA">
        <w:rPr>
          <w:rFonts w:eastAsiaTheme="minorEastAsia"/>
          <w:lang w:val="es-CO" w:eastAsia="ja-JP"/>
        </w:rPr>
        <w:t>la preocupación sobre el consumo de bebidas alcohólicas además de lesiones personales causadas por el hecho de beber.</w:t>
      </w:r>
      <w:r w:rsidR="003930F6">
        <w:rPr>
          <w:rFonts w:eastAsiaTheme="minorEastAsia"/>
          <w:lang w:val="es-CO" w:eastAsia="ja-JP"/>
        </w:rPr>
        <w:t xml:space="preserve"> En el presente mapa perceptual, </w:t>
      </w:r>
      <w:r w:rsidR="00A2226A">
        <w:rPr>
          <w:rFonts w:eastAsiaTheme="minorEastAsia"/>
          <w:lang w:val="es-CO" w:eastAsia="ja-JP"/>
        </w:rPr>
        <w:t xml:space="preserve">el riesgo aumenta de </w:t>
      </w:r>
      <w:r w:rsidR="003930F6">
        <w:rPr>
          <w:rFonts w:eastAsiaTheme="minorEastAsia"/>
          <w:lang w:val="es-CO" w:eastAsia="ja-JP"/>
        </w:rPr>
        <w:t xml:space="preserve">izquierda a derecha </w:t>
      </w:r>
      <w:r w:rsidR="00A2226A">
        <w:rPr>
          <w:rFonts w:eastAsiaTheme="minorEastAsia"/>
          <w:lang w:val="es-CO" w:eastAsia="ja-JP"/>
        </w:rPr>
        <w:t xml:space="preserve">y de </w:t>
      </w:r>
      <w:r w:rsidR="00CC3AF0">
        <w:rPr>
          <w:rFonts w:eastAsiaTheme="minorEastAsia"/>
          <w:lang w:val="es-CO" w:eastAsia="ja-JP"/>
        </w:rPr>
        <w:t>abajo hacia arriba.</w:t>
      </w:r>
    </w:p>
    <w:p w14:paraId="0E1302A7" w14:textId="77777777" w:rsidR="009450CA" w:rsidRDefault="009450CA" w:rsidP="005B7C9B">
      <w:pPr>
        <w:autoSpaceDE w:val="0"/>
        <w:autoSpaceDN w:val="0"/>
        <w:adjustRightInd w:val="0"/>
        <w:spacing w:line="480" w:lineRule="auto"/>
        <w:ind w:firstLine="284"/>
        <w:jc w:val="both"/>
        <w:rPr>
          <w:rFonts w:eastAsiaTheme="minorEastAsia"/>
          <w:lang w:val="es-CO" w:eastAsia="ja-JP"/>
        </w:rPr>
      </w:pPr>
    </w:p>
    <w:p w14:paraId="0A598289" w14:textId="1074C75D" w:rsidR="009450CA" w:rsidRDefault="009450CA"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lastRenderedPageBreak/>
        <w:t>Por otro lado, el cuadrante II muestra parte de las características que tienen una menor incidencia sobre el riesgo, como el hecho de ser mujer, baja frecuencia en el consumo de bebidas alcohólicas, bajo número de consumiciones y baja frecuencia de consumo de 6 o más bebidas alcohólicas en un día de consumo normal.</w:t>
      </w:r>
    </w:p>
    <w:p w14:paraId="4D09BC2D" w14:textId="77777777" w:rsidR="00C43F7B" w:rsidRDefault="00C43F7B" w:rsidP="005B7C9B">
      <w:pPr>
        <w:autoSpaceDE w:val="0"/>
        <w:autoSpaceDN w:val="0"/>
        <w:adjustRightInd w:val="0"/>
        <w:spacing w:line="480" w:lineRule="auto"/>
        <w:ind w:firstLine="284"/>
        <w:jc w:val="both"/>
        <w:rPr>
          <w:rFonts w:eastAsiaTheme="minorEastAsia"/>
          <w:lang w:val="es-CO" w:eastAsia="ja-JP"/>
        </w:rPr>
      </w:pPr>
    </w:p>
    <w:p w14:paraId="033B91A4" w14:textId="77777777" w:rsidR="00320B36" w:rsidRDefault="00CF75DC" w:rsidP="00320B36">
      <w:pPr>
        <w:keepNext/>
        <w:autoSpaceDE w:val="0"/>
        <w:autoSpaceDN w:val="0"/>
        <w:adjustRightInd w:val="0"/>
        <w:spacing w:line="480" w:lineRule="auto"/>
        <w:ind w:firstLine="284"/>
        <w:jc w:val="both"/>
      </w:pPr>
      <w:r>
        <w:rPr>
          <w:rFonts w:eastAsiaTheme="minorEastAsia"/>
          <w:noProof/>
          <w:lang w:val="es-CO" w:eastAsia="es-CO"/>
        </w:rPr>
        <w:drawing>
          <wp:inline distT="0" distB="0" distL="0" distR="0" wp14:anchorId="0ED0B133" wp14:editId="23246BEB">
            <wp:extent cx="5727700" cy="4580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580324"/>
                    </a:xfrm>
                    <a:prstGeom prst="rect">
                      <a:avLst/>
                    </a:prstGeom>
                    <a:noFill/>
                    <a:ln>
                      <a:noFill/>
                    </a:ln>
                  </pic:spPr>
                </pic:pic>
              </a:graphicData>
            </a:graphic>
          </wp:inline>
        </w:drawing>
      </w:r>
    </w:p>
    <w:p w14:paraId="7D0079B2" w14:textId="0F2C6902" w:rsidR="00CF75DC" w:rsidRPr="00320B36" w:rsidRDefault="00320B36" w:rsidP="00320B36">
      <w:pPr>
        <w:pStyle w:val="Caption"/>
        <w:jc w:val="center"/>
        <w:rPr>
          <w:i w:val="0"/>
          <w:sz w:val="20"/>
        </w:rPr>
      </w:pPr>
      <w:bookmarkStart w:id="22" w:name="_Toc450578190"/>
      <w:r>
        <w:rPr>
          <w:sz w:val="20"/>
        </w:rPr>
        <w:t>Figura</w:t>
      </w:r>
      <w:r w:rsidRPr="00320B36">
        <w:rPr>
          <w:sz w:val="20"/>
        </w:rPr>
        <w:t xml:space="preserve"> </w:t>
      </w:r>
      <w:r w:rsidRPr="00320B36">
        <w:rPr>
          <w:sz w:val="20"/>
        </w:rPr>
        <w:fldChar w:fldCharType="begin"/>
      </w:r>
      <w:r w:rsidRPr="00320B36">
        <w:rPr>
          <w:sz w:val="20"/>
        </w:rPr>
        <w:instrText xml:space="preserve"> SEQ Ilustración \* ARABIC </w:instrText>
      </w:r>
      <w:r w:rsidRPr="00320B36">
        <w:rPr>
          <w:sz w:val="20"/>
        </w:rPr>
        <w:fldChar w:fldCharType="separate"/>
      </w:r>
      <w:r w:rsidR="003A2538">
        <w:rPr>
          <w:noProof/>
          <w:sz w:val="20"/>
        </w:rPr>
        <w:t>15</w:t>
      </w:r>
      <w:r w:rsidRPr="00320B36">
        <w:rPr>
          <w:sz w:val="20"/>
        </w:rPr>
        <w:fldChar w:fldCharType="end"/>
      </w:r>
      <w:r w:rsidRPr="00320B36">
        <w:rPr>
          <w:sz w:val="20"/>
        </w:rPr>
        <w:t xml:space="preserve">. </w:t>
      </w:r>
      <w:r w:rsidRPr="00320B36">
        <w:rPr>
          <w:i w:val="0"/>
          <w:sz w:val="20"/>
        </w:rPr>
        <w:t>Mapa perceptual estimado a partir del MCA</w:t>
      </w:r>
      <w:bookmarkEnd w:id="22"/>
    </w:p>
    <w:p w14:paraId="426DB2A5" w14:textId="77777777" w:rsidR="00320B36" w:rsidRPr="00320B36" w:rsidRDefault="00320B36" w:rsidP="00320B36">
      <w:pPr>
        <w:rPr>
          <w:rFonts w:eastAsiaTheme="minorEastAsia"/>
        </w:rPr>
      </w:pPr>
    </w:p>
    <w:p w14:paraId="75222208" w14:textId="1086F700" w:rsidR="00A2226A" w:rsidRDefault="003930F6"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El cuadrante</w:t>
      </w:r>
      <w:r w:rsidR="009450CA">
        <w:rPr>
          <w:rFonts w:eastAsiaTheme="minorEastAsia"/>
          <w:lang w:val="es-CO" w:eastAsia="ja-JP"/>
        </w:rPr>
        <w:t xml:space="preserve"> III </w:t>
      </w:r>
      <w:r>
        <w:rPr>
          <w:rFonts w:eastAsiaTheme="minorEastAsia"/>
          <w:lang w:val="es-CO" w:eastAsia="ja-JP"/>
        </w:rPr>
        <w:t>aunque no muestra características de interés, presenta la condición de ser hombre el cual es un factor de riesgo. Su posición en el mapa, alejado al extremo derecho de la mujer destaca su condición de factor de riesgo.</w:t>
      </w:r>
      <w:r w:rsidR="00A2226A">
        <w:rPr>
          <w:rFonts w:eastAsiaTheme="minorEastAsia"/>
          <w:lang w:val="es-CO" w:eastAsia="ja-JP"/>
        </w:rPr>
        <w:t xml:space="preserve"> Finalmente el cuadrante IV presenta algunas características de riesgo a tener en consideración pero que son menos graves que las que se presentan en el cuadrante I.</w:t>
      </w:r>
      <w:r w:rsidR="000F41FD">
        <w:rPr>
          <w:rFonts w:eastAsiaTheme="minorEastAsia"/>
          <w:lang w:val="es-CO" w:eastAsia="ja-JP"/>
        </w:rPr>
        <w:t xml:space="preserve"> </w:t>
      </w:r>
      <w:r w:rsidR="00A2226A">
        <w:rPr>
          <w:rFonts w:eastAsiaTheme="minorEastAsia"/>
          <w:lang w:val="es-CO" w:eastAsia="ja-JP"/>
        </w:rPr>
        <w:t xml:space="preserve">Las características próximas al centro u origen del mapa </w:t>
      </w:r>
      <w:r w:rsidR="00A2226A">
        <w:rPr>
          <w:rFonts w:eastAsiaTheme="minorEastAsia"/>
          <w:lang w:val="es-CO" w:eastAsia="ja-JP"/>
        </w:rPr>
        <w:lastRenderedPageBreak/>
        <w:t xml:space="preserve">son las categorías </w:t>
      </w:r>
      <w:r w:rsidR="000F41FD">
        <w:rPr>
          <w:rFonts w:eastAsiaTheme="minorEastAsia"/>
          <w:lang w:val="es-CO" w:eastAsia="ja-JP"/>
        </w:rPr>
        <w:t>de respuesta de la mayoría de los individuos encuestados, las cuales tienden a ser individuos con bajo riesgo.</w:t>
      </w:r>
    </w:p>
    <w:p w14:paraId="24BE8123" w14:textId="77777777" w:rsidR="0013723F" w:rsidRDefault="0013723F" w:rsidP="005B7C9B">
      <w:pPr>
        <w:autoSpaceDE w:val="0"/>
        <w:autoSpaceDN w:val="0"/>
        <w:adjustRightInd w:val="0"/>
        <w:spacing w:line="480" w:lineRule="auto"/>
        <w:ind w:firstLine="284"/>
        <w:jc w:val="both"/>
        <w:rPr>
          <w:rFonts w:eastAsiaTheme="minorEastAsia"/>
          <w:lang w:val="es-CO" w:eastAsia="ja-JP"/>
        </w:rPr>
      </w:pPr>
    </w:p>
    <w:p w14:paraId="3B6CCFCA" w14:textId="29A1FA2F" w:rsidR="0013723F" w:rsidRDefault="0013723F"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 xml:space="preserve">Prosiguiendo con el análisis, </w:t>
      </w:r>
      <w:r w:rsidR="003126BB">
        <w:rPr>
          <w:rFonts w:eastAsiaTheme="minorEastAsia"/>
          <w:lang w:val="es-CO" w:eastAsia="ja-JP"/>
        </w:rPr>
        <w:t xml:space="preserve">se </w:t>
      </w:r>
      <w:r>
        <w:rPr>
          <w:rFonts w:eastAsiaTheme="minorEastAsia"/>
          <w:lang w:val="es-CO" w:eastAsia="ja-JP"/>
        </w:rPr>
        <w:t xml:space="preserve">presenta a continuación la clasificación de individuos en condición de riesgo </w:t>
      </w:r>
      <w:r w:rsidR="003126BB">
        <w:rPr>
          <w:rFonts w:eastAsiaTheme="minorEastAsia"/>
          <w:lang w:val="es-CO" w:eastAsia="ja-JP"/>
        </w:rPr>
        <w:t xml:space="preserve">en función del mapa perceptual estimado. </w:t>
      </w:r>
      <w:r w:rsidR="00BF5244">
        <w:rPr>
          <w:rFonts w:eastAsiaTheme="minorEastAsia"/>
          <w:lang w:val="es-CO" w:eastAsia="ja-JP"/>
        </w:rPr>
        <w:t>En la Figura</w:t>
      </w:r>
      <w:r w:rsidR="003A2538">
        <w:rPr>
          <w:rFonts w:eastAsiaTheme="minorEastAsia"/>
          <w:lang w:val="es-CO" w:eastAsia="ja-JP"/>
        </w:rPr>
        <w:t xml:space="preserve"> 16</w:t>
      </w:r>
      <w:r w:rsidR="00BF5244">
        <w:rPr>
          <w:rFonts w:eastAsiaTheme="minorEastAsia"/>
          <w:lang w:val="es-CO" w:eastAsia="ja-JP"/>
        </w:rPr>
        <w:t xml:space="preserve"> se presenta el posicionamiento estimado de los individuos de acuerdo al MCA.</w:t>
      </w:r>
    </w:p>
    <w:p w14:paraId="6AE61544" w14:textId="77777777" w:rsidR="0013723F" w:rsidRDefault="0013723F" w:rsidP="005B7C9B">
      <w:pPr>
        <w:autoSpaceDE w:val="0"/>
        <w:autoSpaceDN w:val="0"/>
        <w:adjustRightInd w:val="0"/>
        <w:spacing w:line="480" w:lineRule="auto"/>
        <w:ind w:firstLine="284"/>
        <w:jc w:val="both"/>
        <w:rPr>
          <w:rFonts w:eastAsiaTheme="minorEastAsia"/>
          <w:lang w:val="es-CO" w:eastAsia="ja-JP"/>
        </w:rPr>
      </w:pPr>
    </w:p>
    <w:p w14:paraId="33822235" w14:textId="77777777" w:rsidR="003A2538" w:rsidRDefault="00BE4CA7" w:rsidP="003A2538">
      <w:pPr>
        <w:keepNext/>
        <w:autoSpaceDE w:val="0"/>
        <w:autoSpaceDN w:val="0"/>
        <w:adjustRightInd w:val="0"/>
        <w:spacing w:line="480" w:lineRule="auto"/>
        <w:ind w:firstLine="284"/>
      </w:pPr>
      <w:r>
        <w:rPr>
          <w:rFonts w:eastAsiaTheme="minorEastAsia"/>
          <w:noProof/>
          <w:lang w:val="es-CO" w:eastAsia="es-CO"/>
        </w:rPr>
        <w:drawing>
          <wp:inline distT="0" distB="0" distL="0" distR="0" wp14:anchorId="635998A5" wp14:editId="78D4D15D">
            <wp:extent cx="5943600" cy="4761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1BB32B32" w14:textId="31AE3E0A" w:rsidR="00306B5B" w:rsidRPr="003A2538" w:rsidRDefault="003A2538" w:rsidP="003A2538">
      <w:pPr>
        <w:pStyle w:val="Caption"/>
        <w:jc w:val="center"/>
        <w:rPr>
          <w:rFonts w:eastAsiaTheme="minorEastAsia"/>
          <w:sz w:val="20"/>
          <w:lang w:val="es-CO" w:eastAsia="ja-JP"/>
        </w:rPr>
      </w:pPr>
      <w:bookmarkStart w:id="23" w:name="_Toc450578191"/>
      <w:r w:rsidRPr="003A2538">
        <w:rPr>
          <w:sz w:val="20"/>
        </w:rPr>
        <w:t xml:space="preserve">Figura </w:t>
      </w:r>
      <w:r w:rsidRPr="003A2538">
        <w:rPr>
          <w:sz w:val="20"/>
        </w:rPr>
        <w:fldChar w:fldCharType="begin"/>
      </w:r>
      <w:r w:rsidRPr="003A2538">
        <w:rPr>
          <w:sz w:val="20"/>
        </w:rPr>
        <w:instrText xml:space="preserve"> SEQ Ilustración \* ARABIC </w:instrText>
      </w:r>
      <w:r w:rsidRPr="003A2538">
        <w:rPr>
          <w:sz w:val="20"/>
        </w:rPr>
        <w:fldChar w:fldCharType="separate"/>
      </w:r>
      <w:r w:rsidRPr="003A2538">
        <w:rPr>
          <w:noProof/>
          <w:sz w:val="20"/>
        </w:rPr>
        <w:t>16</w:t>
      </w:r>
      <w:r w:rsidRPr="003A2538">
        <w:rPr>
          <w:sz w:val="20"/>
        </w:rPr>
        <w:fldChar w:fldCharType="end"/>
      </w:r>
      <w:r w:rsidRPr="003A2538">
        <w:rPr>
          <w:sz w:val="20"/>
        </w:rPr>
        <w:t xml:space="preserve">. </w:t>
      </w:r>
      <w:r w:rsidRPr="003A2538">
        <w:rPr>
          <w:i w:val="0"/>
          <w:sz w:val="20"/>
        </w:rPr>
        <w:t>Posicionamiento de los individuos sobre el mapa perceptual</w:t>
      </w:r>
      <w:bookmarkEnd w:id="23"/>
    </w:p>
    <w:p w14:paraId="048EDF8D" w14:textId="77777777" w:rsidR="003A2538" w:rsidRDefault="003A2538" w:rsidP="005B7C9B">
      <w:pPr>
        <w:autoSpaceDE w:val="0"/>
        <w:autoSpaceDN w:val="0"/>
        <w:adjustRightInd w:val="0"/>
        <w:spacing w:line="480" w:lineRule="auto"/>
        <w:ind w:firstLine="284"/>
        <w:jc w:val="both"/>
        <w:rPr>
          <w:rFonts w:eastAsiaTheme="minorEastAsia"/>
          <w:lang w:val="es-CO" w:eastAsia="ja-JP"/>
        </w:rPr>
      </w:pPr>
    </w:p>
    <w:p w14:paraId="5C29E231" w14:textId="03FB1141" w:rsidR="001D058A" w:rsidRDefault="00BF5244" w:rsidP="005B7C9B">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De este modo, los individuos más extremos en el cuadrante I son los que presentan el nivel de riesgo más alto, seguidos por los individuos de los cuadrantes IV, III y II respectivamente.</w:t>
      </w:r>
      <w:r w:rsidR="00F832DA">
        <w:rPr>
          <w:rFonts w:eastAsiaTheme="minorEastAsia"/>
          <w:lang w:val="es-CO" w:eastAsia="ja-JP"/>
        </w:rPr>
        <w:t xml:space="preserve"> </w:t>
      </w:r>
      <w:r w:rsidR="002A29C5">
        <w:rPr>
          <w:rFonts w:eastAsiaTheme="minorEastAsia"/>
          <w:lang w:val="es-CO" w:eastAsia="ja-JP"/>
        </w:rPr>
        <w:lastRenderedPageBreak/>
        <w:t xml:space="preserve">Profundizando en las variables que miden problemas pasados y presentes de acuerdo al </w:t>
      </w:r>
      <w:r w:rsidR="00A14231">
        <w:rPr>
          <w:rFonts w:eastAsiaTheme="minorEastAsia"/>
          <w:lang w:val="es-CO" w:eastAsia="ja-JP"/>
        </w:rPr>
        <w:t>consumo perjudicial de alcohol</w:t>
      </w:r>
      <w:r w:rsidR="00BC3F64">
        <w:rPr>
          <w:rFonts w:eastAsiaTheme="minorEastAsia"/>
          <w:lang w:val="es-CO" w:eastAsia="ja-JP"/>
        </w:rPr>
        <w:t xml:space="preserve"> las cuales constituyen un factor de riesgo que se mide parcialmente por el puntaje AUDIT total</w:t>
      </w:r>
      <w:r w:rsidR="00743D49">
        <w:rPr>
          <w:rFonts w:eastAsiaTheme="minorEastAsia"/>
          <w:lang w:val="es-CO" w:eastAsia="ja-JP"/>
        </w:rPr>
        <w:t>. A continuación se presentan los conteos por la variable relacionada con lesiones personales en el pasado y el presente, en función del género y la edad.</w:t>
      </w:r>
    </w:p>
    <w:p w14:paraId="4449BEE5" w14:textId="77777777" w:rsidR="002277D0" w:rsidRDefault="002277D0" w:rsidP="005B7C9B">
      <w:pPr>
        <w:autoSpaceDE w:val="0"/>
        <w:autoSpaceDN w:val="0"/>
        <w:adjustRightInd w:val="0"/>
        <w:spacing w:line="480" w:lineRule="auto"/>
        <w:ind w:firstLine="284"/>
        <w:jc w:val="both"/>
        <w:rPr>
          <w:rFonts w:eastAsiaTheme="minorEastAsia"/>
          <w:lang w:val="es-CO" w:eastAsia="ja-JP"/>
        </w:rPr>
      </w:pPr>
    </w:p>
    <w:p w14:paraId="579895B6" w14:textId="16F81671" w:rsidR="00A97A70" w:rsidRPr="00A97A70" w:rsidRDefault="00A97A70" w:rsidP="00A97A70">
      <w:pPr>
        <w:pStyle w:val="Caption"/>
        <w:keepNext/>
        <w:jc w:val="center"/>
        <w:rPr>
          <w:i w:val="0"/>
          <w:sz w:val="20"/>
        </w:rPr>
      </w:pPr>
      <w:bookmarkStart w:id="24" w:name="_Toc450578294"/>
      <w:r w:rsidRPr="00A97A70">
        <w:rPr>
          <w:sz w:val="20"/>
        </w:rPr>
        <w:t xml:space="preserve">Tabla </w:t>
      </w:r>
      <w:r w:rsidRPr="00A97A70">
        <w:rPr>
          <w:sz w:val="20"/>
        </w:rPr>
        <w:fldChar w:fldCharType="begin"/>
      </w:r>
      <w:r w:rsidRPr="00A97A70">
        <w:rPr>
          <w:sz w:val="20"/>
        </w:rPr>
        <w:instrText xml:space="preserve"> SEQ Tabla \* ARABIC </w:instrText>
      </w:r>
      <w:r w:rsidRPr="00A97A70">
        <w:rPr>
          <w:sz w:val="20"/>
        </w:rPr>
        <w:fldChar w:fldCharType="separate"/>
      </w:r>
      <w:r w:rsidR="00E032D3">
        <w:rPr>
          <w:noProof/>
          <w:sz w:val="20"/>
        </w:rPr>
        <w:t>6</w:t>
      </w:r>
      <w:r w:rsidRPr="00A97A70">
        <w:rPr>
          <w:sz w:val="20"/>
        </w:rPr>
        <w:fldChar w:fldCharType="end"/>
      </w:r>
      <w:r w:rsidRPr="00A97A70">
        <w:rPr>
          <w:sz w:val="20"/>
        </w:rPr>
        <w:t xml:space="preserve">. </w:t>
      </w:r>
      <w:r w:rsidRPr="00A97A70">
        <w:rPr>
          <w:i w:val="0"/>
          <w:sz w:val="20"/>
        </w:rPr>
        <w:t>Frecuencias absolutas de</w:t>
      </w:r>
      <w:r w:rsidR="00E032D3">
        <w:rPr>
          <w:i w:val="0"/>
          <w:sz w:val="20"/>
        </w:rPr>
        <w:t xml:space="preserve"> </w:t>
      </w:r>
      <w:r w:rsidRPr="00A97A70">
        <w:rPr>
          <w:i w:val="0"/>
          <w:sz w:val="20"/>
        </w:rPr>
        <w:t>l</w:t>
      </w:r>
      <w:r w:rsidR="00E032D3">
        <w:rPr>
          <w:i w:val="0"/>
          <w:sz w:val="20"/>
        </w:rPr>
        <w:t>a</w:t>
      </w:r>
      <w:r w:rsidRPr="00A97A70">
        <w:rPr>
          <w:i w:val="0"/>
          <w:sz w:val="20"/>
        </w:rPr>
        <w:t xml:space="preserve"> </w:t>
      </w:r>
      <w:r w:rsidR="00E032D3">
        <w:rPr>
          <w:i w:val="0"/>
          <w:sz w:val="20"/>
        </w:rPr>
        <w:t>variable</w:t>
      </w:r>
      <w:r w:rsidRPr="00A97A70">
        <w:rPr>
          <w:i w:val="0"/>
          <w:sz w:val="20"/>
        </w:rPr>
        <w:t xml:space="preserve"> </w:t>
      </w:r>
      <w:r w:rsidR="00AE61BB">
        <w:rPr>
          <w:i w:val="0"/>
          <w:sz w:val="20"/>
        </w:rPr>
        <w:t>“</w:t>
      </w:r>
      <w:r w:rsidRPr="00A97A70">
        <w:rPr>
          <w:i w:val="0"/>
          <w:sz w:val="20"/>
        </w:rPr>
        <w:t>lesiones personales ocasionadas</w:t>
      </w:r>
      <w:r w:rsidR="00AE61BB">
        <w:rPr>
          <w:i w:val="0"/>
          <w:sz w:val="20"/>
        </w:rPr>
        <w:t xml:space="preserve"> por el consumo de alcohol”</w:t>
      </w:r>
      <w:r w:rsidRPr="00A97A70">
        <w:rPr>
          <w:i w:val="0"/>
          <w:sz w:val="20"/>
        </w:rPr>
        <w:t xml:space="preserve"> en el pasado y presente discriminados por género y grupo de edad</w:t>
      </w:r>
      <w:bookmarkEnd w:id="24"/>
    </w:p>
    <w:tbl>
      <w:tblPr>
        <w:tblW w:w="7891" w:type="dxa"/>
        <w:jc w:val="center"/>
        <w:tblCellMar>
          <w:left w:w="70" w:type="dxa"/>
          <w:right w:w="70" w:type="dxa"/>
        </w:tblCellMar>
        <w:tblLook w:val="04A0" w:firstRow="1" w:lastRow="0" w:firstColumn="1" w:lastColumn="0" w:noHBand="0" w:noVBand="1"/>
      </w:tblPr>
      <w:tblGrid>
        <w:gridCol w:w="2120"/>
        <w:gridCol w:w="385"/>
        <w:gridCol w:w="1348"/>
        <w:gridCol w:w="1345"/>
        <w:gridCol w:w="1348"/>
        <w:gridCol w:w="1345"/>
      </w:tblGrid>
      <w:tr w:rsidR="002277D0" w:rsidRPr="00322D81" w14:paraId="44CD3FB7" w14:textId="77777777" w:rsidTr="00795BA3">
        <w:trPr>
          <w:trHeight w:val="300"/>
          <w:jc w:val="center"/>
        </w:trPr>
        <w:tc>
          <w:tcPr>
            <w:tcW w:w="2505" w:type="dxa"/>
            <w:gridSpan w:val="2"/>
            <w:vMerge w:val="restart"/>
            <w:tcBorders>
              <w:top w:val="single" w:sz="4" w:space="0" w:color="auto"/>
              <w:left w:val="nil"/>
              <w:bottom w:val="nil"/>
              <w:right w:val="single" w:sz="4" w:space="0" w:color="000000"/>
            </w:tcBorders>
            <w:shd w:val="clear" w:color="auto" w:fill="auto"/>
            <w:noWrap/>
            <w:vAlign w:val="bottom"/>
            <w:hideMark/>
          </w:tcPr>
          <w:p w14:paraId="151E46A0" w14:textId="77777777" w:rsidR="002277D0" w:rsidRPr="00322D81" w:rsidRDefault="002277D0" w:rsidP="002A30FC">
            <w:pPr>
              <w:spacing w:line="276" w:lineRule="auto"/>
              <w:ind w:firstLine="284"/>
              <w:jc w:val="center"/>
              <w:rPr>
                <w:color w:val="000000"/>
                <w:sz w:val="20"/>
                <w:szCs w:val="22"/>
                <w:lang w:val="es-CO" w:eastAsia="es-CO"/>
              </w:rPr>
            </w:pPr>
            <w:r w:rsidRPr="00322D81">
              <w:rPr>
                <w:color w:val="000000"/>
                <w:sz w:val="20"/>
                <w:szCs w:val="22"/>
              </w:rPr>
              <w:t> </w:t>
            </w:r>
          </w:p>
        </w:tc>
        <w:tc>
          <w:tcPr>
            <w:tcW w:w="26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8821D2" w14:textId="77777777" w:rsidR="002277D0" w:rsidRPr="00322D81" w:rsidRDefault="002277D0" w:rsidP="002A30FC">
            <w:pPr>
              <w:spacing w:line="276" w:lineRule="auto"/>
              <w:ind w:firstLine="284"/>
              <w:jc w:val="center"/>
              <w:rPr>
                <w:color w:val="000000"/>
                <w:sz w:val="20"/>
                <w:szCs w:val="22"/>
              </w:rPr>
            </w:pPr>
            <w:r w:rsidRPr="00322D81">
              <w:rPr>
                <w:color w:val="000000"/>
                <w:sz w:val="20"/>
                <w:szCs w:val="22"/>
              </w:rPr>
              <w:t>Hombres</w:t>
            </w:r>
          </w:p>
        </w:tc>
        <w:tc>
          <w:tcPr>
            <w:tcW w:w="2693" w:type="dxa"/>
            <w:gridSpan w:val="2"/>
            <w:tcBorders>
              <w:top w:val="single" w:sz="4" w:space="0" w:color="auto"/>
              <w:left w:val="nil"/>
              <w:bottom w:val="single" w:sz="4" w:space="0" w:color="auto"/>
              <w:right w:val="nil"/>
            </w:tcBorders>
            <w:shd w:val="clear" w:color="auto" w:fill="auto"/>
            <w:noWrap/>
            <w:vAlign w:val="bottom"/>
            <w:hideMark/>
          </w:tcPr>
          <w:p w14:paraId="128649E3" w14:textId="77777777" w:rsidR="002277D0" w:rsidRPr="00322D81" w:rsidRDefault="002277D0" w:rsidP="002A30FC">
            <w:pPr>
              <w:spacing w:line="276" w:lineRule="auto"/>
              <w:ind w:firstLine="284"/>
              <w:jc w:val="center"/>
              <w:rPr>
                <w:color w:val="000000"/>
                <w:sz w:val="20"/>
                <w:szCs w:val="22"/>
              </w:rPr>
            </w:pPr>
            <w:r w:rsidRPr="00322D81">
              <w:rPr>
                <w:color w:val="000000"/>
                <w:sz w:val="20"/>
                <w:szCs w:val="22"/>
              </w:rPr>
              <w:t>Mujeres</w:t>
            </w:r>
          </w:p>
        </w:tc>
      </w:tr>
      <w:tr w:rsidR="00795BA3" w:rsidRPr="00322D81" w14:paraId="12DCFB64" w14:textId="77777777" w:rsidTr="00795BA3">
        <w:trPr>
          <w:trHeight w:val="300"/>
          <w:jc w:val="center"/>
        </w:trPr>
        <w:tc>
          <w:tcPr>
            <w:tcW w:w="2505" w:type="dxa"/>
            <w:gridSpan w:val="2"/>
            <w:vMerge/>
            <w:tcBorders>
              <w:top w:val="single" w:sz="4" w:space="0" w:color="auto"/>
              <w:left w:val="nil"/>
              <w:bottom w:val="nil"/>
              <w:right w:val="single" w:sz="4" w:space="0" w:color="000000"/>
            </w:tcBorders>
            <w:vAlign w:val="center"/>
            <w:hideMark/>
          </w:tcPr>
          <w:p w14:paraId="11121671" w14:textId="77777777" w:rsidR="00795BA3" w:rsidRPr="00322D81" w:rsidRDefault="00795BA3" w:rsidP="00795BA3">
            <w:pPr>
              <w:spacing w:line="276" w:lineRule="auto"/>
              <w:ind w:firstLine="284"/>
              <w:rPr>
                <w:color w:val="000000"/>
                <w:sz w:val="20"/>
                <w:szCs w:val="22"/>
              </w:rPr>
            </w:pPr>
          </w:p>
        </w:tc>
        <w:tc>
          <w:tcPr>
            <w:tcW w:w="1348" w:type="dxa"/>
            <w:tcBorders>
              <w:top w:val="nil"/>
              <w:left w:val="nil"/>
              <w:bottom w:val="nil"/>
              <w:right w:val="nil"/>
            </w:tcBorders>
            <w:shd w:val="clear" w:color="auto" w:fill="auto"/>
            <w:noWrap/>
            <w:vAlign w:val="bottom"/>
            <w:hideMark/>
          </w:tcPr>
          <w:p w14:paraId="7DF3A10C" w14:textId="781C1EF1" w:rsidR="00795BA3" w:rsidRPr="00322D81" w:rsidRDefault="00795BA3" w:rsidP="00795BA3">
            <w:pPr>
              <w:spacing w:line="276" w:lineRule="auto"/>
              <w:ind w:firstLine="284"/>
              <w:rPr>
                <w:color w:val="000000"/>
                <w:sz w:val="20"/>
                <w:szCs w:val="22"/>
              </w:rPr>
            </w:pPr>
            <w:r>
              <w:rPr>
                <w:color w:val="000000"/>
                <w:sz w:val="20"/>
                <w:szCs w:val="22"/>
              </w:rPr>
              <w:t>Edad &gt; 18</w:t>
            </w:r>
          </w:p>
        </w:tc>
        <w:tc>
          <w:tcPr>
            <w:tcW w:w="1345" w:type="dxa"/>
            <w:tcBorders>
              <w:top w:val="nil"/>
              <w:left w:val="nil"/>
              <w:bottom w:val="nil"/>
              <w:right w:val="single" w:sz="4" w:space="0" w:color="auto"/>
            </w:tcBorders>
            <w:shd w:val="clear" w:color="auto" w:fill="auto"/>
            <w:noWrap/>
            <w:vAlign w:val="bottom"/>
            <w:hideMark/>
          </w:tcPr>
          <w:p w14:paraId="06764BD0" w14:textId="38F33000" w:rsidR="00795BA3" w:rsidRPr="00322D81" w:rsidRDefault="00795BA3" w:rsidP="00795BA3">
            <w:pPr>
              <w:spacing w:line="276" w:lineRule="auto"/>
              <w:ind w:firstLine="284"/>
              <w:rPr>
                <w:color w:val="000000"/>
                <w:sz w:val="20"/>
                <w:szCs w:val="22"/>
              </w:rPr>
            </w:pPr>
            <w:r>
              <w:rPr>
                <w:color w:val="000000"/>
                <w:sz w:val="20"/>
                <w:szCs w:val="22"/>
              </w:rPr>
              <w:t>Edad ≤ 17</w:t>
            </w:r>
          </w:p>
        </w:tc>
        <w:tc>
          <w:tcPr>
            <w:tcW w:w="1348" w:type="dxa"/>
            <w:tcBorders>
              <w:top w:val="nil"/>
              <w:left w:val="nil"/>
              <w:bottom w:val="nil"/>
              <w:right w:val="nil"/>
            </w:tcBorders>
            <w:shd w:val="clear" w:color="auto" w:fill="auto"/>
            <w:noWrap/>
            <w:vAlign w:val="bottom"/>
            <w:hideMark/>
          </w:tcPr>
          <w:p w14:paraId="0347272F" w14:textId="6882ADDF" w:rsidR="00795BA3" w:rsidRPr="00322D81" w:rsidRDefault="00795BA3" w:rsidP="00795BA3">
            <w:pPr>
              <w:spacing w:line="276" w:lineRule="auto"/>
              <w:ind w:firstLine="284"/>
              <w:rPr>
                <w:color w:val="000000"/>
                <w:sz w:val="20"/>
                <w:szCs w:val="22"/>
              </w:rPr>
            </w:pPr>
            <w:r>
              <w:rPr>
                <w:color w:val="000000"/>
                <w:sz w:val="20"/>
                <w:szCs w:val="22"/>
              </w:rPr>
              <w:t>Edad &gt; 18</w:t>
            </w:r>
          </w:p>
        </w:tc>
        <w:tc>
          <w:tcPr>
            <w:tcW w:w="1345" w:type="dxa"/>
            <w:tcBorders>
              <w:top w:val="nil"/>
              <w:left w:val="nil"/>
              <w:bottom w:val="nil"/>
              <w:right w:val="nil"/>
            </w:tcBorders>
            <w:shd w:val="clear" w:color="auto" w:fill="auto"/>
            <w:noWrap/>
            <w:vAlign w:val="bottom"/>
            <w:hideMark/>
          </w:tcPr>
          <w:p w14:paraId="5BB6E787" w14:textId="75C2D637" w:rsidR="00795BA3" w:rsidRPr="00322D81" w:rsidRDefault="00795BA3" w:rsidP="00795BA3">
            <w:pPr>
              <w:spacing w:line="276" w:lineRule="auto"/>
              <w:ind w:firstLine="284"/>
              <w:rPr>
                <w:color w:val="000000"/>
                <w:sz w:val="20"/>
                <w:szCs w:val="22"/>
              </w:rPr>
            </w:pPr>
            <w:r>
              <w:rPr>
                <w:color w:val="000000"/>
                <w:sz w:val="20"/>
                <w:szCs w:val="22"/>
              </w:rPr>
              <w:t>Edad ≤ 17</w:t>
            </w:r>
          </w:p>
        </w:tc>
      </w:tr>
      <w:tr w:rsidR="002277D0" w:rsidRPr="00322D81" w14:paraId="3E40B0D9" w14:textId="77777777" w:rsidTr="00795BA3">
        <w:trPr>
          <w:trHeight w:val="300"/>
          <w:jc w:val="center"/>
        </w:trPr>
        <w:tc>
          <w:tcPr>
            <w:tcW w:w="2120" w:type="dxa"/>
            <w:vMerge w:val="restart"/>
            <w:tcBorders>
              <w:top w:val="nil"/>
              <w:left w:val="nil"/>
              <w:bottom w:val="single" w:sz="4" w:space="0" w:color="000000"/>
              <w:right w:val="nil"/>
            </w:tcBorders>
            <w:shd w:val="clear" w:color="auto" w:fill="auto"/>
            <w:noWrap/>
            <w:vAlign w:val="center"/>
            <w:hideMark/>
          </w:tcPr>
          <w:p w14:paraId="4E8E6423" w14:textId="77777777" w:rsidR="00795BA3" w:rsidRDefault="002277D0" w:rsidP="00795BA3">
            <w:pPr>
              <w:spacing w:line="276" w:lineRule="auto"/>
              <w:ind w:firstLine="284"/>
              <w:jc w:val="center"/>
              <w:rPr>
                <w:color w:val="000000"/>
                <w:sz w:val="20"/>
                <w:szCs w:val="22"/>
              </w:rPr>
            </w:pPr>
            <w:r w:rsidRPr="00322D81">
              <w:rPr>
                <w:color w:val="000000"/>
                <w:sz w:val="20"/>
                <w:szCs w:val="22"/>
              </w:rPr>
              <w:t>Lesiones personales</w:t>
            </w:r>
          </w:p>
          <w:p w14:paraId="42A4F189" w14:textId="47A46EBA" w:rsidR="002277D0" w:rsidRPr="00322D81" w:rsidRDefault="002277D0" w:rsidP="00795BA3">
            <w:pPr>
              <w:spacing w:line="276" w:lineRule="auto"/>
              <w:ind w:firstLine="284"/>
              <w:jc w:val="center"/>
              <w:rPr>
                <w:color w:val="000000"/>
                <w:sz w:val="20"/>
                <w:szCs w:val="22"/>
              </w:rPr>
            </w:pPr>
            <w:r w:rsidRPr="00322D81">
              <w:rPr>
                <w:color w:val="000000"/>
                <w:sz w:val="20"/>
                <w:szCs w:val="22"/>
              </w:rPr>
              <w:t>en el año pasado</w:t>
            </w:r>
          </w:p>
        </w:tc>
        <w:tc>
          <w:tcPr>
            <w:tcW w:w="385" w:type="dxa"/>
            <w:tcBorders>
              <w:top w:val="nil"/>
              <w:left w:val="nil"/>
              <w:bottom w:val="nil"/>
              <w:right w:val="single" w:sz="4" w:space="0" w:color="auto"/>
            </w:tcBorders>
            <w:shd w:val="clear" w:color="auto" w:fill="auto"/>
            <w:noWrap/>
            <w:vAlign w:val="bottom"/>
            <w:hideMark/>
          </w:tcPr>
          <w:p w14:paraId="4CD2F62D" w14:textId="77777777" w:rsidR="002277D0" w:rsidRPr="00322D81" w:rsidRDefault="002277D0" w:rsidP="00795BA3">
            <w:pPr>
              <w:spacing w:line="276" w:lineRule="auto"/>
              <w:rPr>
                <w:color w:val="000000"/>
                <w:sz w:val="20"/>
                <w:szCs w:val="22"/>
              </w:rPr>
            </w:pPr>
            <w:r w:rsidRPr="00322D81">
              <w:rPr>
                <w:color w:val="000000"/>
                <w:sz w:val="20"/>
                <w:szCs w:val="22"/>
              </w:rPr>
              <w:t>No</w:t>
            </w:r>
          </w:p>
        </w:tc>
        <w:tc>
          <w:tcPr>
            <w:tcW w:w="1348" w:type="dxa"/>
            <w:tcBorders>
              <w:top w:val="nil"/>
              <w:left w:val="nil"/>
              <w:bottom w:val="nil"/>
              <w:right w:val="nil"/>
            </w:tcBorders>
            <w:shd w:val="clear" w:color="auto" w:fill="auto"/>
            <w:noWrap/>
            <w:vAlign w:val="bottom"/>
            <w:hideMark/>
          </w:tcPr>
          <w:p w14:paraId="543AFB48"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258</w:t>
            </w:r>
          </w:p>
        </w:tc>
        <w:tc>
          <w:tcPr>
            <w:tcW w:w="1345" w:type="dxa"/>
            <w:tcBorders>
              <w:top w:val="nil"/>
              <w:left w:val="nil"/>
              <w:bottom w:val="nil"/>
              <w:right w:val="single" w:sz="4" w:space="0" w:color="auto"/>
            </w:tcBorders>
            <w:shd w:val="clear" w:color="auto" w:fill="auto"/>
            <w:noWrap/>
            <w:vAlign w:val="bottom"/>
            <w:hideMark/>
          </w:tcPr>
          <w:p w14:paraId="75C6D850"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52</w:t>
            </w:r>
          </w:p>
        </w:tc>
        <w:tc>
          <w:tcPr>
            <w:tcW w:w="1348" w:type="dxa"/>
            <w:tcBorders>
              <w:top w:val="nil"/>
              <w:left w:val="nil"/>
              <w:bottom w:val="nil"/>
              <w:right w:val="nil"/>
            </w:tcBorders>
            <w:shd w:val="clear" w:color="auto" w:fill="auto"/>
            <w:noWrap/>
            <w:vAlign w:val="bottom"/>
            <w:hideMark/>
          </w:tcPr>
          <w:p w14:paraId="68656920"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238</w:t>
            </w:r>
          </w:p>
        </w:tc>
        <w:tc>
          <w:tcPr>
            <w:tcW w:w="1345" w:type="dxa"/>
            <w:tcBorders>
              <w:top w:val="nil"/>
              <w:left w:val="nil"/>
              <w:bottom w:val="nil"/>
              <w:right w:val="nil"/>
            </w:tcBorders>
            <w:shd w:val="clear" w:color="auto" w:fill="auto"/>
            <w:noWrap/>
            <w:vAlign w:val="bottom"/>
            <w:hideMark/>
          </w:tcPr>
          <w:p w14:paraId="157ED867"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71</w:t>
            </w:r>
          </w:p>
        </w:tc>
      </w:tr>
      <w:tr w:rsidR="002277D0" w:rsidRPr="00322D81" w14:paraId="6D7A77A8" w14:textId="77777777" w:rsidTr="00795BA3">
        <w:trPr>
          <w:trHeight w:val="300"/>
          <w:jc w:val="center"/>
        </w:trPr>
        <w:tc>
          <w:tcPr>
            <w:tcW w:w="2120" w:type="dxa"/>
            <w:vMerge/>
            <w:tcBorders>
              <w:top w:val="nil"/>
              <w:left w:val="nil"/>
              <w:bottom w:val="single" w:sz="4" w:space="0" w:color="000000"/>
              <w:right w:val="nil"/>
            </w:tcBorders>
            <w:vAlign w:val="center"/>
            <w:hideMark/>
          </w:tcPr>
          <w:p w14:paraId="52CD4EF8" w14:textId="77777777" w:rsidR="002277D0" w:rsidRPr="00322D81" w:rsidRDefault="002277D0" w:rsidP="002A30FC">
            <w:pPr>
              <w:spacing w:line="276" w:lineRule="auto"/>
              <w:ind w:firstLine="284"/>
              <w:rPr>
                <w:color w:val="000000"/>
                <w:sz w:val="20"/>
                <w:szCs w:val="22"/>
              </w:rPr>
            </w:pPr>
          </w:p>
        </w:tc>
        <w:tc>
          <w:tcPr>
            <w:tcW w:w="385" w:type="dxa"/>
            <w:tcBorders>
              <w:top w:val="nil"/>
              <w:left w:val="nil"/>
              <w:bottom w:val="single" w:sz="4" w:space="0" w:color="auto"/>
              <w:right w:val="single" w:sz="4" w:space="0" w:color="auto"/>
            </w:tcBorders>
            <w:shd w:val="clear" w:color="auto" w:fill="auto"/>
            <w:noWrap/>
            <w:vAlign w:val="bottom"/>
            <w:hideMark/>
          </w:tcPr>
          <w:p w14:paraId="295B6DA4" w14:textId="77777777" w:rsidR="002277D0" w:rsidRPr="00322D81" w:rsidRDefault="002277D0" w:rsidP="00795BA3">
            <w:pPr>
              <w:spacing w:line="276" w:lineRule="auto"/>
              <w:rPr>
                <w:color w:val="000000"/>
                <w:sz w:val="20"/>
                <w:szCs w:val="22"/>
              </w:rPr>
            </w:pPr>
            <w:r w:rsidRPr="00322D81">
              <w:rPr>
                <w:color w:val="000000"/>
                <w:sz w:val="20"/>
                <w:szCs w:val="22"/>
              </w:rPr>
              <w:t>Si</w:t>
            </w:r>
          </w:p>
        </w:tc>
        <w:tc>
          <w:tcPr>
            <w:tcW w:w="1348" w:type="dxa"/>
            <w:tcBorders>
              <w:top w:val="nil"/>
              <w:left w:val="nil"/>
              <w:bottom w:val="single" w:sz="4" w:space="0" w:color="auto"/>
              <w:right w:val="nil"/>
            </w:tcBorders>
            <w:shd w:val="clear" w:color="auto" w:fill="auto"/>
            <w:noWrap/>
            <w:vAlign w:val="bottom"/>
            <w:hideMark/>
          </w:tcPr>
          <w:p w14:paraId="3389F57C"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7</w:t>
            </w:r>
          </w:p>
        </w:tc>
        <w:tc>
          <w:tcPr>
            <w:tcW w:w="1345" w:type="dxa"/>
            <w:tcBorders>
              <w:top w:val="nil"/>
              <w:left w:val="nil"/>
              <w:bottom w:val="single" w:sz="4" w:space="0" w:color="auto"/>
              <w:right w:val="single" w:sz="4" w:space="0" w:color="auto"/>
            </w:tcBorders>
            <w:shd w:val="clear" w:color="auto" w:fill="auto"/>
            <w:noWrap/>
            <w:vAlign w:val="bottom"/>
            <w:hideMark/>
          </w:tcPr>
          <w:p w14:paraId="4E9B65C5"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1</w:t>
            </w:r>
          </w:p>
        </w:tc>
        <w:tc>
          <w:tcPr>
            <w:tcW w:w="1348" w:type="dxa"/>
            <w:tcBorders>
              <w:top w:val="nil"/>
              <w:left w:val="nil"/>
              <w:bottom w:val="single" w:sz="4" w:space="0" w:color="auto"/>
              <w:right w:val="nil"/>
            </w:tcBorders>
            <w:shd w:val="clear" w:color="auto" w:fill="auto"/>
            <w:noWrap/>
            <w:vAlign w:val="bottom"/>
            <w:hideMark/>
          </w:tcPr>
          <w:p w14:paraId="3A9C1A99"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7</w:t>
            </w:r>
          </w:p>
        </w:tc>
        <w:tc>
          <w:tcPr>
            <w:tcW w:w="1345" w:type="dxa"/>
            <w:tcBorders>
              <w:top w:val="nil"/>
              <w:left w:val="nil"/>
              <w:bottom w:val="single" w:sz="4" w:space="0" w:color="auto"/>
              <w:right w:val="nil"/>
            </w:tcBorders>
            <w:shd w:val="clear" w:color="auto" w:fill="auto"/>
            <w:noWrap/>
            <w:vAlign w:val="bottom"/>
            <w:hideMark/>
          </w:tcPr>
          <w:p w14:paraId="11B525DE"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1</w:t>
            </w:r>
          </w:p>
        </w:tc>
      </w:tr>
      <w:tr w:rsidR="002277D0" w:rsidRPr="00322D81" w14:paraId="2D4CB81D" w14:textId="77777777" w:rsidTr="00795BA3">
        <w:trPr>
          <w:trHeight w:val="300"/>
          <w:jc w:val="center"/>
        </w:trPr>
        <w:tc>
          <w:tcPr>
            <w:tcW w:w="2120" w:type="dxa"/>
            <w:vMerge w:val="restart"/>
            <w:tcBorders>
              <w:top w:val="nil"/>
              <w:left w:val="nil"/>
              <w:bottom w:val="single" w:sz="4" w:space="0" w:color="000000"/>
              <w:right w:val="nil"/>
            </w:tcBorders>
            <w:shd w:val="clear" w:color="auto" w:fill="auto"/>
            <w:noWrap/>
            <w:vAlign w:val="center"/>
            <w:hideMark/>
          </w:tcPr>
          <w:p w14:paraId="3BFE9D32" w14:textId="77777777" w:rsidR="00795BA3" w:rsidRDefault="002277D0" w:rsidP="00795BA3">
            <w:pPr>
              <w:spacing w:line="276" w:lineRule="auto"/>
              <w:ind w:firstLine="284"/>
              <w:jc w:val="center"/>
              <w:rPr>
                <w:color w:val="000000"/>
                <w:sz w:val="20"/>
                <w:szCs w:val="22"/>
              </w:rPr>
            </w:pPr>
            <w:r w:rsidRPr="00322D81">
              <w:rPr>
                <w:color w:val="000000"/>
                <w:sz w:val="20"/>
                <w:szCs w:val="22"/>
              </w:rPr>
              <w:t>Lesiones personales</w:t>
            </w:r>
          </w:p>
          <w:p w14:paraId="0E4D6936" w14:textId="31E16041" w:rsidR="002277D0" w:rsidRPr="00322D81" w:rsidRDefault="002277D0" w:rsidP="00795BA3">
            <w:pPr>
              <w:spacing w:line="276" w:lineRule="auto"/>
              <w:ind w:firstLine="284"/>
              <w:jc w:val="center"/>
              <w:rPr>
                <w:color w:val="000000"/>
                <w:sz w:val="20"/>
                <w:szCs w:val="22"/>
              </w:rPr>
            </w:pPr>
            <w:r w:rsidRPr="00322D81">
              <w:rPr>
                <w:color w:val="000000"/>
                <w:sz w:val="20"/>
                <w:szCs w:val="22"/>
              </w:rPr>
              <w:t>en el presente año</w:t>
            </w:r>
          </w:p>
        </w:tc>
        <w:tc>
          <w:tcPr>
            <w:tcW w:w="385" w:type="dxa"/>
            <w:tcBorders>
              <w:top w:val="nil"/>
              <w:left w:val="nil"/>
              <w:bottom w:val="nil"/>
              <w:right w:val="single" w:sz="4" w:space="0" w:color="auto"/>
            </w:tcBorders>
            <w:shd w:val="clear" w:color="auto" w:fill="auto"/>
            <w:noWrap/>
            <w:vAlign w:val="bottom"/>
            <w:hideMark/>
          </w:tcPr>
          <w:p w14:paraId="4AC9F5CA" w14:textId="77777777" w:rsidR="002277D0" w:rsidRPr="00322D81" w:rsidRDefault="002277D0" w:rsidP="00795BA3">
            <w:pPr>
              <w:spacing w:line="276" w:lineRule="auto"/>
              <w:rPr>
                <w:color w:val="000000"/>
                <w:sz w:val="20"/>
                <w:szCs w:val="22"/>
              </w:rPr>
            </w:pPr>
            <w:r w:rsidRPr="00322D81">
              <w:rPr>
                <w:color w:val="000000"/>
                <w:sz w:val="20"/>
                <w:szCs w:val="22"/>
              </w:rPr>
              <w:t>No</w:t>
            </w:r>
          </w:p>
        </w:tc>
        <w:tc>
          <w:tcPr>
            <w:tcW w:w="1348" w:type="dxa"/>
            <w:tcBorders>
              <w:top w:val="nil"/>
              <w:left w:val="nil"/>
              <w:bottom w:val="nil"/>
              <w:right w:val="nil"/>
            </w:tcBorders>
            <w:shd w:val="clear" w:color="auto" w:fill="auto"/>
            <w:noWrap/>
            <w:vAlign w:val="bottom"/>
            <w:hideMark/>
          </w:tcPr>
          <w:p w14:paraId="40E71090"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262</w:t>
            </w:r>
          </w:p>
        </w:tc>
        <w:tc>
          <w:tcPr>
            <w:tcW w:w="1345" w:type="dxa"/>
            <w:tcBorders>
              <w:top w:val="nil"/>
              <w:left w:val="nil"/>
              <w:bottom w:val="nil"/>
              <w:right w:val="single" w:sz="4" w:space="0" w:color="auto"/>
            </w:tcBorders>
            <w:shd w:val="clear" w:color="auto" w:fill="auto"/>
            <w:noWrap/>
            <w:vAlign w:val="bottom"/>
            <w:hideMark/>
          </w:tcPr>
          <w:p w14:paraId="7B733768"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49</w:t>
            </w:r>
          </w:p>
        </w:tc>
        <w:tc>
          <w:tcPr>
            <w:tcW w:w="1348" w:type="dxa"/>
            <w:tcBorders>
              <w:top w:val="nil"/>
              <w:left w:val="nil"/>
              <w:bottom w:val="nil"/>
              <w:right w:val="nil"/>
            </w:tcBorders>
            <w:shd w:val="clear" w:color="auto" w:fill="auto"/>
            <w:noWrap/>
            <w:vAlign w:val="bottom"/>
            <w:hideMark/>
          </w:tcPr>
          <w:p w14:paraId="0E217B7C"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239</w:t>
            </w:r>
          </w:p>
        </w:tc>
        <w:tc>
          <w:tcPr>
            <w:tcW w:w="1345" w:type="dxa"/>
            <w:tcBorders>
              <w:top w:val="nil"/>
              <w:left w:val="nil"/>
              <w:bottom w:val="nil"/>
              <w:right w:val="nil"/>
            </w:tcBorders>
            <w:shd w:val="clear" w:color="auto" w:fill="auto"/>
            <w:noWrap/>
            <w:vAlign w:val="bottom"/>
            <w:hideMark/>
          </w:tcPr>
          <w:p w14:paraId="358AEA56"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71</w:t>
            </w:r>
          </w:p>
        </w:tc>
      </w:tr>
      <w:tr w:rsidR="002277D0" w:rsidRPr="00322D81" w14:paraId="54971D3E" w14:textId="77777777" w:rsidTr="00795BA3">
        <w:trPr>
          <w:trHeight w:val="300"/>
          <w:jc w:val="center"/>
        </w:trPr>
        <w:tc>
          <w:tcPr>
            <w:tcW w:w="2120" w:type="dxa"/>
            <w:vMerge/>
            <w:tcBorders>
              <w:top w:val="nil"/>
              <w:left w:val="nil"/>
              <w:bottom w:val="single" w:sz="4" w:space="0" w:color="000000"/>
              <w:right w:val="nil"/>
            </w:tcBorders>
            <w:vAlign w:val="center"/>
            <w:hideMark/>
          </w:tcPr>
          <w:p w14:paraId="73400653" w14:textId="77777777" w:rsidR="002277D0" w:rsidRPr="00322D81" w:rsidRDefault="002277D0" w:rsidP="002A30FC">
            <w:pPr>
              <w:spacing w:line="276" w:lineRule="auto"/>
              <w:ind w:firstLine="284"/>
              <w:rPr>
                <w:color w:val="000000"/>
                <w:sz w:val="20"/>
                <w:szCs w:val="22"/>
              </w:rPr>
            </w:pPr>
          </w:p>
        </w:tc>
        <w:tc>
          <w:tcPr>
            <w:tcW w:w="385" w:type="dxa"/>
            <w:tcBorders>
              <w:top w:val="nil"/>
              <w:left w:val="nil"/>
              <w:bottom w:val="single" w:sz="4" w:space="0" w:color="auto"/>
              <w:right w:val="single" w:sz="4" w:space="0" w:color="auto"/>
            </w:tcBorders>
            <w:shd w:val="clear" w:color="auto" w:fill="auto"/>
            <w:noWrap/>
            <w:vAlign w:val="bottom"/>
            <w:hideMark/>
          </w:tcPr>
          <w:p w14:paraId="7A3F9D87" w14:textId="77777777" w:rsidR="002277D0" w:rsidRPr="00322D81" w:rsidRDefault="002277D0" w:rsidP="00795BA3">
            <w:pPr>
              <w:spacing w:line="276" w:lineRule="auto"/>
              <w:rPr>
                <w:color w:val="000000"/>
                <w:sz w:val="20"/>
                <w:szCs w:val="22"/>
              </w:rPr>
            </w:pPr>
            <w:r w:rsidRPr="00322D81">
              <w:rPr>
                <w:color w:val="000000"/>
                <w:sz w:val="20"/>
                <w:szCs w:val="22"/>
              </w:rPr>
              <w:t>Si</w:t>
            </w:r>
          </w:p>
        </w:tc>
        <w:tc>
          <w:tcPr>
            <w:tcW w:w="1348" w:type="dxa"/>
            <w:tcBorders>
              <w:top w:val="nil"/>
              <w:left w:val="nil"/>
              <w:bottom w:val="single" w:sz="4" w:space="0" w:color="auto"/>
              <w:right w:val="nil"/>
            </w:tcBorders>
            <w:shd w:val="clear" w:color="auto" w:fill="auto"/>
            <w:noWrap/>
            <w:vAlign w:val="bottom"/>
            <w:hideMark/>
          </w:tcPr>
          <w:p w14:paraId="758B3C26"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3</w:t>
            </w:r>
          </w:p>
        </w:tc>
        <w:tc>
          <w:tcPr>
            <w:tcW w:w="1345" w:type="dxa"/>
            <w:tcBorders>
              <w:top w:val="nil"/>
              <w:left w:val="nil"/>
              <w:bottom w:val="single" w:sz="4" w:space="0" w:color="auto"/>
              <w:right w:val="single" w:sz="4" w:space="0" w:color="auto"/>
            </w:tcBorders>
            <w:shd w:val="clear" w:color="auto" w:fill="auto"/>
            <w:noWrap/>
            <w:vAlign w:val="bottom"/>
            <w:hideMark/>
          </w:tcPr>
          <w:p w14:paraId="798F8499"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4</w:t>
            </w:r>
          </w:p>
        </w:tc>
        <w:tc>
          <w:tcPr>
            <w:tcW w:w="1348" w:type="dxa"/>
            <w:tcBorders>
              <w:top w:val="nil"/>
              <w:left w:val="nil"/>
              <w:bottom w:val="single" w:sz="4" w:space="0" w:color="auto"/>
              <w:right w:val="nil"/>
            </w:tcBorders>
            <w:shd w:val="clear" w:color="auto" w:fill="auto"/>
            <w:noWrap/>
            <w:vAlign w:val="bottom"/>
            <w:hideMark/>
          </w:tcPr>
          <w:p w14:paraId="11DED919"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6</w:t>
            </w:r>
          </w:p>
        </w:tc>
        <w:tc>
          <w:tcPr>
            <w:tcW w:w="1345" w:type="dxa"/>
            <w:tcBorders>
              <w:top w:val="nil"/>
              <w:left w:val="nil"/>
              <w:bottom w:val="single" w:sz="4" w:space="0" w:color="auto"/>
              <w:right w:val="nil"/>
            </w:tcBorders>
            <w:shd w:val="clear" w:color="auto" w:fill="auto"/>
            <w:noWrap/>
            <w:vAlign w:val="bottom"/>
            <w:hideMark/>
          </w:tcPr>
          <w:p w14:paraId="2D3B3CC5" w14:textId="77777777" w:rsidR="002277D0" w:rsidRPr="00322D81" w:rsidRDefault="002277D0" w:rsidP="002A30FC">
            <w:pPr>
              <w:spacing w:line="276" w:lineRule="auto"/>
              <w:ind w:firstLine="284"/>
              <w:jc w:val="right"/>
              <w:rPr>
                <w:color w:val="000000"/>
                <w:sz w:val="20"/>
                <w:szCs w:val="22"/>
              </w:rPr>
            </w:pPr>
            <w:r w:rsidRPr="00322D81">
              <w:rPr>
                <w:color w:val="000000"/>
                <w:sz w:val="20"/>
                <w:szCs w:val="22"/>
              </w:rPr>
              <w:t>1</w:t>
            </w:r>
          </w:p>
        </w:tc>
      </w:tr>
    </w:tbl>
    <w:p w14:paraId="1BA6D0D3" w14:textId="61C1B8B6" w:rsidR="00A5316F" w:rsidRDefault="00A5316F" w:rsidP="005B7C9B">
      <w:pPr>
        <w:autoSpaceDE w:val="0"/>
        <w:autoSpaceDN w:val="0"/>
        <w:adjustRightInd w:val="0"/>
        <w:spacing w:line="480" w:lineRule="auto"/>
        <w:ind w:firstLine="284"/>
        <w:rPr>
          <w:rFonts w:eastAsiaTheme="minorEastAsia"/>
          <w:lang w:val="es-CO" w:eastAsia="ja-JP"/>
        </w:rPr>
      </w:pPr>
    </w:p>
    <w:p w14:paraId="7273923E" w14:textId="41DD5B63" w:rsidR="002A30FC" w:rsidRDefault="001C708B"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Aunque el número de casos donde estudiantes han presentado problemas con lesiones personales a causa de la bebida</w:t>
      </w:r>
      <w:r w:rsidR="00743D49">
        <w:rPr>
          <w:rFonts w:eastAsiaTheme="minorEastAsia"/>
          <w:lang w:val="es-CO" w:eastAsia="ja-JP"/>
        </w:rPr>
        <w:t xml:space="preserve"> es relativamente bajo, se muestran algunos casos preocupantes como los me</w:t>
      </w:r>
      <w:r w:rsidR="008824DE">
        <w:rPr>
          <w:rFonts w:eastAsiaTheme="minorEastAsia"/>
          <w:lang w:val="es-CO" w:eastAsia="ja-JP"/>
        </w:rPr>
        <w:t>nores de edad, hombres y mujeres que han cometido algún error a causa del licor</w:t>
      </w:r>
      <w:r w:rsidR="00A97A70">
        <w:rPr>
          <w:rFonts w:eastAsiaTheme="minorEastAsia"/>
          <w:lang w:val="es-CO" w:eastAsia="ja-JP"/>
        </w:rPr>
        <w:t xml:space="preserve"> (ver Tabla 6)</w:t>
      </w:r>
      <w:r w:rsidR="008824DE">
        <w:rPr>
          <w:rFonts w:eastAsiaTheme="minorEastAsia"/>
          <w:lang w:val="es-CO" w:eastAsia="ja-JP"/>
        </w:rPr>
        <w:t xml:space="preserve">. La tendencia en los hombres menores de edad es a aumentar (pasar de un problema pasado a un problema presente), mientras en las mujeres la tendencia es a </w:t>
      </w:r>
      <w:r w:rsidR="009452B8">
        <w:rPr>
          <w:rFonts w:eastAsiaTheme="minorEastAsia"/>
          <w:lang w:val="es-CO" w:eastAsia="ja-JP"/>
        </w:rPr>
        <w:t>mantenerse estable</w:t>
      </w:r>
      <w:r w:rsidR="008824DE">
        <w:rPr>
          <w:rFonts w:eastAsiaTheme="minorEastAsia"/>
          <w:lang w:val="es-CO" w:eastAsia="ja-JP"/>
        </w:rPr>
        <w:t>.</w:t>
      </w:r>
    </w:p>
    <w:p w14:paraId="6DE48DF0" w14:textId="7219527D" w:rsidR="00723DC5" w:rsidRDefault="00723DC5" w:rsidP="002A30FC">
      <w:pPr>
        <w:autoSpaceDE w:val="0"/>
        <w:autoSpaceDN w:val="0"/>
        <w:adjustRightInd w:val="0"/>
        <w:spacing w:line="480" w:lineRule="auto"/>
        <w:ind w:firstLine="284"/>
        <w:jc w:val="both"/>
        <w:rPr>
          <w:rFonts w:eastAsiaTheme="minorEastAsia"/>
          <w:lang w:val="es-CO" w:eastAsia="ja-JP"/>
        </w:rPr>
      </w:pPr>
      <w:r>
        <w:rPr>
          <w:rFonts w:eastAsiaTheme="minorEastAsia"/>
          <w:lang w:val="es-CO" w:eastAsia="ja-JP"/>
        </w:rPr>
        <w:t>A continuación se presenta el análisis de problemas pasados y presentes para la variable relacionada con el hecho de que algún familiar, médico o profesional sanitario muestre preocupación por el consumo de bebidas alcohólicas</w:t>
      </w:r>
      <w:r w:rsidR="00E032D3">
        <w:rPr>
          <w:rFonts w:eastAsiaTheme="minorEastAsia"/>
          <w:lang w:val="es-CO" w:eastAsia="ja-JP"/>
        </w:rPr>
        <w:t xml:space="preserve"> (Tabla 7)</w:t>
      </w:r>
      <w:r>
        <w:rPr>
          <w:rFonts w:eastAsiaTheme="minorEastAsia"/>
          <w:lang w:val="es-CO" w:eastAsia="ja-JP"/>
        </w:rPr>
        <w:t>. Si bien, aunque parece que la tendencia tiende a inclinarse sobre los mayores de edad, tanto para hombres como para mujeres, se presentan ciertos casos donde los menores también muestran este tipo de respuesta.</w:t>
      </w:r>
    </w:p>
    <w:p w14:paraId="74F03FF2"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FD20C8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A5E6803"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4262F43" w14:textId="77777777" w:rsidR="00723DC5" w:rsidRDefault="00723DC5" w:rsidP="005B7C9B">
      <w:pPr>
        <w:autoSpaceDE w:val="0"/>
        <w:autoSpaceDN w:val="0"/>
        <w:adjustRightInd w:val="0"/>
        <w:spacing w:line="480" w:lineRule="auto"/>
        <w:ind w:firstLine="284"/>
        <w:jc w:val="both"/>
        <w:rPr>
          <w:rFonts w:eastAsiaTheme="minorEastAsia"/>
          <w:lang w:val="es-CO" w:eastAsia="ja-JP"/>
        </w:rPr>
      </w:pPr>
    </w:p>
    <w:p w14:paraId="0B29B8B4" w14:textId="714AB0E6" w:rsidR="00E032D3" w:rsidRPr="00E032D3" w:rsidRDefault="00E032D3" w:rsidP="00E032D3">
      <w:pPr>
        <w:pStyle w:val="Caption"/>
        <w:keepNext/>
        <w:jc w:val="center"/>
        <w:rPr>
          <w:i w:val="0"/>
          <w:sz w:val="20"/>
        </w:rPr>
      </w:pPr>
      <w:bookmarkStart w:id="25" w:name="_Toc450578295"/>
      <w:r w:rsidRPr="00E032D3">
        <w:rPr>
          <w:sz w:val="20"/>
        </w:rPr>
        <w:t xml:space="preserve">Tabla </w:t>
      </w:r>
      <w:r w:rsidRPr="00E032D3">
        <w:rPr>
          <w:sz w:val="20"/>
        </w:rPr>
        <w:fldChar w:fldCharType="begin"/>
      </w:r>
      <w:r w:rsidRPr="00E032D3">
        <w:rPr>
          <w:sz w:val="20"/>
        </w:rPr>
        <w:instrText xml:space="preserve"> SEQ Tabla \* ARABIC </w:instrText>
      </w:r>
      <w:r w:rsidRPr="00E032D3">
        <w:rPr>
          <w:sz w:val="20"/>
        </w:rPr>
        <w:fldChar w:fldCharType="separate"/>
      </w:r>
      <w:r w:rsidRPr="00E032D3">
        <w:rPr>
          <w:noProof/>
          <w:sz w:val="20"/>
        </w:rPr>
        <w:t>7</w:t>
      </w:r>
      <w:r w:rsidRPr="00E032D3">
        <w:rPr>
          <w:sz w:val="20"/>
        </w:rPr>
        <w:fldChar w:fldCharType="end"/>
      </w:r>
      <w:r w:rsidRPr="00E032D3">
        <w:rPr>
          <w:sz w:val="20"/>
        </w:rPr>
        <w:t xml:space="preserve">. </w:t>
      </w:r>
      <w:r w:rsidRPr="00E032D3">
        <w:rPr>
          <w:i w:val="0"/>
          <w:sz w:val="20"/>
        </w:rPr>
        <w:t>Frecuencias absolutas de</w:t>
      </w:r>
      <w:r w:rsidR="00AE61BB">
        <w:rPr>
          <w:i w:val="0"/>
          <w:sz w:val="20"/>
        </w:rPr>
        <w:t xml:space="preserve"> </w:t>
      </w:r>
      <w:r w:rsidRPr="00E032D3">
        <w:rPr>
          <w:i w:val="0"/>
          <w:sz w:val="20"/>
        </w:rPr>
        <w:t>l</w:t>
      </w:r>
      <w:r w:rsidR="00AE61BB">
        <w:rPr>
          <w:i w:val="0"/>
          <w:sz w:val="20"/>
        </w:rPr>
        <w:t>a</w:t>
      </w:r>
      <w:r w:rsidRPr="00E032D3">
        <w:rPr>
          <w:i w:val="0"/>
          <w:sz w:val="20"/>
        </w:rPr>
        <w:t xml:space="preserve"> </w:t>
      </w:r>
      <w:r w:rsidR="00AE61BB">
        <w:rPr>
          <w:i w:val="0"/>
          <w:sz w:val="20"/>
        </w:rPr>
        <w:t>variable “preocupación por consumo de alcohol”</w:t>
      </w:r>
      <w:r w:rsidRPr="00E032D3">
        <w:rPr>
          <w:i w:val="0"/>
          <w:sz w:val="20"/>
        </w:rPr>
        <w:t xml:space="preserve"> en el pasado y presente discriminados por género y grupo de edad</w:t>
      </w:r>
      <w:bookmarkEnd w:id="25"/>
    </w:p>
    <w:tbl>
      <w:tblPr>
        <w:tblW w:w="8623" w:type="dxa"/>
        <w:jc w:val="center"/>
        <w:tblCellMar>
          <w:left w:w="70" w:type="dxa"/>
          <w:right w:w="70" w:type="dxa"/>
        </w:tblCellMar>
        <w:tblLook w:val="04A0" w:firstRow="1" w:lastRow="0" w:firstColumn="1" w:lastColumn="0" w:noHBand="0" w:noVBand="1"/>
      </w:tblPr>
      <w:tblGrid>
        <w:gridCol w:w="2692"/>
        <w:gridCol w:w="545"/>
        <w:gridCol w:w="1348"/>
        <w:gridCol w:w="1345"/>
        <w:gridCol w:w="1348"/>
        <w:gridCol w:w="1345"/>
      </w:tblGrid>
      <w:tr w:rsidR="00723DC5" w:rsidRPr="00942482" w14:paraId="567D71B3" w14:textId="77777777" w:rsidTr="00460C7E">
        <w:trPr>
          <w:trHeight w:val="300"/>
          <w:jc w:val="center"/>
        </w:trPr>
        <w:tc>
          <w:tcPr>
            <w:tcW w:w="3237" w:type="dxa"/>
            <w:gridSpan w:val="2"/>
            <w:vMerge w:val="restart"/>
            <w:tcBorders>
              <w:top w:val="single" w:sz="4" w:space="0" w:color="auto"/>
              <w:left w:val="nil"/>
              <w:bottom w:val="nil"/>
              <w:right w:val="single" w:sz="4" w:space="0" w:color="000000"/>
            </w:tcBorders>
            <w:shd w:val="clear" w:color="auto" w:fill="auto"/>
            <w:noWrap/>
            <w:vAlign w:val="bottom"/>
            <w:hideMark/>
          </w:tcPr>
          <w:p w14:paraId="233F3E37" w14:textId="77777777" w:rsidR="00723DC5" w:rsidRPr="00942482" w:rsidRDefault="00723DC5" w:rsidP="002A30FC">
            <w:pPr>
              <w:spacing w:line="276" w:lineRule="auto"/>
              <w:ind w:firstLine="284"/>
              <w:jc w:val="center"/>
              <w:rPr>
                <w:color w:val="000000"/>
                <w:sz w:val="20"/>
                <w:szCs w:val="22"/>
                <w:lang w:val="es-CO" w:eastAsia="es-CO"/>
              </w:rPr>
            </w:pPr>
            <w:r w:rsidRPr="00942482">
              <w:rPr>
                <w:color w:val="000000"/>
                <w:sz w:val="20"/>
                <w:szCs w:val="22"/>
              </w:rPr>
              <w:t> </w:t>
            </w:r>
          </w:p>
        </w:tc>
        <w:tc>
          <w:tcPr>
            <w:tcW w:w="26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42889D" w14:textId="77777777" w:rsidR="00723DC5" w:rsidRPr="00942482" w:rsidRDefault="00723DC5" w:rsidP="002A30FC">
            <w:pPr>
              <w:spacing w:line="276" w:lineRule="auto"/>
              <w:ind w:firstLine="284"/>
              <w:jc w:val="center"/>
              <w:rPr>
                <w:color w:val="000000"/>
                <w:sz w:val="20"/>
                <w:szCs w:val="22"/>
              </w:rPr>
            </w:pPr>
            <w:r w:rsidRPr="00942482">
              <w:rPr>
                <w:color w:val="000000"/>
                <w:sz w:val="20"/>
                <w:szCs w:val="22"/>
              </w:rPr>
              <w:t>Hombres</w:t>
            </w:r>
          </w:p>
        </w:tc>
        <w:tc>
          <w:tcPr>
            <w:tcW w:w="2693" w:type="dxa"/>
            <w:gridSpan w:val="2"/>
            <w:tcBorders>
              <w:top w:val="single" w:sz="4" w:space="0" w:color="auto"/>
              <w:left w:val="nil"/>
              <w:bottom w:val="single" w:sz="4" w:space="0" w:color="auto"/>
              <w:right w:val="nil"/>
            </w:tcBorders>
            <w:shd w:val="clear" w:color="auto" w:fill="auto"/>
            <w:noWrap/>
            <w:vAlign w:val="bottom"/>
            <w:hideMark/>
          </w:tcPr>
          <w:p w14:paraId="2F7FD790" w14:textId="77777777" w:rsidR="00723DC5" w:rsidRPr="00942482" w:rsidRDefault="00723DC5" w:rsidP="002A30FC">
            <w:pPr>
              <w:spacing w:line="276" w:lineRule="auto"/>
              <w:ind w:firstLine="284"/>
              <w:jc w:val="center"/>
              <w:rPr>
                <w:color w:val="000000"/>
                <w:sz w:val="20"/>
                <w:szCs w:val="22"/>
              </w:rPr>
            </w:pPr>
            <w:r w:rsidRPr="00942482">
              <w:rPr>
                <w:color w:val="000000"/>
                <w:sz w:val="20"/>
                <w:szCs w:val="22"/>
              </w:rPr>
              <w:t>Mujeres</w:t>
            </w:r>
          </w:p>
        </w:tc>
      </w:tr>
      <w:tr w:rsidR="00460C7E" w:rsidRPr="00942482" w14:paraId="766EEC73" w14:textId="77777777" w:rsidTr="00460C7E">
        <w:trPr>
          <w:trHeight w:val="300"/>
          <w:jc w:val="center"/>
        </w:trPr>
        <w:tc>
          <w:tcPr>
            <w:tcW w:w="3237" w:type="dxa"/>
            <w:gridSpan w:val="2"/>
            <w:vMerge/>
            <w:tcBorders>
              <w:top w:val="single" w:sz="4" w:space="0" w:color="auto"/>
              <w:left w:val="nil"/>
              <w:bottom w:val="nil"/>
              <w:right w:val="single" w:sz="4" w:space="0" w:color="000000"/>
            </w:tcBorders>
            <w:vAlign w:val="center"/>
            <w:hideMark/>
          </w:tcPr>
          <w:p w14:paraId="257FB752" w14:textId="77777777" w:rsidR="00460C7E" w:rsidRPr="00942482" w:rsidRDefault="00460C7E" w:rsidP="00460C7E">
            <w:pPr>
              <w:spacing w:line="276" w:lineRule="auto"/>
              <w:ind w:firstLine="284"/>
              <w:rPr>
                <w:color w:val="000000"/>
                <w:sz w:val="20"/>
                <w:szCs w:val="22"/>
              </w:rPr>
            </w:pPr>
          </w:p>
        </w:tc>
        <w:tc>
          <w:tcPr>
            <w:tcW w:w="1348" w:type="dxa"/>
            <w:tcBorders>
              <w:top w:val="nil"/>
              <w:left w:val="nil"/>
              <w:bottom w:val="nil"/>
              <w:right w:val="nil"/>
            </w:tcBorders>
            <w:shd w:val="clear" w:color="auto" w:fill="auto"/>
            <w:noWrap/>
            <w:vAlign w:val="bottom"/>
            <w:hideMark/>
          </w:tcPr>
          <w:p w14:paraId="2FA88FB8" w14:textId="0617A530" w:rsidR="00460C7E" w:rsidRPr="00942482" w:rsidRDefault="00460C7E" w:rsidP="00460C7E">
            <w:pPr>
              <w:spacing w:line="276" w:lineRule="auto"/>
              <w:ind w:firstLine="284"/>
              <w:rPr>
                <w:color w:val="000000"/>
                <w:sz w:val="20"/>
                <w:szCs w:val="22"/>
              </w:rPr>
            </w:pPr>
            <w:r>
              <w:rPr>
                <w:color w:val="000000"/>
                <w:sz w:val="20"/>
                <w:szCs w:val="22"/>
              </w:rPr>
              <w:t>Edad &gt; 18</w:t>
            </w:r>
          </w:p>
        </w:tc>
        <w:tc>
          <w:tcPr>
            <w:tcW w:w="1345" w:type="dxa"/>
            <w:tcBorders>
              <w:top w:val="nil"/>
              <w:left w:val="nil"/>
              <w:bottom w:val="nil"/>
              <w:right w:val="single" w:sz="4" w:space="0" w:color="auto"/>
            </w:tcBorders>
            <w:shd w:val="clear" w:color="auto" w:fill="auto"/>
            <w:noWrap/>
            <w:vAlign w:val="bottom"/>
            <w:hideMark/>
          </w:tcPr>
          <w:p w14:paraId="709E51E5" w14:textId="49B58DA7" w:rsidR="00460C7E" w:rsidRPr="00942482" w:rsidRDefault="00460C7E" w:rsidP="00460C7E">
            <w:pPr>
              <w:spacing w:line="276" w:lineRule="auto"/>
              <w:ind w:firstLine="284"/>
              <w:rPr>
                <w:color w:val="000000"/>
                <w:sz w:val="20"/>
                <w:szCs w:val="22"/>
              </w:rPr>
            </w:pPr>
            <w:r>
              <w:rPr>
                <w:color w:val="000000"/>
                <w:sz w:val="20"/>
                <w:szCs w:val="22"/>
              </w:rPr>
              <w:t>Edad ≤ 17</w:t>
            </w:r>
          </w:p>
        </w:tc>
        <w:tc>
          <w:tcPr>
            <w:tcW w:w="1348" w:type="dxa"/>
            <w:tcBorders>
              <w:top w:val="nil"/>
              <w:left w:val="nil"/>
              <w:bottom w:val="nil"/>
              <w:right w:val="nil"/>
            </w:tcBorders>
            <w:shd w:val="clear" w:color="auto" w:fill="auto"/>
            <w:noWrap/>
            <w:vAlign w:val="bottom"/>
            <w:hideMark/>
          </w:tcPr>
          <w:p w14:paraId="04B8A60C" w14:textId="183BA293" w:rsidR="00460C7E" w:rsidRPr="00942482" w:rsidRDefault="00460C7E" w:rsidP="00460C7E">
            <w:pPr>
              <w:spacing w:line="276" w:lineRule="auto"/>
              <w:ind w:firstLine="284"/>
              <w:rPr>
                <w:color w:val="000000"/>
                <w:sz w:val="20"/>
                <w:szCs w:val="22"/>
              </w:rPr>
            </w:pPr>
            <w:r>
              <w:rPr>
                <w:color w:val="000000"/>
                <w:sz w:val="20"/>
                <w:szCs w:val="22"/>
              </w:rPr>
              <w:t>Edad &gt; 18</w:t>
            </w:r>
          </w:p>
        </w:tc>
        <w:tc>
          <w:tcPr>
            <w:tcW w:w="1345" w:type="dxa"/>
            <w:tcBorders>
              <w:top w:val="nil"/>
              <w:left w:val="nil"/>
              <w:bottom w:val="nil"/>
              <w:right w:val="nil"/>
            </w:tcBorders>
            <w:shd w:val="clear" w:color="auto" w:fill="auto"/>
            <w:noWrap/>
            <w:vAlign w:val="bottom"/>
            <w:hideMark/>
          </w:tcPr>
          <w:p w14:paraId="3AC6C48B" w14:textId="0DD39F60" w:rsidR="00460C7E" w:rsidRPr="00942482" w:rsidRDefault="00460C7E" w:rsidP="00460C7E">
            <w:pPr>
              <w:spacing w:line="276" w:lineRule="auto"/>
              <w:ind w:firstLine="284"/>
              <w:rPr>
                <w:color w:val="000000"/>
                <w:sz w:val="20"/>
                <w:szCs w:val="22"/>
              </w:rPr>
            </w:pPr>
            <w:r>
              <w:rPr>
                <w:color w:val="000000"/>
                <w:sz w:val="20"/>
                <w:szCs w:val="22"/>
              </w:rPr>
              <w:t>Edad ≤ 17</w:t>
            </w:r>
          </w:p>
        </w:tc>
      </w:tr>
      <w:tr w:rsidR="00723DC5" w:rsidRPr="00942482" w14:paraId="178BBBFD" w14:textId="77777777" w:rsidTr="00460C7E">
        <w:trPr>
          <w:trHeight w:val="300"/>
          <w:jc w:val="center"/>
        </w:trPr>
        <w:tc>
          <w:tcPr>
            <w:tcW w:w="2692" w:type="dxa"/>
            <w:vMerge w:val="restart"/>
            <w:tcBorders>
              <w:top w:val="nil"/>
              <w:left w:val="nil"/>
              <w:bottom w:val="single" w:sz="4" w:space="0" w:color="000000"/>
              <w:right w:val="nil"/>
            </w:tcBorders>
            <w:shd w:val="clear" w:color="auto" w:fill="auto"/>
            <w:noWrap/>
            <w:vAlign w:val="center"/>
            <w:hideMark/>
          </w:tcPr>
          <w:p w14:paraId="4C27F349" w14:textId="77777777" w:rsidR="00460C7E" w:rsidRDefault="00723DC5" w:rsidP="00460C7E">
            <w:pPr>
              <w:spacing w:line="276" w:lineRule="auto"/>
              <w:ind w:firstLine="284"/>
              <w:jc w:val="center"/>
              <w:rPr>
                <w:color w:val="000000"/>
                <w:sz w:val="20"/>
                <w:szCs w:val="22"/>
              </w:rPr>
            </w:pPr>
            <w:r w:rsidRPr="00942482">
              <w:rPr>
                <w:color w:val="000000"/>
                <w:sz w:val="20"/>
                <w:szCs w:val="22"/>
              </w:rPr>
              <w:t>Preocupación por consumo</w:t>
            </w:r>
          </w:p>
          <w:p w14:paraId="1871DD75" w14:textId="33AD0718" w:rsidR="00723DC5" w:rsidRPr="00942482" w:rsidRDefault="00723DC5" w:rsidP="00460C7E">
            <w:pPr>
              <w:spacing w:line="276" w:lineRule="auto"/>
              <w:ind w:firstLine="284"/>
              <w:jc w:val="center"/>
              <w:rPr>
                <w:color w:val="000000"/>
                <w:sz w:val="20"/>
                <w:szCs w:val="22"/>
              </w:rPr>
            </w:pPr>
            <w:r w:rsidRPr="00942482">
              <w:rPr>
                <w:color w:val="000000"/>
                <w:sz w:val="20"/>
                <w:szCs w:val="22"/>
              </w:rPr>
              <w:t>en el año pasado</w:t>
            </w:r>
          </w:p>
        </w:tc>
        <w:tc>
          <w:tcPr>
            <w:tcW w:w="545" w:type="dxa"/>
            <w:tcBorders>
              <w:top w:val="nil"/>
              <w:left w:val="nil"/>
              <w:bottom w:val="nil"/>
              <w:right w:val="single" w:sz="4" w:space="0" w:color="auto"/>
            </w:tcBorders>
            <w:shd w:val="clear" w:color="auto" w:fill="auto"/>
            <w:noWrap/>
            <w:vAlign w:val="center"/>
            <w:hideMark/>
          </w:tcPr>
          <w:p w14:paraId="634997B6" w14:textId="77777777" w:rsidR="00723DC5" w:rsidRPr="00942482" w:rsidRDefault="00723DC5" w:rsidP="00460C7E">
            <w:pPr>
              <w:spacing w:line="276" w:lineRule="auto"/>
              <w:rPr>
                <w:color w:val="000000"/>
                <w:sz w:val="20"/>
                <w:szCs w:val="22"/>
              </w:rPr>
            </w:pPr>
            <w:r w:rsidRPr="00942482">
              <w:rPr>
                <w:color w:val="000000"/>
                <w:sz w:val="20"/>
                <w:szCs w:val="22"/>
              </w:rPr>
              <w:t>No</w:t>
            </w:r>
          </w:p>
        </w:tc>
        <w:tc>
          <w:tcPr>
            <w:tcW w:w="1348" w:type="dxa"/>
            <w:tcBorders>
              <w:top w:val="nil"/>
              <w:left w:val="nil"/>
              <w:bottom w:val="nil"/>
              <w:right w:val="nil"/>
            </w:tcBorders>
            <w:shd w:val="clear" w:color="auto" w:fill="auto"/>
            <w:noWrap/>
            <w:vAlign w:val="bottom"/>
            <w:hideMark/>
          </w:tcPr>
          <w:p w14:paraId="194E0287"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253</w:t>
            </w:r>
          </w:p>
        </w:tc>
        <w:tc>
          <w:tcPr>
            <w:tcW w:w="1345" w:type="dxa"/>
            <w:tcBorders>
              <w:top w:val="nil"/>
              <w:left w:val="nil"/>
              <w:bottom w:val="nil"/>
              <w:right w:val="single" w:sz="4" w:space="0" w:color="auto"/>
            </w:tcBorders>
            <w:shd w:val="clear" w:color="auto" w:fill="auto"/>
            <w:noWrap/>
            <w:vAlign w:val="bottom"/>
            <w:hideMark/>
          </w:tcPr>
          <w:p w14:paraId="60C3AD9D"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52</w:t>
            </w:r>
          </w:p>
        </w:tc>
        <w:tc>
          <w:tcPr>
            <w:tcW w:w="1348" w:type="dxa"/>
            <w:tcBorders>
              <w:top w:val="nil"/>
              <w:left w:val="nil"/>
              <w:bottom w:val="nil"/>
              <w:right w:val="nil"/>
            </w:tcBorders>
            <w:shd w:val="clear" w:color="auto" w:fill="auto"/>
            <w:noWrap/>
            <w:vAlign w:val="bottom"/>
            <w:hideMark/>
          </w:tcPr>
          <w:p w14:paraId="4DE83F32"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235</w:t>
            </w:r>
          </w:p>
        </w:tc>
        <w:tc>
          <w:tcPr>
            <w:tcW w:w="1345" w:type="dxa"/>
            <w:tcBorders>
              <w:top w:val="nil"/>
              <w:left w:val="nil"/>
              <w:bottom w:val="nil"/>
              <w:right w:val="nil"/>
            </w:tcBorders>
            <w:shd w:val="clear" w:color="auto" w:fill="auto"/>
            <w:noWrap/>
            <w:vAlign w:val="bottom"/>
            <w:hideMark/>
          </w:tcPr>
          <w:p w14:paraId="61CD2EDD"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69</w:t>
            </w:r>
          </w:p>
        </w:tc>
      </w:tr>
      <w:tr w:rsidR="00723DC5" w:rsidRPr="00942482" w14:paraId="51754CCE" w14:textId="77777777" w:rsidTr="00460C7E">
        <w:trPr>
          <w:trHeight w:val="300"/>
          <w:jc w:val="center"/>
        </w:trPr>
        <w:tc>
          <w:tcPr>
            <w:tcW w:w="2692" w:type="dxa"/>
            <w:vMerge/>
            <w:tcBorders>
              <w:top w:val="nil"/>
              <w:left w:val="nil"/>
              <w:bottom w:val="single" w:sz="4" w:space="0" w:color="000000"/>
              <w:right w:val="nil"/>
            </w:tcBorders>
            <w:vAlign w:val="center"/>
            <w:hideMark/>
          </w:tcPr>
          <w:p w14:paraId="66B79B5F" w14:textId="77777777" w:rsidR="00723DC5" w:rsidRPr="00942482" w:rsidRDefault="00723DC5" w:rsidP="002A30FC">
            <w:pPr>
              <w:spacing w:line="276" w:lineRule="auto"/>
              <w:ind w:firstLine="284"/>
              <w:rPr>
                <w:color w:val="000000"/>
                <w:sz w:val="20"/>
                <w:szCs w:val="22"/>
              </w:rPr>
            </w:pPr>
          </w:p>
        </w:tc>
        <w:tc>
          <w:tcPr>
            <w:tcW w:w="545" w:type="dxa"/>
            <w:tcBorders>
              <w:top w:val="nil"/>
              <w:left w:val="nil"/>
              <w:bottom w:val="single" w:sz="4" w:space="0" w:color="auto"/>
              <w:right w:val="single" w:sz="4" w:space="0" w:color="auto"/>
            </w:tcBorders>
            <w:shd w:val="clear" w:color="auto" w:fill="auto"/>
            <w:noWrap/>
            <w:vAlign w:val="center"/>
            <w:hideMark/>
          </w:tcPr>
          <w:p w14:paraId="2CD069C6" w14:textId="77777777" w:rsidR="00723DC5" w:rsidRPr="00942482" w:rsidRDefault="00723DC5" w:rsidP="00460C7E">
            <w:pPr>
              <w:spacing w:line="276" w:lineRule="auto"/>
              <w:rPr>
                <w:color w:val="000000"/>
                <w:sz w:val="20"/>
                <w:szCs w:val="22"/>
              </w:rPr>
            </w:pPr>
            <w:r w:rsidRPr="00942482">
              <w:rPr>
                <w:color w:val="000000"/>
                <w:sz w:val="20"/>
                <w:szCs w:val="22"/>
              </w:rPr>
              <w:t>Si</w:t>
            </w:r>
          </w:p>
        </w:tc>
        <w:tc>
          <w:tcPr>
            <w:tcW w:w="1348" w:type="dxa"/>
            <w:tcBorders>
              <w:top w:val="nil"/>
              <w:left w:val="nil"/>
              <w:bottom w:val="single" w:sz="4" w:space="0" w:color="auto"/>
              <w:right w:val="nil"/>
            </w:tcBorders>
            <w:shd w:val="clear" w:color="auto" w:fill="auto"/>
            <w:noWrap/>
            <w:vAlign w:val="bottom"/>
            <w:hideMark/>
          </w:tcPr>
          <w:p w14:paraId="527697BC"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11</w:t>
            </w:r>
          </w:p>
        </w:tc>
        <w:tc>
          <w:tcPr>
            <w:tcW w:w="1345" w:type="dxa"/>
            <w:tcBorders>
              <w:top w:val="nil"/>
              <w:left w:val="nil"/>
              <w:bottom w:val="single" w:sz="4" w:space="0" w:color="auto"/>
              <w:right w:val="single" w:sz="4" w:space="0" w:color="auto"/>
            </w:tcBorders>
            <w:shd w:val="clear" w:color="auto" w:fill="auto"/>
            <w:noWrap/>
            <w:vAlign w:val="bottom"/>
            <w:hideMark/>
          </w:tcPr>
          <w:p w14:paraId="2AA7FA17"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0</w:t>
            </w:r>
          </w:p>
        </w:tc>
        <w:tc>
          <w:tcPr>
            <w:tcW w:w="1348" w:type="dxa"/>
            <w:tcBorders>
              <w:top w:val="nil"/>
              <w:left w:val="nil"/>
              <w:bottom w:val="single" w:sz="4" w:space="0" w:color="auto"/>
              <w:right w:val="nil"/>
            </w:tcBorders>
            <w:shd w:val="clear" w:color="auto" w:fill="auto"/>
            <w:noWrap/>
            <w:vAlign w:val="bottom"/>
            <w:hideMark/>
          </w:tcPr>
          <w:p w14:paraId="09320253"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8</w:t>
            </w:r>
          </w:p>
        </w:tc>
        <w:tc>
          <w:tcPr>
            <w:tcW w:w="1345" w:type="dxa"/>
            <w:tcBorders>
              <w:top w:val="nil"/>
              <w:left w:val="nil"/>
              <w:bottom w:val="single" w:sz="4" w:space="0" w:color="auto"/>
              <w:right w:val="nil"/>
            </w:tcBorders>
            <w:shd w:val="clear" w:color="auto" w:fill="auto"/>
            <w:noWrap/>
            <w:vAlign w:val="bottom"/>
            <w:hideMark/>
          </w:tcPr>
          <w:p w14:paraId="5E8FE5F2"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3</w:t>
            </w:r>
          </w:p>
        </w:tc>
      </w:tr>
      <w:tr w:rsidR="00723DC5" w:rsidRPr="00942482" w14:paraId="65C5A23C" w14:textId="77777777" w:rsidTr="00460C7E">
        <w:trPr>
          <w:trHeight w:val="300"/>
          <w:jc w:val="center"/>
        </w:trPr>
        <w:tc>
          <w:tcPr>
            <w:tcW w:w="2692" w:type="dxa"/>
            <w:vMerge w:val="restart"/>
            <w:tcBorders>
              <w:top w:val="nil"/>
              <w:left w:val="nil"/>
              <w:bottom w:val="single" w:sz="4" w:space="0" w:color="000000"/>
              <w:right w:val="nil"/>
            </w:tcBorders>
            <w:shd w:val="clear" w:color="auto" w:fill="auto"/>
            <w:noWrap/>
            <w:vAlign w:val="center"/>
            <w:hideMark/>
          </w:tcPr>
          <w:p w14:paraId="6A7D6F16" w14:textId="77777777" w:rsidR="00460C7E" w:rsidRDefault="00723DC5" w:rsidP="00460C7E">
            <w:pPr>
              <w:spacing w:line="276" w:lineRule="auto"/>
              <w:ind w:firstLine="284"/>
              <w:jc w:val="center"/>
              <w:rPr>
                <w:color w:val="000000"/>
                <w:sz w:val="20"/>
                <w:szCs w:val="22"/>
              </w:rPr>
            </w:pPr>
            <w:r w:rsidRPr="00942482">
              <w:rPr>
                <w:color w:val="000000"/>
                <w:sz w:val="20"/>
                <w:szCs w:val="22"/>
              </w:rPr>
              <w:t>Preocupación por consumo</w:t>
            </w:r>
          </w:p>
          <w:p w14:paraId="1C105726" w14:textId="691B869E" w:rsidR="00723DC5" w:rsidRPr="00942482" w:rsidRDefault="00723DC5" w:rsidP="00460C7E">
            <w:pPr>
              <w:spacing w:line="276" w:lineRule="auto"/>
              <w:ind w:firstLine="284"/>
              <w:jc w:val="center"/>
              <w:rPr>
                <w:color w:val="000000"/>
                <w:sz w:val="20"/>
                <w:szCs w:val="22"/>
              </w:rPr>
            </w:pPr>
            <w:r w:rsidRPr="00942482">
              <w:rPr>
                <w:color w:val="000000"/>
                <w:sz w:val="20"/>
                <w:szCs w:val="22"/>
              </w:rPr>
              <w:t>en el presente año</w:t>
            </w:r>
          </w:p>
        </w:tc>
        <w:tc>
          <w:tcPr>
            <w:tcW w:w="545" w:type="dxa"/>
            <w:tcBorders>
              <w:top w:val="nil"/>
              <w:left w:val="nil"/>
              <w:bottom w:val="nil"/>
              <w:right w:val="single" w:sz="4" w:space="0" w:color="auto"/>
            </w:tcBorders>
            <w:shd w:val="clear" w:color="auto" w:fill="auto"/>
            <w:noWrap/>
            <w:vAlign w:val="bottom"/>
            <w:hideMark/>
          </w:tcPr>
          <w:p w14:paraId="39EC1E41" w14:textId="77777777" w:rsidR="00723DC5" w:rsidRPr="00942482" w:rsidRDefault="00723DC5" w:rsidP="00460C7E">
            <w:pPr>
              <w:spacing w:line="276" w:lineRule="auto"/>
              <w:rPr>
                <w:color w:val="000000"/>
                <w:sz w:val="20"/>
                <w:szCs w:val="22"/>
              </w:rPr>
            </w:pPr>
            <w:r w:rsidRPr="00942482">
              <w:rPr>
                <w:color w:val="000000"/>
                <w:sz w:val="20"/>
                <w:szCs w:val="22"/>
              </w:rPr>
              <w:t>No</w:t>
            </w:r>
          </w:p>
        </w:tc>
        <w:tc>
          <w:tcPr>
            <w:tcW w:w="1348" w:type="dxa"/>
            <w:tcBorders>
              <w:top w:val="nil"/>
              <w:left w:val="nil"/>
              <w:bottom w:val="nil"/>
              <w:right w:val="nil"/>
            </w:tcBorders>
            <w:shd w:val="clear" w:color="auto" w:fill="auto"/>
            <w:noWrap/>
            <w:vAlign w:val="bottom"/>
            <w:hideMark/>
          </w:tcPr>
          <w:p w14:paraId="32516819"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252</w:t>
            </w:r>
          </w:p>
        </w:tc>
        <w:tc>
          <w:tcPr>
            <w:tcW w:w="1345" w:type="dxa"/>
            <w:tcBorders>
              <w:top w:val="nil"/>
              <w:left w:val="nil"/>
              <w:bottom w:val="nil"/>
              <w:right w:val="single" w:sz="4" w:space="0" w:color="auto"/>
            </w:tcBorders>
            <w:shd w:val="clear" w:color="auto" w:fill="auto"/>
            <w:noWrap/>
            <w:vAlign w:val="bottom"/>
            <w:hideMark/>
          </w:tcPr>
          <w:p w14:paraId="781361AB"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47</w:t>
            </w:r>
          </w:p>
        </w:tc>
        <w:tc>
          <w:tcPr>
            <w:tcW w:w="1348" w:type="dxa"/>
            <w:tcBorders>
              <w:top w:val="nil"/>
              <w:left w:val="nil"/>
              <w:bottom w:val="nil"/>
              <w:right w:val="nil"/>
            </w:tcBorders>
            <w:shd w:val="clear" w:color="auto" w:fill="auto"/>
            <w:noWrap/>
            <w:vAlign w:val="bottom"/>
            <w:hideMark/>
          </w:tcPr>
          <w:p w14:paraId="1A96CE1E"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227</w:t>
            </w:r>
          </w:p>
        </w:tc>
        <w:tc>
          <w:tcPr>
            <w:tcW w:w="1345" w:type="dxa"/>
            <w:tcBorders>
              <w:top w:val="nil"/>
              <w:left w:val="nil"/>
              <w:bottom w:val="nil"/>
              <w:right w:val="nil"/>
            </w:tcBorders>
            <w:shd w:val="clear" w:color="auto" w:fill="auto"/>
            <w:noWrap/>
            <w:vAlign w:val="bottom"/>
            <w:hideMark/>
          </w:tcPr>
          <w:p w14:paraId="266E0514"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71</w:t>
            </w:r>
          </w:p>
        </w:tc>
      </w:tr>
      <w:tr w:rsidR="00723DC5" w:rsidRPr="00942482" w14:paraId="49B789B2" w14:textId="77777777" w:rsidTr="00460C7E">
        <w:trPr>
          <w:trHeight w:val="300"/>
          <w:jc w:val="center"/>
        </w:trPr>
        <w:tc>
          <w:tcPr>
            <w:tcW w:w="2692" w:type="dxa"/>
            <w:vMerge/>
            <w:tcBorders>
              <w:top w:val="nil"/>
              <w:left w:val="nil"/>
              <w:bottom w:val="single" w:sz="4" w:space="0" w:color="000000"/>
              <w:right w:val="nil"/>
            </w:tcBorders>
            <w:vAlign w:val="center"/>
            <w:hideMark/>
          </w:tcPr>
          <w:p w14:paraId="69EDCD0F" w14:textId="77777777" w:rsidR="00723DC5" w:rsidRPr="00942482" w:rsidRDefault="00723DC5" w:rsidP="002A30FC">
            <w:pPr>
              <w:spacing w:line="276" w:lineRule="auto"/>
              <w:ind w:firstLine="284"/>
              <w:rPr>
                <w:color w:val="000000"/>
                <w:sz w:val="20"/>
                <w:szCs w:val="22"/>
              </w:rPr>
            </w:pPr>
          </w:p>
        </w:tc>
        <w:tc>
          <w:tcPr>
            <w:tcW w:w="545" w:type="dxa"/>
            <w:tcBorders>
              <w:top w:val="nil"/>
              <w:left w:val="nil"/>
              <w:bottom w:val="single" w:sz="4" w:space="0" w:color="auto"/>
              <w:right w:val="single" w:sz="4" w:space="0" w:color="auto"/>
            </w:tcBorders>
            <w:shd w:val="clear" w:color="auto" w:fill="auto"/>
            <w:noWrap/>
            <w:vAlign w:val="bottom"/>
            <w:hideMark/>
          </w:tcPr>
          <w:p w14:paraId="62E09C8D" w14:textId="77777777" w:rsidR="00723DC5" w:rsidRPr="00942482" w:rsidRDefault="00723DC5" w:rsidP="00460C7E">
            <w:pPr>
              <w:spacing w:line="276" w:lineRule="auto"/>
              <w:rPr>
                <w:color w:val="000000"/>
                <w:sz w:val="20"/>
                <w:szCs w:val="22"/>
              </w:rPr>
            </w:pPr>
            <w:r w:rsidRPr="00942482">
              <w:rPr>
                <w:color w:val="000000"/>
                <w:sz w:val="20"/>
                <w:szCs w:val="22"/>
              </w:rPr>
              <w:t>Si</w:t>
            </w:r>
          </w:p>
        </w:tc>
        <w:tc>
          <w:tcPr>
            <w:tcW w:w="1348" w:type="dxa"/>
            <w:tcBorders>
              <w:top w:val="nil"/>
              <w:left w:val="nil"/>
              <w:bottom w:val="single" w:sz="4" w:space="0" w:color="auto"/>
              <w:right w:val="nil"/>
            </w:tcBorders>
            <w:shd w:val="clear" w:color="auto" w:fill="auto"/>
            <w:noWrap/>
            <w:vAlign w:val="bottom"/>
            <w:hideMark/>
          </w:tcPr>
          <w:p w14:paraId="5DE2C0D6"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12</w:t>
            </w:r>
          </w:p>
        </w:tc>
        <w:tc>
          <w:tcPr>
            <w:tcW w:w="1345" w:type="dxa"/>
            <w:tcBorders>
              <w:top w:val="nil"/>
              <w:left w:val="nil"/>
              <w:bottom w:val="single" w:sz="4" w:space="0" w:color="auto"/>
              <w:right w:val="single" w:sz="4" w:space="0" w:color="auto"/>
            </w:tcBorders>
            <w:shd w:val="clear" w:color="auto" w:fill="auto"/>
            <w:noWrap/>
            <w:vAlign w:val="bottom"/>
            <w:hideMark/>
          </w:tcPr>
          <w:p w14:paraId="5F0CB5FF"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5</w:t>
            </w:r>
          </w:p>
        </w:tc>
        <w:tc>
          <w:tcPr>
            <w:tcW w:w="1348" w:type="dxa"/>
            <w:tcBorders>
              <w:top w:val="nil"/>
              <w:left w:val="nil"/>
              <w:bottom w:val="single" w:sz="4" w:space="0" w:color="auto"/>
              <w:right w:val="nil"/>
            </w:tcBorders>
            <w:shd w:val="clear" w:color="auto" w:fill="auto"/>
            <w:noWrap/>
            <w:vAlign w:val="bottom"/>
            <w:hideMark/>
          </w:tcPr>
          <w:p w14:paraId="05AED2D4"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16</w:t>
            </w:r>
          </w:p>
        </w:tc>
        <w:tc>
          <w:tcPr>
            <w:tcW w:w="1345" w:type="dxa"/>
            <w:tcBorders>
              <w:top w:val="nil"/>
              <w:left w:val="nil"/>
              <w:bottom w:val="single" w:sz="4" w:space="0" w:color="auto"/>
              <w:right w:val="nil"/>
            </w:tcBorders>
            <w:shd w:val="clear" w:color="auto" w:fill="auto"/>
            <w:noWrap/>
            <w:vAlign w:val="bottom"/>
            <w:hideMark/>
          </w:tcPr>
          <w:p w14:paraId="1EDAC4AB" w14:textId="77777777" w:rsidR="00723DC5" w:rsidRPr="00942482" w:rsidRDefault="00723DC5" w:rsidP="002A30FC">
            <w:pPr>
              <w:spacing w:line="276" w:lineRule="auto"/>
              <w:ind w:firstLine="284"/>
              <w:jc w:val="right"/>
              <w:rPr>
                <w:color w:val="000000"/>
                <w:sz w:val="20"/>
                <w:szCs w:val="22"/>
              </w:rPr>
            </w:pPr>
            <w:r w:rsidRPr="00942482">
              <w:rPr>
                <w:color w:val="000000"/>
                <w:sz w:val="20"/>
                <w:szCs w:val="22"/>
              </w:rPr>
              <w:t>1</w:t>
            </w:r>
          </w:p>
        </w:tc>
      </w:tr>
    </w:tbl>
    <w:p w14:paraId="60633BCA" w14:textId="77777777" w:rsidR="008824DE" w:rsidRDefault="008824DE" w:rsidP="005B7C9B">
      <w:pPr>
        <w:autoSpaceDE w:val="0"/>
        <w:autoSpaceDN w:val="0"/>
        <w:adjustRightInd w:val="0"/>
        <w:spacing w:line="480" w:lineRule="auto"/>
        <w:ind w:firstLine="284"/>
        <w:jc w:val="both"/>
        <w:rPr>
          <w:rFonts w:eastAsiaTheme="minorEastAsia"/>
          <w:lang w:val="es-CO" w:eastAsia="ja-JP"/>
        </w:rPr>
      </w:pPr>
    </w:p>
    <w:p w14:paraId="57E5BA74" w14:textId="77777777" w:rsidR="008824DE" w:rsidRDefault="008824DE" w:rsidP="005B7C9B">
      <w:pPr>
        <w:autoSpaceDE w:val="0"/>
        <w:autoSpaceDN w:val="0"/>
        <w:adjustRightInd w:val="0"/>
        <w:spacing w:line="480" w:lineRule="auto"/>
        <w:ind w:firstLine="284"/>
        <w:jc w:val="both"/>
        <w:rPr>
          <w:rFonts w:eastAsiaTheme="minorEastAsia"/>
          <w:lang w:val="es-CO" w:eastAsia="ja-JP"/>
        </w:rPr>
      </w:pPr>
    </w:p>
    <w:p w14:paraId="72C91FA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8CFCDA4"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4710D82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6C42411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44C8DEA9"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6912CD3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115880D1"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0B529BBC"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B2D2B8C"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0EEC992A"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5BCAB1D"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1FD3C9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B0B655E"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7F3CBD88"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58400A4F"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2BD854F0" w14:textId="77777777" w:rsidR="002A30FC" w:rsidRDefault="002A30FC" w:rsidP="005B7C9B">
      <w:pPr>
        <w:autoSpaceDE w:val="0"/>
        <w:autoSpaceDN w:val="0"/>
        <w:adjustRightInd w:val="0"/>
        <w:spacing w:line="480" w:lineRule="auto"/>
        <w:ind w:firstLine="284"/>
        <w:jc w:val="both"/>
        <w:rPr>
          <w:rFonts w:eastAsiaTheme="minorEastAsia"/>
          <w:lang w:val="es-CO" w:eastAsia="ja-JP"/>
        </w:rPr>
      </w:pPr>
    </w:p>
    <w:p w14:paraId="375C5247" w14:textId="77777777" w:rsidR="00BF5244" w:rsidRDefault="00BF5244" w:rsidP="005B7C9B">
      <w:pPr>
        <w:autoSpaceDE w:val="0"/>
        <w:autoSpaceDN w:val="0"/>
        <w:adjustRightInd w:val="0"/>
        <w:spacing w:line="480" w:lineRule="auto"/>
        <w:ind w:firstLine="284"/>
        <w:rPr>
          <w:rFonts w:eastAsiaTheme="minorEastAsia"/>
          <w:lang w:val="es-CO" w:eastAsia="ja-JP"/>
        </w:rPr>
      </w:pPr>
    </w:p>
    <w:p w14:paraId="5532EAED" w14:textId="77777777" w:rsidR="00D93346" w:rsidRDefault="00D93346" w:rsidP="005B7C9B">
      <w:pPr>
        <w:autoSpaceDE w:val="0"/>
        <w:autoSpaceDN w:val="0"/>
        <w:adjustRightInd w:val="0"/>
        <w:spacing w:line="480" w:lineRule="auto"/>
        <w:ind w:firstLine="284"/>
        <w:rPr>
          <w:rFonts w:eastAsiaTheme="minorEastAsia"/>
          <w:lang w:val="es-CO" w:eastAsia="ja-JP"/>
        </w:rPr>
      </w:pPr>
    </w:p>
    <w:p w14:paraId="1D6B5E11" w14:textId="77777777" w:rsidR="00D93346" w:rsidRDefault="00D93346" w:rsidP="005B7C9B">
      <w:pPr>
        <w:autoSpaceDE w:val="0"/>
        <w:autoSpaceDN w:val="0"/>
        <w:adjustRightInd w:val="0"/>
        <w:spacing w:line="480" w:lineRule="auto"/>
        <w:ind w:firstLine="284"/>
        <w:rPr>
          <w:rFonts w:eastAsiaTheme="minorEastAsia"/>
          <w:lang w:val="es-CO" w:eastAsia="ja-JP"/>
        </w:rPr>
      </w:pPr>
    </w:p>
    <w:p w14:paraId="3B046F18" w14:textId="77777777" w:rsidR="00D93346" w:rsidRPr="007E4887" w:rsidRDefault="00D93346" w:rsidP="005B7C9B">
      <w:pPr>
        <w:autoSpaceDE w:val="0"/>
        <w:autoSpaceDN w:val="0"/>
        <w:adjustRightInd w:val="0"/>
        <w:spacing w:line="480" w:lineRule="auto"/>
        <w:ind w:firstLine="284"/>
        <w:rPr>
          <w:rFonts w:eastAsiaTheme="minorEastAsia"/>
          <w:lang w:val="es-CO" w:eastAsia="ja-JP"/>
        </w:rPr>
      </w:pPr>
    </w:p>
    <w:p w14:paraId="4A98C5C4" w14:textId="77777777" w:rsidR="00C970CB" w:rsidRPr="00C970CB" w:rsidRDefault="00C970CB" w:rsidP="00E4710C">
      <w:pPr>
        <w:pStyle w:val="ListParagraph"/>
        <w:numPr>
          <w:ilvl w:val="0"/>
          <w:numId w:val="4"/>
        </w:numPr>
        <w:spacing w:line="480" w:lineRule="auto"/>
        <w:ind w:left="0" w:firstLine="284"/>
        <w:jc w:val="both"/>
      </w:pPr>
      <w:r>
        <w:rPr>
          <w:b/>
        </w:rPr>
        <w:t>CONCLUSIONES Y DISCUSIÓN</w:t>
      </w:r>
    </w:p>
    <w:p w14:paraId="5FFA6B48" w14:textId="77777777" w:rsidR="001D3FC7" w:rsidRPr="00CA6A43" w:rsidRDefault="001D3FC7" w:rsidP="005B7C9B">
      <w:pPr>
        <w:spacing w:line="480" w:lineRule="auto"/>
        <w:ind w:firstLine="284"/>
        <w:jc w:val="both"/>
        <w:rPr>
          <w:b/>
          <w:color w:val="000000" w:themeColor="text1"/>
        </w:rPr>
      </w:pPr>
    </w:p>
    <w:p w14:paraId="2A4385A9" w14:textId="4EB47A72" w:rsidR="001D3FC7" w:rsidRPr="00CA6A43" w:rsidRDefault="001D3FC7" w:rsidP="005B7C9B">
      <w:pPr>
        <w:spacing w:line="480" w:lineRule="auto"/>
        <w:ind w:firstLine="284"/>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w:t>
      </w:r>
      <w:r w:rsidR="00A4614E">
        <w:rPr>
          <w:color w:val="000000" w:themeColor="text1"/>
        </w:rPr>
        <w:t>versitarios con la edad, el género</w:t>
      </w:r>
      <w:r w:rsidRPr="00CA6A43">
        <w:rPr>
          <w:color w:val="000000" w:themeColor="text1"/>
        </w:rPr>
        <w:t xml:space="preserve"> y la carrera en un grupo de 326 estudiantes de una universidad privada en la ciudad de Cali. La conclusión tomada a partir del análisis de los resultados </w:t>
      </w:r>
      <w:r w:rsidR="00F00E5E">
        <w:rPr>
          <w:color w:val="000000" w:themeColor="text1"/>
        </w:rPr>
        <w:t xml:space="preserve">es que se logró verificar la relación existente entre los patrones de consumo de alcohol con la edad y el género y por otro lado se encontró que no hay relación entre los patrones de consumo de alcohol y la carrera. </w:t>
      </w:r>
    </w:p>
    <w:p w14:paraId="7B6B6AC0" w14:textId="12288712" w:rsidR="001D3FC7" w:rsidRPr="00CA6A43" w:rsidRDefault="001D3FC7" w:rsidP="005B7C9B">
      <w:pPr>
        <w:spacing w:line="480" w:lineRule="auto"/>
        <w:ind w:firstLine="284"/>
        <w:jc w:val="both"/>
        <w:rPr>
          <w:color w:val="000000" w:themeColor="text1"/>
        </w:rPr>
      </w:pPr>
      <w:r w:rsidRPr="00CA6A43">
        <w:rPr>
          <w:color w:val="000000" w:themeColor="text1"/>
        </w:rPr>
        <w:t xml:space="preserve">     Estos resultad</w:t>
      </w:r>
      <w:r w:rsidR="00F00E5E">
        <w:rPr>
          <w:color w:val="000000" w:themeColor="text1"/>
        </w:rPr>
        <w:t xml:space="preserve">os concuerdan con los de </w:t>
      </w:r>
      <w:r w:rsidRPr="00CA6A43">
        <w:rPr>
          <w:color w:val="000000" w:themeColor="text1"/>
        </w:rPr>
        <w:t>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5E18D53E" w:rsidR="001D3FC7" w:rsidRPr="00CA6A43" w:rsidRDefault="001D3FC7" w:rsidP="005B7C9B">
      <w:pPr>
        <w:spacing w:line="480" w:lineRule="auto"/>
        <w:ind w:firstLine="284"/>
        <w:jc w:val="both"/>
        <w:rPr>
          <w:color w:val="000000" w:themeColor="text1"/>
        </w:rPr>
      </w:pPr>
      <w:r w:rsidRPr="00CA6A43">
        <w:rPr>
          <w:color w:val="000000" w:themeColor="text1"/>
        </w:rPr>
        <w:t xml:space="preserve">     En cuanto a la relación entre la edad y los patrones de consumo de alcohol, el presente estudio arroja </w:t>
      </w:r>
      <w:r w:rsidR="00A4614E">
        <w:rPr>
          <w:color w:val="000000" w:themeColor="text1"/>
        </w:rPr>
        <w:t>que existe una relación positiva entre la edad y el patrón d</w:t>
      </w:r>
      <w:r w:rsidR="0050186B">
        <w:rPr>
          <w:color w:val="000000" w:themeColor="text1"/>
        </w:rPr>
        <w:t>e consumo de riesgo entre los 15</w:t>
      </w:r>
      <w:r w:rsidR="00A4614E">
        <w:rPr>
          <w:color w:val="000000" w:themeColor="text1"/>
        </w:rPr>
        <w:t xml:space="preserve"> y 19 años, pero en la medida en que la edad de los participantes aumenta, el patrón de consumo de riesgo tiende a decrecer observándose que a mayor edad los hábitos relacionados al consumo de alcohol tienden a </w:t>
      </w:r>
      <w:r w:rsidR="003800B2">
        <w:rPr>
          <w:color w:val="000000" w:themeColor="text1"/>
        </w:rPr>
        <w:t xml:space="preserve">ser menos dañinos. Estos hallazgos difieren a los </w:t>
      </w:r>
      <w:r w:rsidRPr="00CA6A43">
        <w:rPr>
          <w:color w:val="000000" w:themeColor="text1"/>
        </w:rPr>
        <w:t xml:space="preserve">resultados </w:t>
      </w:r>
      <w:r w:rsidR="003800B2">
        <w:rPr>
          <w:color w:val="000000" w:themeColor="text1"/>
        </w:rPr>
        <w:t>encontrados por</w:t>
      </w:r>
      <w:r w:rsidRPr="00CA6A43">
        <w:rPr>
          <w:color w:val="000000" w:themeColor="text1"/>
        </w:rPr>
        <w:t xml:space="preserve"> Lema, Varela y cola</w:t>
      </w:r>
      <w:r w:rsidR="003800B2">
        <w:rPr>
          <w:color w:val="000000" w:themeColor="text1"/>
        </w:rPr>
        <w:t>boradores (2011) quienes no</w:t>
      </w:r>
      <w:r w:rsidRPr="00CA6A43">
        <w:rPr>
          <w:color w:val="000000" w:themeColor="text1"/>
        </w:rPr>
        <w:t xml:space="preserve"> encontraron diferencias significativas en cuanto al rango de edad y los patrones de consumo de alcohol de alto riesgo.</w:t>
      </w:r>
      <w:r w:rsidR="00A4614E">
        <w:rPr>
          <w:color w:val="000000" w:themeColor="text1"/>
        </w:rPr>
        <w:t xml:space="preserve"> </w:t>
      </w:r>
    </w:p>
    <w:p w14:paraId="74AD6A8F" w14:textId="08741CED" w:rsidR="001D3FC7" w:rsidRDefault="001D3FC7" w:rsidP="005B7C9B">
      <w:pPr>
        <w:spacing w:line="480" w:lineRule="auto"/>
        <w:ind w:firstLine="284"/>
        <w:jc w:val="both"/>
        <w:rPr>
          <w:color w:val="000000" w:themeColor="text1"/>
        </w:rPr>
      </w:pPr>
      <w:r w:rsidRPr="00CA6A43">
        <w:rPr>
          <w:color w:val="000000" w:themeColor="text1"/>
        </w:rPr>
        <w:lastRenderedPageBreak/>
        <w:t xml:space="preserve">     </w:t>
      </w:r>
      <w:r w:rsidR="00EB0061">
        <w:rPr>
          <w:color w:val="000000" w:themeColor="text1"/>
        </w:rPr>
        <w:t>En el presente estudio no</w:t>
      </w:r>
      <w:r w:rsidRPr="00CA6A43">
        <w:rPr>
          <w:color w:val="000000" w:themeColor="text1"/>
        </w:rPr>
        <w:t xml:space="preserve"> se encontró </w:t>
      </w:r>
      <w:r w:rsidR="0056542B">
        <w:rPr>
          <w:color w:val="000000" w:themeColor="text1"/>
        </w:rPr>
        <w:t xml:space="preserve">una </w:t>
      </w:r>
      <w:r w:rsidRPr="00CA6A43">
        <w:rPr>
          <w:color w:val="000000" w:themeColor="text1"/>
        </w:rPr>
        <w:t>relación</w:t>
      </w:r>
      <w:r w:rsidR="0056542B">
        <w:rPr>
          <w:color w:val="000000" w:themeColor="text1"/>
        </w:rPr>
        <w:t xml:space="preserve"> estadísticamente significativa</w:t>
      </w:r>
      <w:r w:rsidRPr="00CA6A43">
        <w:rPr>
          <w:color w:val="000000" w:themeColor="text1"/>
        </w:rPr>
        <w:t xml:space="preserve">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r w:rsidR="00EB0061">
        <w:rPr>
          <w:color w:val="000000" w:themeColor="text1"/>
        </w:rPr>
        <w:t xml:space="preserve"> </w:t>
      </w:r>
      <w:r w:rsidR="0056542B">
        <w:rPr>
          <w:color w:val="000000" w:themeColor="text1"/>
        </w:rPr>
        <w:t>Es importante mencionar que a partir del análisis descriptivo se encontró que las carreras de economía y negocios internacionales e ingeniería industrial son las carreras en las cuales se encontró mayor frecuencia de patrones de consumo de riesgo para hombres y mujeres (puntaje total AUDIT</w:t>
      </w:r>
      <w:r w:rsidR="00F97DB4">
        <w:rPr>
          <w:color w:val="000000" w:themeColor="text1"/>
        </w:rPr>
        <w:t>:</w:t>
      </w:r>
      <w:r w:rsidR="0056542B">
        <w:rPr>
          <w:color w:val="000000" w:themeColor="text1"/>
        </w:rPr>
        <w:t xml:space="preserve"> </w:t>
      </w:r>
      <w:r w:rsidR="00F97DB4">
        <w:rPr>
          <w:color w:val="000000" w:themeColor="text1"/>
        </w:rPr>
        <w:t xml:space="preserve">para </w:t>
      </w:r>
      <w:r w:rsidR="0056542B">
        <w:rPr>
          <w:color w:val="000000" w:themeColor="text1"/>
        </w:rPr>
        <w:t xml:space="preserve">hombres </w:t>
      </w:r>
      <w:r w:rsidR="00F97DB4">
        <w:rPr>
          <w:color w:val="000000" w:themeColor="text1"/>
        </w:rPr>
        <w:sym w:font="Symbol" w:char="F0B3"/>
      </w:r>
      <w:r w:rsidR="0056542B">
        <w:rPr>
          <w:color w:val="000000" w:themeColor="text1"/>
        </w:rPr>
        <w:t xml:space="preserve"> 8 y para muj</w:t>
      </w:r>
      <w:r w:rsidR="00F97DB4">
        <w:rPr>
          <w:color w:val="000000" w:themeColor="text1"/>
        </w:rPr>
        <w:t xml:space="preserve">eres </w:t>
      </w:r>
      <w:r w:rsidR="00F97DB4">
        <w:rPr>
          <w:color w:val="000000" w:themeColor="text1"/>
        </w:rPr>
        <w:sym w:font="Symbol" w:char="F0B3"/>
      </w:r>
      <w:r w:rsidR="00F97DB4">
        <w:rPr>
          <w:color w:val="000000" w:themeColor="text1"/>
        </w:rPr>
        <w:t xml:space="preserve"> </w:t>
      </w:r>
      <w:r w:rsidR="0056542B">
        <w:rPr>
          <w:color w:val="000000" w:themeColor="text1"/>
        </w:rPr>
        <w:t xml:space="preserve">7). </w:t>
      </w:r>
    </w:p>
    <w:p w14:paraId="58D540C0" w14:textId="3FAEBC37" w:rsidR="00C961D6" w:rsidRDefault="00554F83" w:rsidP="00D2238E">
      <w:pPr>
        <w:spacing w:line="480" w:lineRule="auto"/>
        <w:ind w:firstLine="284"/>
        <w:jc w:val="both"/>
        <w:rPr>
          <w:color w:val="000000" w:themeColor="text1"/>
        </w:rPr>
      </w:pPr>
      <w:r w:rsidRPr="00966111">
        <w:rPr>
          <w:color w:val="000000" w:themeColor="text1"/>
          <w:highlight w:val="yellow"/>
        </w:rPr>
        <w:t xml:space="preserve">De acuerdo con </w:t>
      </w:r>
      <w:r w:rsidR="009E42D4" w:rsidRPr="00966111">
        <w:rPr>
          <w:color w:val="000000" w:themeColor="text1"/>
          <w:highlight w:val="yellow"/>
        </w:rPr>
        <w:t xml:space="preserve">el último estudio de consumo de sustancias psicoactivas </w:t>
      </w:r>
      <w:r w:rsidRPr="00966111">
        <w:rPr>
          <w:color w:val="000000" w:themeColor="text1"/>
          <w:highlight w:val="yellow"/>
        </w:rPr>
        <w:t>xx estudio, los menores de edad…..</w:t>
      </w:r>
      <w:r>
        <w:rPr>
          <w:color w:val="000000" w:themeColor="text1"/>
        </w:rPr>
        <w:t xml:space="preserve"> lo cual coincide con los resultados enco</w:t>
      </w:r>
      <w:r w:rsidR="004E31D4">
        <w:rPr>
          <w:color w:val="000000" w:themeColor="text1"/>
        </w:rPr>
        <w:t xml:space="preserve">ntrados en el presente estudio ya que se encuentra que un porcentaje considerable de la muestra de menores de edad consumen alcohol y aunque no se encuentra a ninguno con patrón de consumo de dependencia, si se encuentran menores de edad con patrones de consumo de riesgo y perjudicial. </w:t>
      </w:r>
      <w:r>
        <w:rPr>
          <w:color w:val="000000" w:themeColor="text1"/>
        </w:rPr>
        <w:t xml:space="preserve">Esto concuerda con diversos estudios xxxxx en donde a pesar de que el consumo de alcohol por los menores de edad es ilegal y perjudicial para el desarrollo biológico, psicológico y emocional de los jóvenes, sigue siendo una tendencia común en nuestro país. </w:t>
      </w:r>
    </w:p>
    <w:p w14:paraId="4C827F61" w14:textId="2B8F4CC1" w:rsidR="00554F83" w:rsidRDefault="00F50FE8" w:rsidP="00AB1516">
      <w:pPr>
        <w:spacing w:line="480" w:lineRule="auto"/>
        <w:ind w:firstLine="284"/>
        <w:jc w:val="both"/>
        <w:rPr>
          <w:color w:val="000000" w:themeColor="text1"/>
        </w:rPr>
      </w:pPr>
      <w:r>
        <w:rPr>
          <w:color w:val="000000" w:themeColor="text1"/>
        </w:rPr>
        <w:t xml:space="preserve">A partir del análisis multivariado de correspondencias múltiples se logró explicar una variación del 88% de los datos a partir de la construcción de dos dimensiones o ejes principales. En esta construcción, el primer eje se ve altamente explicado por el dominio de consumo de riesgo de alcohol permitiendo </w:t>
      </w:r>
      <w:r w:rsidR="0003342A">
        <w:rPr>
          <w:color w:val="000000" w:themeColor="text1"/>
        </w:rPr>
        <w:t>discriminar los individuos con</w:t>
      </w:r>
      <w:r>
        <w:rPr>
          <w:color w:val="000000" w:themeColor="text1"/>
        </w:rPr>
        <w:t xml:space="preserve"> puntajes altos y bajos viéndose influenciados los puntajes altos particularmente por el género (la categoría hombre), la edad, altas frecuencias de consumo (preguntas 1, 2 y 3) y las preguntas 9 y 10. Estos resultados indican que el puntaje AUDIT total se</w:t>
      </w:r>
      <w:r w:rsidR="0003342A">
        <w:rPr>
          <w:color w:val="000000" w:themeColor="text1"/>
        </w:rPr>
        <w:t xml:space="preserve"> ve influenciado </w:t>
      </w:r>
      <w:r>
        <w:rPr>
          <w:color w:val="000000" w:themeColor="text1"/>
        </w:rPr>
        <w:t>principalmen</w:t>
      </w:r>
      <w:r w:rsidR="0003342A">
        <w:rPr>
          <w:color w:val="000000" w:themeColor="text1"/>
        </w:rPr>
        <w:t xml:space="preserve">te por el </w:t>
      </w:r>
      <w:r>
        <w:rPr>
          <w:color w:val="000000" w:themeColor="text1"/>
        </w:rPr>
        <w:lastRenderedPageBreak/>
        <w:t>dominio de consumo de riesgo</w:t>
      </w:r>
      <w:r w:rsidR="0003342A">
        <w:rPr>
          <w:color w:val="000000" w:themeColor="text1"/>
        </w:rPr>
        <w:t xml:space="preserve"> a diferencia de los dominios de dependencia y consumo perjudicial que caracterizan la segunda dimensión en una proporción menor. </w:t>
      </w:r>
    </w:p>
    <w:p w14:paraId="1694DE5D" w14:textId="77777777" w:rsidR="00323EBE" w:rsidRPr="00AB1516" w:rsidRDefault="00323EBE" w:rsidP="00AB1516">
      <w:pPr>
        <w:spacing w:line="480" w:lineRule="auto"/>
        <w:ind w:firstLine="284"/>
        <w:jc w:val="both"/>
        <w:rPr>
          <w:color w:val="FF0000"/>
        </w:rPr>
      </w:pPr>
    </w:p>
    <w:p w14:paraId="442B296D" w14:textId="602ED8B0" w:rsidR="00492BBE" w:rsidRDefault="00492BBE" w:rsidP="00492BBE">
      <w:pPr>
        <w:spacing w:line="480" w:lineRule="auto"/>
        <w:ind w:firstLine="284"/>
        <w:jc w:val="both"/>
        <w:rPr>
          <w:color w:val="000000" w:themeColor="text1"/>
        </w:rPr>
      </w:pPr>
      <w:r>
        <w:rPr>
          <w:color w:val="000000" w:themeColor="text1"/>
        </w:rPr>
        <w:t>En el presente estudio se deben tener en cuenta algunas limitaciones. En primera medida se encontró</w:t>
      </w:r>
      <w:r w:rsidR="00990DBE">
        <w:rPr>
          <w:color w:val="000000" w:themeColor="text1"/>
        </w:rPr>
        <w:t>,</w:t>
      </w:r>
      <w:r>
        <w:rPr>
          <w:color w:val="000000" w:themeColor="text1"/>
        </w:rPr>
        <w:t xml:space="preserve"> a partir de los resultados del análisis multivariado</w:t>
      </w:r>
      <w:r w:rsidR="00990DBE">
        <w:rPr>
          <w:color w:val="000000" w:themeColor="text1"/>
        </w:rPr>
        <w:t>,</w:t>
      </w:r>
      <w:r>
        <w:rPr>
          <w:color w:val="000000" w:themeColor="text1"/>
        </w:rPr>
        <w:t xml:space="preserve"> que el puntaje total AUDIT tiene una influencia muy alta del dominio consumo de riesgo debido a que las preguntas 1, 2 y 3 son las que le ponen más carga al puntaje total. Esto puede indicar que los dominios de dependencia y consumo perjudicial no estarían siendo medidos de manera adecuada por el instrumento. Esto daría pie a recomendar una modificación del instrumento en donde se estuviese midiendo de forma equitativa los tres dominios que se quieren medir por el AUDIT. </w:t>
      </w:r>
    </w:p>
    <w:p w14:paraId="68235DA4" w14:textId="2FCC3DD6" w:rsidR="00323EBE" w:rsidRDefault="00990DBE" w:rsidP="00323EBE">
      <w:pPr>
        <w:spacing w:line="480" w:lineRule="auto"/>
        <w:ind w:firstLine="284"/>
        <w:jc w:val="both"/>
        <w:rPr>
          <w:color w:val="000000" w:themeColor="text1"/>
        </w:rPr>
      </w:pPr>
      <w:r>
        <w:rPr>
          <w:color w:val="000000" w:themeColor="text1"/>
        </w:rPr>
        <w:t xml:space="preserve">Otro factor </w:t>
      </w:r>
      <w:r w:rsidR="001D3FC7" w:rsidRPr="00CA6A43">
        <w:rPr>
          <w:color w:val="000000" w:themeColor="text1"/>
        </w:rPr>
        <w:t>que puede</w:t>
      </w:r>
      <w:r w:rsidR="009A7D23">
        <w:rPr>
          <w:color w:val="000000" w:themeColor="text1"/>
        </w:rPr>
        <w:t>n</w:t>
      </w:r>
      <w:r w:rsidR="001D3FC7" w:rsidRPr="00CA6A43">
        <w:rPr>
          <w:color w:val="000000" w:themeColor="text1"/>
        </w:rPr>
        <w:t xml:space="preserve"> haber influido en los resultados </w:t>
      </w:r>
      <w:r w:rsidR="00492BBE">
        <w:rPr>
          <w:color w:val="000000" w:themeColor="text1"/>
        </w:rPr>
        <w:t xml:space="preserve">del presente estudio </w:t>
      </w:r>
      <w:r w:rsidR="001D3FC7" w:rsidRPr="00CA6A43">
        <w:rPr>
          <w:color w:val="000000" w:themeColor="text1"/>
        </w:rPr>
        <w:t xml:space="preserve">es el hecho de que el estudio se llevó a cabo en una universidad privada lo cual implica un tipo de población específica. </w:t>
      </w:r>
      <w:r>
        <w:rPr>
          <w:color w:val="000000" w:themeColor="text1"/>
        </w:rPr>
        <w:t xml:space="preserve">Por último, el hecho de que el cuestionario </w:t>
      </w:r>
      <w:r w:rsidR="001D3FC7" w:rsidRPr="00CA6A43">
        <w:rPr>
          <w:color w:val="000000" w:themeColor="text1"/>
        </w:rPr>
        <w:t>fue contestado después de un taller de prevención de consumo de sustancias psicoactivas en donde se habló de los posibles riesgos implícitos</w:t>
      </w:r>
      <w:r>
        <w:rPr>
          <w:color w:val="000000" w:themeColor="text1"/>
        </w:rPr>
        <w:t xml:space="preserve"> en el consumo de alcohol </w:t>
      </w:r>
      <w:r w:rsidR="001D3FC7" w:rsidRPr="00CA6A43">
        <w:rPr>
          <w:color w:val="000000" w:themeColor="text1"/>
        </w:rPr>
        <w:t>puede haber sesgado las respuestas de los estudiante</w:t>
      </w:r>
      <w:r w:rsidR="009A7D23">
        <w:rPr>
          <w:color w:val="000000" w:themeColor="text1"/>
        </w:rPr>
        <w:t>s al contestar el cuestionario.</w:t>
      </w:r>
      <w:r w:rsidR="00492BBE">
        <w:rPr>
          <w:color w:val="000000" w:themeColor="text1"/>
        </w:rPr>
        <w:t xml:space="preserve"> </w:t>
      </w:r>
    </w:p>
    <w:p w14:paraId="496D0BBD" w14:textId="03BFCE80" w:rsidR="00323EBE" w:rsidRPr="00CA6A43" w:rsidRDefault="00886994" w:rsidP="00323EBE">
      <w:pPr>
        <w:spacing w:line="480" w:lineRule="auto"/>
        <w:ind w:firstLine="284"/>
        <w:jc w:val="both"/>
        <w:rPr>
          <w:color w:val="000000" w:themeColor="text1"/>
        </w:rPr>
      </w:pPr>
      <w:r>
        <w:rPr>
          <w:color w:val="000000" w:themeColor="text1"/>
        </w:rPr>
        <w:t xml:space="preserve">Debido a que la muestra utilizada en el presente estudio corresponde a estudiantes de segundo semestre, no se podría generalizar los resultados a toda la población universitaria. Para ello se necesitaría incluir estudiantes de diferentes semestres y de diferentes carreras para así tener datos más representativos de la población universitaria a estudiar. </w:t>
      </w:r>
    </w:p>
    <w:p w14:paraId="499299AD" w14:textId="0E8C73C4" w:rsidR="001D3FC7" w:rsidRPr="00CA6A43" w:rsidRDefault="001D3FC7" w:rsidP="005B7C9B">
      <w:pPr>
        <w:spacing w:line="480" w:lineRule="auto"/>
        <w:ind w:firstLine="284"/>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w:t>
      </w:r>
      <w:r w:rsidR="00323EBE">
        <w:rPr>
          <w:color w:val="000000" w:themeColor="text1"/>
        </w:rPr>
        <w:t>grupos</w:t>
      </w:r>
      <w:r w:rsidRPr="00CA6A43">
        <w:rPr>
          <w:color w:val="000000" w:themeColor="text1"/>
        </w:rPr>
        <w:t xml:space="preserve"> de semestres siguientes (2014-1, 2014-2 y 2015-1), en un intento de ampliar la población del estu</w:t>
      </w:r>
      <w:r w:rsidR="00323EBE">
        <w:rPr>
          <w:color w:val="000000" w:themeColor="text1"/>
        </w:rPr>
        <w:t>dio y comparar</w:t>
      </w:r>
      <w:r w:rsidRPr="00CA6A43">
        <w:rPr>
          <w:color w:val="000000" w:themeColor="text1"/>
        </w:rPr>
        <w:t xml:space="preserve"> los </w:t>
      </w:r>
      <w:r w:rsidR="00323EBE">
        <w:rPr>
          <w:color w:val="000000" w:themeColor="text1"/>
        </w:rPr>
        <w:t xml:space="preserve">resultados de la población </w:t>
      </w:r>
      <w:r w:rsidR="00323EBE">
        <w:rPr>
          <w:color w:val="000000" w:themeColor="text1"/>
        </w:rPr>
        <w:lastRenderedPageBreak/>
        <w:t>universitaria</w:t>
      </w:r>
      <w:r w:rsidRPr="00CA6A43">
        <w:rPr>
          <w:color w:val="000000" w:themeColor="text1"/>
        </w:rPr>
        <w:t>.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64775466" w14:textId="0A817436" w:rsidR="00EB1C36" w:rsidRDefault="001D3FC7" w:rsidP="005B7C9B">
      <w:pPr>
        <w:spacing w:line="480" w:lineRule="auto"/>
        <w:ind w:firstLine="284"/>
        <w:jc w:val="both"/>
        <w:rPr>
          <w:b/>
          <w:color w:val="000000" w:themeColor="text1"/>
        </w:rPr>
      </w:pPr>
      <w:r w:rsidRPr="001D3FC7">
        <w:rPr>
          <w:b/>
          <w:color w:val="000000" w:themeColor="text1"/>
        </w:rPr>
        <w:t xml:space="preserve">     </w:t>
      </w:r>
    </w:p>
    <w:p w14:paraId="253F45AB" w14:textId="77777777" w:rsidR="002A30FC" w:rsidRDefault="002A30FC" w:rsidP="005B7C9B">
      <w:pPr>
        <w:spacing w:line="480" w:lineRule="auto"/>
        <w:ind w:firstLine="284"/>
        <w:jc w:val="both"/>
        <w:rPr>
          <w:b/>
          <w:color w:val="000000" w:themeColor="text1"/>
        </w:rPr>
      </w:pPr>
    </w:p>
    <w:p w14:paraId="076079BB" w14:textId="77777777" w:rsidR="002A30FC" w:rsidRDefault="002A30FC" w:rsidP="005B7C9B">
      <w:pPr>
        <w:spacing w:line="480" w:lineRule="auto"/>
        <w:ind w:firstLine="284"/>
        <w:jc w:val="both"/>
        <w:rPr>
          <w:b/>
          <w:color w:val="000000" w:themeColor="text1"/>
        </w:rPr>
      </w:pPr>
    </w:p>
    <w:p w14:paraId="1B2AAEC9" w14:textId="77777777" w:rsidR="002A30FC" w:rsidRDefault="002A30FC" w:rsidP="005B7C9B">
      <w:pPr>
        <w:spacing w:line="480" w:lineRule="auto"/>
        <w:ind w:firstLine="284"/>
        <w:jc w:val="both"/>
        <w:rPr>
          <w:b/>
          <w:color w:val="000000" w:themeColor="text1"/>
        </w:rPr>
      </w:pPr>
    </w:p>
    <w:p w14:paraId="4F80232B" w14:textId="77777777" w:rsidR="002A30FC" w:rsidRDefault="002A30FC" w:rsidP="005B7C9B">
      <w:pPr>
        <w:spacing w:line="480" w:lineRule="auto"/>
        <w:ind w:firstLine="284"/>
        <w:jc w:val="both"/>
        <w:rPr>
          <w:b/>
          <w:color w:val="000000" w:themeColor="text1"/>
        </w:rPr>
      </w:pPr>
    </w:p>
    <w:p w14:paraId="01D213C6" w14:textId="77777777" w:rsidR="002A30FC" w:rsidRDefault="002A30FC" w:rsidP="005B7C9B">
      <w:pPr>
        <w:spacing w:line="480" w:lineRule="auto"/>
        <w:ind w:firstLine="284"/>
        <w:jc w:val="both"/>
        <w:rPr>
          <w:b/>
          <w:color w:val="000000" w:themeColor="text1"/>
        </w:rPr>
      </w:pPr>
    </w:p>
    <w:p w14:paraId="734D3CA9" w14:textId="77777777" w:rsidR="002A30FC" w:rsidRDefault="002A30FC" w:rsidP="005B7C9B">
      <w:pPr>
        <w:spacing w:line="480" w:lineRule="auto"/>
        <w:ind w:firstLine="284"/>
        <w:jc w:val="both"/>
        <w:rPr>
          <w:b/>
          <w:color w:val="000000" w:themeColor="text1"/>
        </w:rPr>
      </w:pPr>
    </w:p>
    <w:p w14:paraId="2A312956" w14:textId="6C6CEF38" w:rsidR="005676C8" w:rsidRPr="00F769AE" w:rsidRDefault="007F1E5A" w:rsidP="00E4710C">
      <w:pPr>
        <w:pStyle w:val="ListParagraph"/>
        <w:numPr>
          <w:ilvl w:val="0"/>
          <w:numId w:val="4"/>
        </w:numPr>
        <w:spacing w:line="480" w:lineRule="auto"/>
        <w:ind w:left="0" w:firstLine="284"/>
        <w:rPr>
          <w:b/>
        </w:rPr>
      </w:pPr>
      <w:r>
        <w:rPr>
          <w:b/>
        </w:rPr>
        <w:t>Referencias</w:t>
      </w:r>
    </w:p>
    <w:p w14:paraId="3B0B9798" w14:textId="77777777" w:rsidR="005676C8" w:rsidRDefault="005676C8" w:rsidP="005B7C9B">
      <w:pPr>
        <w:spacing w:line="480" w:lineRule="auto"/>
        <w:ind w:firstLine="284"/>
        <w:contextualSpacing/>
        <w:jc w:val="both"/>
      </w:pPr>
    </w:p>
    <w:p w14:paraId="46C36368" w14:textId="77777777" w:rsidR="005676C8" w:rsidRDefault="005676C8" w:rsidP="005B7C9B">
      <w:pPr>
        <w:spacing w:line="480" w:lineRule="auto"/>
        <w:ind w:firstLine="284"/>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B7C9B">
      <w:pPr>
        <w:spacing w:line="480" w:lineRule="auto"/>
        <w:ind w:firstLine="284"/>
        <w:contextualSpacing/>
        <w:jc w:val="both"/>
      </w:pPr>
    </w:p>
    <w:p w14:paraId="074B2C27" w14:textId="77777777" w:rsidR="00F456C9" w:rsidRDefault="00F456C9" w:rsidP="005B7C9B">
      <w:pPr>
        <w:spacing w:line="480" w:lineRule="auto"/>
        <w:ind w:firstLine="284"/>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5B7C9B">
      <w:pPr>
        <w:spacing w:line="480" w:lineRule="auto"/>
        <w:ind w:firstLine="284"/>
        <w:contextualSpacing/>
        <w:jc w:val="both"/>
      </w:pPr>
    </w:p>
    <w:p w14:paraId="6B3FBC0C" w14:textId="4C49585B" w:rsidR="00F456C9" w:rsidRDefault="00F456C9" w:rsidP="005B7C9B">
      <w:pPr>
        <w:spacing w:line="480" w:lineRule="auto"/>
        <w:ind w:firstLine="284"/>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B7C9B">
      <w:pPr>
        <w:spacing w:line="480" w:lineRule="auto"/>
        <w:ind w:firstLine="284"/>
        <w:contextualSpacing/>
        <w:jc w:val="both"/>
      </w:pPr>
    </w:p>
    <w:p w14:paraId="29847D56" w14:textId="6D22B5D5" w:rsidR="00527DC1" w:rsidRDefault="00527DC1" w:rsidP="005B7C9B">
      <w:pPr>
        <w:spacing w:line="480" w:lineRule="auto"/>
        <w:ind w:firstLine="284"/>
        <w:contextualSpacing/>
        <w:jc w:val="both"/>
      </w:pPr>
      <w:r w:rsidRPr="00527DC1">
        <w:lastRenderedPageBreak/>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B7C9B">
      <w:pPr>
        <w:spacing w:line="480" w:lineRule="auto"/>
        <w:ind w:firstLine="284"/>
        <w:contextualSpacing/>
        <w:jc w:val="both"/>
      </w:pPr>
    </w:p>
    <w:p w14:paraId="44B5210C" w14:textId="7846F6FB" w:rsidR="005B2060" w:rsidRDefault="005B2060" w:rsidP="005B7C9B">
      <w:pPr>
        <w:spacing w:line="480" w:lineRule="auto"/>
        <w:ind w:firstLine="284"/>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2260A66C" w14:textId="77777777" w:rsidR="007A34E3" w:rsidRDefault="007A34E3" w:rsidP="005B7C9B">
      <w:pPr>
        <w:spacing w:line="480" w:lineRule="auto"/>
        <w:ind w:firstLine="284"/>
        <w:contextualSpacing/>
        <w:jc w:val="both"/>
      </w:pPr>
    </w:p>
    <w:p w14:paraId="70DD3D98" w14:textId="352FB3B4" w:rsidR="007A34E3" w:rsidRPr="00F64C32" w:rsidRDefault="007A34E3" w:rsidP="005B7C9B">
      <w:pPr>
        <w:spacing w:line="480" w:lineRule="auto"/>
        <w:ind w:firstLine="284"/>
        <w:contextualSpacing/>
        <w:jc w:val="both"/>
        <w:rPr>
          <w:lang w:val="en-US"/>
        </w:rPr>
      </w:pPr>
      <w:r>
        <w:t xml:space="preserve">Chambers, R.A., Taylor, J.R., Potenza, M.N. (2003). </w:t>
      </w:r>
      <w:r w:rsidRPr="00F64C32">
        <w:rPr>
          <w:lang w:val="en-US"/>
        </w:rPr>
        <w:t xml:space="preserve">Developmental Neurocircuitry of Motivation in Adolescence: A Critical Period of Addiction Vulnerability. </w:t>
      </w:r>
      <w:r w:rsidRPr="00F64C32">
        <w:rPr>
          <w:i/>
          <w:lang w:val="en-US"/>
        </w:rPr>
        <w:t>American Journal of Psychiatry,</w:t>
      </w:r>
      <w:r w:rsidRPr="00F64C32">
        <w:rPr>
          <w:lang w:val="en-US"/>
        </w:rPr>
        <w:t xml:space="preserve"> 160(6):1041-1052. </w:t>
      </w:r>
    </w:p>
    <w:p w14:paraId="41902B3D" w14:textId="77777777" w:rsidR="000B00D5" w:rsidRPr="00F64C32" w:rsidRDefault="000B00D5" w:rsidP="005B7C9B">
      <w:pPr>
        <w:spacing w:line="480" w:lineRule="auto"/>
        <w:ind w:firstLine="284"/>
        <w:contextualSpacing/>
        <w:jc w:val="both"/>
        <w:rPr>
          <w:lang w:val="en-US"/>
        </w:rPr>
      </w:pPr>
    </w:p>
    <w:p w14:paraId="1C27AF9C" w14:textId="2D73E7B8" w:rsidR="00895D15" w:rsidRDefault="00895D15" w:rsidP="006C2F8D">
      <w:pPr>
        <w:spacing w:line="480" w:lineRule="auto"/>
        <w:ind w:firstLine="284"/>
        <w:contextualSpacing/>
        <w:jc w:val="both"/>
        <w:rPr>
          <w:lang w:val="en-US"/>
        </w:rPr>
      </w:pPr>
      <w:r w:rsidRPr="00F64C32">
        <w:rPr>
          <w:lang w:val="en-US"/>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0E6A7FCD" w14:textId="77777777" w:rsidR="006C2F8D" w:rsidRPr="004160A9" w:rsidRDefault="006C2F8D" w:rsidP="006C2F8D">
      <w:pPr>
        <w:spacing w:line="480" w:lineRule="auto"/>
        <w:ind w:firstLine="284"/>
        <w:contextualSpacing/>
        <w:jc w:val="both"/>
        <w:rPr>
          <w:lang w:val="en-US"/>
        </w:rPr>
      </w:pPr>
    </w:p>
    <w:p w14:paraId="79300F31" w14:textId="528D3657" w:rsidR="00C9678C" w:rsidRDefault="000B00D5" w:rsidP="006C2F8D">
      <w:pPr>
        <w:spacing w:line="480" w:lineRule="auto"/>
        <w:ind w:firstLine="284"/>
        <w:contextualSpacing/>
        <w:jc w:val="both"/>
        <w:rPr>
          <w:lang w:val="en-US"/>
        </w:rPr>
      </w:pPr>
      <w:r w:rsidRPr="00F64C32">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26B586EF" w14:textId="77777777" w:rsidR="006C2F8D" w:rsidRPr="00581F14" w:rsidRDefault="006C2F8D" w:rsidP="006C2F8D">
      <w:pPr>
        <w:spacing w:line="480" w:lineRule="auto"/>
        <w:ind w:firstLine="284"/>
        <w:contextualSpacing/>
        <w:jc w:val="both"/>
        <w:rPr>
          <w:lang w:val="en-US"/>
        </w:rPr>
      </w:pPr>
    </w:p>
    <w:p w14:paraId="140CEBDE" w14:textId="30849AAD" w:rsidR="00781FE0" w:rsidRDefault="00781FE0" w:rsidP="005B7C9B">
      <w:pPr>
        <w:spacing w:line="480" w:lineRule="auto"/>
        <w:ind w:firstLine="284"/>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78692977" w14:textId="77777777" w:rsidR="006C2F8D" w:rsidRPr="00E934E9" w:rsidRDefault="006C2F8D" w:rsidP="005B7C9B">
      <w:pPr>
        <w:spacing w:line="480" w:lineRule="auto"/>
        <w:ind w:firstLine="284"/>
        <w:contextualSpacing/>
        <w:jc w:val="both"/>
        <w:rPr>
          <w:lang w:val="es-CO"/>
        </w:rPr>
      </w:pPr>
    </w:p>
    <w:p w14:paraId="43C3B9C5" w14:textId="4EC1722C" w:rsidR="00C9678C" w:rsidRDefault="001D1ABA" w:rsidP="005B7C9B">
      <w:pPr>
        <w:spacing w:line="480" w:lineRule="auto"/>
        <w:ind w:firstLine="284"/>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B7C9B">
      <w:pPr>
        <w:spacing w:line="480" w:lineRule="auto"/>
        <w:ind w:firstLine="284"/>
        <w:contextualSpacing/>
        <w:jc w:val="both"/>
      </w:pPr>
    </w:p>
    <w:p w14:paraId="506A7387" w14:textId="6C30DE07" w:rsidR="00F43A47" w:rsidRPr="00581F14" w:rsidRDefault="00F43A47" w:rsidP="005B7C9B">
      <w:pPr>
        <w:spacing w:line="480" w:lineRule="auto"/>
        <w:ind w:firstLine="284"/>
        <w:contextualSpacing/>
        <w:jc w:val="both"/>
        <w:rPr>
          <w:lang w:val="en-US"/>
        </w:rPr>
      </w:pPr>
      <w:r w:rsidRPr="00581F14">
        <w:rPr>
          <w:lang w:val="en-US"/>
        </w:rPr>
        <w:lastRenderedPageBreak/>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B7C9B">
      <w:pPr>
        <w:spacing w:line="480" w:lineRule="auto"/>
        <w:ind w:firstLine="284"/>
        <w:contextualSpacing/>
        <w:jc w:val="both"/>
        <w:rPr>
          <w:lang w:val="en-US"/>
        </w:rPr>
      </w:pPr>
    </w:p>
    <w:p w14:paraId="28344D2F" w14:textId="2FC2639F" w:rsidR="005676C8" w:rsidRDefault="005676C8" w:rsidP="005B7C9B">
      <w:pPr>
        <w:spacing w:line="480" w:lineRule="auto"/>
        <w:ind w:firstLine="284"/>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B7C9B">
      <w:pPr>
        <w:spacing w:line="480" w:lineRule="auto"/>
        <w:ind w:firstLine="284"/>
        <w:contextualSpacing/>
        <w:jc w:val="both"/>
      </w:pPr>
    </w:p>
    <w:p w14:paraId="30896B01" w14:textId="77777777" w:rsidR="00F456C9" w:rsidRDefault="00F456C9" w:rsidP="005B7C9B">
      <w:pPr>
        <w:spacing w:line="480" w:lineRule="auto"/>
        <w:ind w:firstLine="284"/>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5B7C9B">
      <w:pPr>
        <w:spacing w:line="480" w:lineRule="auto"/>
        <w:ind w:firstLine="284"/>
        <w:contextualSpacing/>
        <w:jc w:val="both"/>
      </w:pPr>
    </w:p>
    <w:p w14:paraId="5F369504" w14:textId="69D27933" w:rsidR="00D474BE" w:rsidRPr="00D474BE" w:rsidRDefault="00D474BE" w:rsidP="005B7C9B">
      <w:pPr>
        <w:spacing w:line="480" w:lineRule="auto"/>
        <w:ind w:firstLine="284"/>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5B7C9B">
      <w:pPr>
        <w:spacing w:line="480" w:lineRule="auto"/>
        <w:ind w:firstLine="284"/>
        <w:contextualSpacing/>
        <w:jc w:val="both"/>
      </w:pPr>
    </w:p>
    <w:p w14:paraId="22DAD191" w14:textId="77777777" w:rsidR="00F456C9" w:rsidRPr="00F456C9" w:rsidRDefault="00F456C9" w:rsidP="005B7C9B">
      <w:pPr>
        <w:spacing w:line="480" w:lineRule="auto"/>
        <w:ind w:firstLine="284"/>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F74A281" w14:textId="77777777" w:rsidR="00C87790" w:rsidRDefault="00C87790" w:rsidP="006C2F8D">
      <w:pPr>
        <w:spacing w:line="480" w:lineRule="auto"/>
        <w:contextualSpacing/>
        <w:jc w:val="both"/>
      </w:pPr>
    </w:p>
    <w:p w14:paraId="488AFD3D" w14:textId="1E964A32" w:rsidR="00C87790" w:rsidRDefault="00C87790" w:rsidP="005B7C9B">
      <w:pPr>
        <w:spacing w:line="480" w:lineRule="auto"/>
        <w:ind w:firstLine="284"/>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B7C9B">
      <w:pPr>
        <w:spacing w:line="480" w:lineRule="auto"/>
        <w:ind w:firstLine="284"/>
        <w:contextualSpacing/>
        <w:jc w:val="both"/>
      </w:pPr>
    </w:p>
    <w:p w14:paraId="616957D3" w14:textId="3E104872" w:rsidR="00C87790" w:rsidRDefault="00C87790" w:rsidP="005B7C9B">
      <w:pPr>
        <w:spacing w:line="480" w:lineRule="auto"/>
        <w:ind w:firstLine="284"/>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5B7C9B">
      <w:pPr>
        <w:spacing w:line="480" w:lineRule="auto"/>
        <w:ind w:firstLine="284"/>
        <w:contextualSpacing/>
        <w:jc w:val="both"/>
      </w:pPr>
    </w:p>
    <w:p w14:paraId="2805B50A" w14:textId="77777777" w:rsidR="001E2476" w:rsidRPr="001E2476" w:rsidRDefault="001E2476" w:rsidP="005B7C9B">
      <w:pPr>
        <w:spacing w:line="480" w:lineRule="auto"/>
        <w:ind w:firstLine="284"/>
        <w:contextualSpacing/>
        <w:jc w:val="both"/>
        <w:rPr>
          <w:lang w:val="es-CO"/>
        </w:rPr>
      </w:pPr>
      <w:r w:rsidRPr="001E2476">
        <w:rPr>
          <w:lang w:val="es-CO"/>
        </w:rPr>
        <w:lastRenderedPageBreak/>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79B136F5" w14:textId="77777777" w:rsidR="00C87790" w:rsidRDefault="00C87790" w:rsidP="006C2F8D">
      <w:pPr>
        <w:spacing w:line="480" w:lineRule="auto"/>
        <w:contextualSpacing/>
        <w:jc w:val="both"/>
      </w:pPr>
    </w:p>
    <w:p w14:paraId="07EB32C0" w14:textId="3078420B" w:rsidR="00226697" w:rsidRPr="00581F14" w:rsidRDefault="00226697" w:rsidP="005B7C9B">
      <w:pPr>
        <w:spacing w:line="480" w:lineRule="auto"/>
        <w:ind w:firstLine="284"/>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7"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B7C9B">
      <w:pPr>
        <w:spacing w:line="480" w:lineRule="auto"/>
        <w:ind w:firstLine="284"/>
        <w:contextualSpacing/>
        <w:jc w:val="both"/>
        <w:rPr>
          <w:rFonts w:eastAsiaTheme="minorEastAsia"/>
          <w:color w:val="1A1A1A"/>
          <w:lang w:val="en-US" w:eastAsia="ja-JP"/>
        </w:rPr>
      </w:pPr>
    </w:p>
    <w:p w14:paraId="108A6BFA" w14:textId="267DA632" w:rsidR="00DA380D" w:rsidRDefault="00DA380D" w:rsidP="005B7C9B">
      <w:pPr>
        <w:spacing w:line="480" w:lineRule="auto"/>
        <w:ind w:firstLine="284"/>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B7C9B">
      <w:pPr>
        <w:spacing w:line="480" w:lineRule="auto"/>
        <w:ind w:firstLine="284"/>
        <w:contextualSpacing/>
        <w:jc w:val="both"/>
        <w:rPr>
          <w:rFonts w:eastAsiaTheme="minorEastAsia"/>
          <w:color w:val="1A1A1A"/>
          <w:lang w:eastAsia="ja-JP"/>
        </w:rPr>
      </w:pPr>
    </w:p>
    <w:p w14:paraId="71674515" w14:textId="4AFD9351" w:rsidR="00952014" w:rsidRDefault="00952014" w:rsidP="005B7C9B">
      <w:pPr>
        <w:spacing w:line="480" w:lineRule="auto"/>
        <w:ind w:firstLine="284"/>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B7C9B">
      <w:pPr>
        <w:spacing w:line="480" w:lineRule="auto"/>
        <w:ind w:firstLine="284"/>
        <w:contextualSpacing/>
        <w:jc w:val="both"/>
      </w:pPr>
    </w:p>
    <w:p w14:paraId="23D662F9" w14:textId="77777777" w:rsidR="005676C8" w:rsidRDefault="005676C8" w:rsidP="005B7C9B">
      <w:pPr>
        <w:spacing w:line="480" w:lineRule="auto"/>
        <w:ind w:firstLine="284"/>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B7C9B">
      <w:pPr>
        <w:spacing w:line="480" w:lineRule="auto"/>
        <w:ind w:firstLine="284"/>
        <w:contextualSpacing/>
        <w:jc w:val="both"/>
      </w:pPr>
    </w:p>
    <w:p w14:paraId="052B0F1B" w14:textId="77777777" w:rsidR="00344AAF" w:rsidRPr="00F64C32" w:rsidRDefault="00344AAF" w:rsidP="005B7C9B">
      <w:pPr>
        <w:spacing w:line="480" w:lineRule="auto"/>
        <w:ind w:firstLine="284"/>
        <w:contextualSpacing/>
        <w:jc w:val="both"/>
        <w:rPr>
          <w:lang w:val="es-CO"/>
        </w:rPr>
      </w:pPr>
      <w:r w:rsidRPr="00E9651E">
        <w:rPr>
          <w:lang w:val="es-CO"/>
        </w:rPr>
        <w:t xml:space="preserve">Sanchez, R. &amp; Echeverry, J. (2004). Validación de escalas de medición en salud. </w:t>
      </w:r>
      <w:r w:rsidRPr="00F64C32">
        <w:rPr>
          <w:i/>
          <w:lang w:val="es-CO"/>
        </w:rPr>
        <w:t>Rev Salud Pública</w:t>
      </w:r>
      <w:r w:rsidRPr="00F64C32">
        <w:rPr>
          <w:lang w:val="es-CO"/>
        </w:rPr>
        <w:t xml:space="preserve">, 6, 302-18. </w:t>
      </w:r>
    </w:p>
    <w:p w14:paraId="7AF88BF9" w14:textId="77777777" w:rsidR="00693651" w:rsidRPr="00F64C32" w:rsidRDefault="00693651" w:rsidP="005B7C9B">
      <w:pPr>
        <w:spacing w:line="480" w:lineRule="auto"/>
        <w:ind w:firstLine="284"/>
        <w:contextualSpacing/>
        <w:jc w:val="both"/>
        <w:rPr>
          <w:lang w:val="es-CO"/>
        </w:rPr>
      </w:pPr>
    </w:p>
    <w:p w14:paraId="03DB91AD" w14:textId="77777777" w:rsidR="00693651" w:rsidRPr="00F64C32" w:rsidRDefault="00693651" w:rsidP="005B7C9B">
      <w:pPr>
        <w:spacing w:line="480" w:lineRule="auto"/>
        <w:ind w:firstLine="284"/>
        <w:contextualSpacing/>
        <w:jc w:val="both"/>
        <w:rPr>
          <w:lang w:val="en-US"/>
        </w:rPr>
      </w:pPr>
      <w:r w:rsidRPr="00693651">
        <w:rPr>
          <w:lang w:val="es-ES_tradnl"/>
        </w:rPr>
        <w:t>Siegel, S., &amp; Castellan, N. J. (1995). </w:t>
      </w:r>
      <w:r w:rsidRPr="00693651">
        <w:rPr>
          <w:i/>
          <w:iCs/>
          <w:lang w:val="es-ES_tradnl"/>
        </w:rPr>
        <w:t>Estadística no paramétrica aplicada a las ciencias de la conducta</w:t>
      </w:r>
      <w:r w:rsidRPr="00693651">
        <w:rPr>
          <w:lang w:val="es-ES_tradnl"/>
        </w:rPr>
        <w:t xml:space="preserve"> (4a ed.). </w:t>
      </w:r>
      <w:r w:rsidRPr="00F64C32">
        <w:rPr>
          <w:lang w:val="en-US"/>
        </w:rPr>
        <w:t>México: Trillas.</w:t>
      </w:r>
    </w:p>
    <w:p w14:paraId="2C1ECE9D" w14:textId="77777777" w:rsidR="00693651" w:rsidRDefault="00693651" w:rsidP="005B7C9B">
      <w:pPr>
        <w:spacing w:line="480" w:lineRule="auto"/>
        <w:ind w:firstLine="284"/>
        <w:contextualSpacing/>
        <w:jc w:val="both"/>
        <w:rPr>
          <w:lang w:val="en-US"/>
        </w:rPr>
      </w:pPr>
    </w:p>
    <w:p w14:paraId="7FBB8D62" w14:textId="5FEF40BE" w:rsidR="004D3C1A" w:rsidRDefault="004D3C1A" w:rsidP="005B7C9B">
      <w:pPr>
        <w:spacing w:line="480" w:lineRule="auto"/>
        <w:ind w:firstLine="284"/>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2A221DFF" w14:textId="77777777" w:rsidR="007F1E5A" w:rsidRDefault="007F1E5A" w:rsidP="005B7C9B">
      <w:pPr>
        <w:spacing w:line="480" w:lineRule="auto"/>
        <w:ind w:firstLine="284"/>
        <w:contextualSpacing/>
        <w:jc w:val="both"/>
        <w:rPr>
          <w:lang w:val="en-US"/>
        </w:rPr>
      </w:pPr>
    </w:p>
    <w:p w14:paraId="79E593C7" w14:textId="1B8B6C3B" w:rsidR="007F1E5A" w:rsidRDefault="007F1E5A" w:rsidP="005B7C9B">
      <w:pPr>
        <w:spacing w:line="480" w:lineRule="auto"/>
        <w:ind w:firstLine="284"/>
        <w:contextualSpacing/>
        <w:jc w:val="both"/>
        <w:rPr>
          <w:lang w:val="en-US"/>
        </w:rPr>
      </w:pPr>
      <w:r>
        <w:rPr>
          <w:lang w:val="en-US"/>
        </w:rPr>
        <w:t xml:space="preserve">Squeglia, L.M., Jacobus, J., Tapert, S.F. (2009). The Influence of Substance Use on Adolescent Brain Development. </w:t>
      </w:r>
      <w:r w:rsidRPr="006C2F8D">
        <w:rPr>
          <w:i/>
          <w:lang w:val="en-US"/>
        </w:rPr>
        <w:t>Clinical EEG and Neuroscience</w:t>
      </w:r>
      <w:r>
        <w:rPr>
          <w:lang w:val="en-US"/>
        </w:rPr>
        <w:t xml:space="preserve">. 40(1), 31-38. </w:t>
      </w:r>
    </w:p>
    <w:p w14:paraId="3487B020" w14:textId="77777777" w:rsidR="007F1E5A" w:rsidRPr="00581F14" w:rsidRDefault="007F1E5A" w:rsidP="005B7C9B">
      <w:pPr>
        <w:spacing w:line="480" w:lineRule="auto"/>
        <w:ind w:firstLine="284"/>
        <w:contextualSpacing/>
        <w:jc w:val="both"/>
        <w:rPr>
          <w:lang w:val="en-US"/>
        </w:rPr>
      </w:pPr>
    </w:p>
    <w:p w14:paraId="729F9FCE" w14:textId="77777777" w:rsidR="005676C8" w:rsidRPr="00581F14" w:rsidRDefault="005676C8" w:rsidP="005B7C9B">
      <w:pPr>
        <w:spacing w:line="480" w:lineRule="auto"/>
        <w:ind w:firstLine="284"/>
        <w:contextualSpacing/>
        <w:jc w:val="both"/>
        <w:rPr>
          <w:lang w:val="en-US"/>
        </w:rPr>
      </w:pPr>
    </w:p>
    <w:p w14:paraId="70C28843" w14:textId="77777777" w:rsidR="005676C8" w:rsidRDefault="005676C8" w:rsidP="005B7C9B">
      <w:pPr>
        <w:spacing w:line="480" w:lineRule="auto"/>
        <w:ind w:firstLine="284"/>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B7C9B">
      <w:pPr>
        <w:spacing w:line="480" w:lineRule="auto"/>
        <w:ind w:firstLine="284"/>
        <w:contextualSpacing/>
        <w:jc w:val="both"/>
        <w:rPr>
          <w:lang w:val="en-US"/>
        </w:rPr>
      </w:pPr>
    </w:p>
    <w:p w14:paraId="282B07B3" w14:textId="55236A79" w:rsidR="00BB2F29" w:rsidRDefault="00BB2F29" w:rsidP="005B7C9B">
      <w:pPr>
        <w:spacing w:line="480" w:lineRule="auto"/>
        <w:ind w:firstLine="284"/>
        <w:contextualSpacing/>
        <w:jc w:val="both"/>
        <w:outlineLvl w:val="0"/>
        <w:rPr>
          <w:lang w:val="en-US"/>
        </w:rPr>
      </w:pPr>
      <w:r>
        <w:rPr>
          <w:lang w:val="en-US"/>
        </w:rPr>
        <w:t xml:space="preserve">WHO. The second decade: improving adolescent health and development. Ginebra, 2001. </w:t>
      </w:r>
    </w:p>
    <w:p w14:paraId="6CB81ACA" w14:textId="77777777" w:rsidR="00CC277C" w:rsidRDefault="00CC277C" w:rsidP="005B7C9B">
      <w:pPr>
        <w:spacing w:line="480" w:lineRule="auto"/>
        <w:ind w:firstLine="284"/>
        <w:contextualSpacing/>
        <w:jc w:val="both"/>
        <w:rPr>
          <w:lang w:val="en-US"/>
        </w:rPr>
      </w:pPr>
    </w:p>
    <w:p w14:paraId="147EE856" w14:textId="3CF13588" w:rsidR="007379C9" w:rsidRPr="00757E9C" w:rsidRDefault="007379C9" w:rsidP="005B7C9B">
      <w:pPr>
        <w:spacing w:line="480" w:lineRule="auto"/>
        <w:ind w:firstLine="284"/>
        <w:contextualSpacing/>
        <w:jc w:val="both"/>
        <w:rPr>
          <w:b/>
        </w:rPr>
      </w:pPr>
    </w:p>
    <w:sectPr w:rsidR="007379C9" w:rsidRPr="00757E9C" w:rsidSect="00906071">
      <w:headerReference w:type="even" r:id="rId28"/>
      <w:headerReference w:type="default" r:id="rId29"/>
      <w:footerReference w:type="even" r:id="rId30"/>
      <w:footerReference w:type="default" r:id="rId31"/>
      <w:footnotePr>
        <w:numFmt w:val="chicago"/>
      </w:footnotePr>
      <w:pgSz w:w="11900" w:h="16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liam escobar" w:date="2016-03-24T09:20:00Z" w:initials="we">
    <w:p w14:paraId="5B0326DA" w14:textId="62C784CE" w:rsidR="00A80F0C" w:rsidRDefault="00A80F0C">
      <w:pPr>
        <w:pStyle w:val="CommentText"/>
      </w:pPr>
      <w:r>
        <w:rPr>
          <w:rStyle w:val="CommentReference"/>
        </w:rPr>
        <w:annotationRef/>
      </w:r>
      <w:r>
        <w:t>Agregar ANEXO con formato AUDIT utilizado en el estudio</w:t>
      </w:r>
    </w:p>
  </w:comment>
  <w:comment w:id="3" w:author="william escobar" w:date="2016-03-24T13:50:00Z" w:initials="we">
    <w:p w14:paraId="161F660E" w14:textId="49972E49" w:rsidR="00A80F0C" w:rsidRDefault="00A80F0C">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0C451" w14:textId="77777777" w:rsidR="009256CB" w:rsidRDefault="009256CB" w:rsidP="00757E9C">
      <w:r>
        <w:separator/>
      </w:r>
    </w:p>
  </w:endnote>
  <w:endnote w:type="continuationSeparator" w:id="0">
    <w:p w14:paraId="135DE94D" w14:textId="77777777" w:rsidR="009256CB" w:rsidRDefault="009256CB"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A80F0C" w:rsidRDefault="00A80F0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A80F0C" w:rsidRDefault="00A80F0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7EF52" w14:textId="77777777" w:rsidR="00A80F0C" w:rsidRDefault="00A80F0C" w:rsidP="00DC7B1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F1118" w14:textId="77777777" w:rsidR="009256CB" w:rsidRDefault="009256CB" w:rsidP="00757E9C">
      <w:r>
        <w:separator/>
      </w:r>
    </w:p>
  </w:footnote>
  <w:footnote w:type="continuationSeparator" w:id="0">
    <w:p w14:paraId="3CD9FFB5" w14:textId="77777777" w:rsidR="009256CB" w:rsidRDefault="009256CB" w:rsidP="00757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D2A2" w14:textId="77777777" w:rsidR="00A80F0C" w:rsidRDefault="00A80F0C" w:rsidP="009060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9D5D9" w14:textId="77777777" w:rsidR="00A80F0C" w:rsidRDefault="00A80F0C" w:rsidP="00DC7B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B67FC" w14:textId="77777777" w:rsidR="00A80F0C" w:rsidRDefault="00A80F0C" w:rsidP="009060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432">
      <w:rPr>
        <w:rStyle w:val="PageNumber"/>
        <w:noProof/>
      </w:rPr>
      <w:t>6</w:t>
    </w:r>
    <w:r>
      <w:rPr>
        <w:rStyle w:val="PageNumber"/>
      </w:rPr>
      <w:fldChar w:fldCharType="end"/>
    </w:r>
  </w:p>
  <w:p w14:paraId="548CAD42" w14:textId="77777777" w:rsidR="00A80F0C" w:rsidRDefault="00A80F0C" w:rsidP="00DC7B1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multilevel"/>
    <w:tmpl w:val="9FE486D0"/>
    <w:lvl w:ilvl="0">
      <w:start w:val="1"/>
      <w:numFmt w:val="none"/>
      <w:lvlText w:val="6.2."/>
      <w:lvlJc w:val="left"/>
      <w:pPr>
        <w:ind w:left="360" w:hanging="360"/>
      </w:pPr>
      <w:rPr>
        <w:rFonts w:hint="default"/>
      </w:rPr>
    </w:lvl>
    <w:lvl w:ilvl="1">
      <w:start w:val="1"/>
      <w:numFmt w:val="none"/>
      <w:lvlText w:val="6.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7A3D97"/>
    <w:multiLevelType w:val="hybridMultilevel"/>
    <w:tmpl w:val="299EF6FC"/>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 w15:restartNumberingAfterBreak="0">
    <w:nsid w:val="21087225"/>
    <w:multiLevelType w:val="multilevel"/>
    <w:tmpl w:val="91E8DA40"/>
    <w:lvl w:ilvl="0">
      <w:start w:val="1"/>
      <w:numFmt w:val="none"/>
      <w:lvlText w:val="4."/>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8A6E7C"/>
    <w:multiLevelType w:val="hybridMultilevel"/>
    <w:tmpl w:val="8FE83254"/>
    <w:lvl w:ilvl="0" w:tplc="92765B82">
      <w:start w:val="1"/>
      <w:numFmt w:val="none"/>
      <w:lvlText w:val="3."/>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D7B46ED"/>
    <w:multiLevelType w:val="multilevel"/>
    <w:tmpl w:val="9FE486D0"/>
    <w:lvl w:ilvl="0">
      <w:start w:val="1"/>
      <w:numFmt w:val="none"/>
      <w:lvlText w:val="6.2."/>
      <w:lvlJc w:val="left"/>
      <w:pPr>
        <w:ind w:left="360" w:hanging="360"/>
      </w:pPr>
      <w:rPr>
        <w:rFonts w:hint="default"/>
      </w:rPr>
    </w:lvl>
    <w:lvl w:ilvl="1">
      <w:start w:val="1"/>
      <w:numFmt w:val="none"/>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FC5BFA"/>
    <w:multiLevelType w:val="hybridMultilevel"/>
    <w:tmpl w:val="BD58564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53EB3275"/>
    <w:multiLevelType w:val="hybridMultilevel"/>
    <w:tmpl w:val="872AEA0E"/>
    <w:lvl w:ilvl="0" w:tplc="4C5CC586">
      <w:start w:val="1"/>
      <w:numFmt w:val="none"/>
      <w:lvlText w:val="6."/>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66F1EB9"/>
    <w:multiLevelType w:val="hybridMultilevel"/>
    <w:tmpl w:val="1114A314"/>
    <w:lvl w:ilvl="0" w:tplc="240A000F">
      <w:start w:val="1"/>
      <w:numFmt w:val="decimal"/>
      <w:lvlText w:val="%1."/>
      <w:lvlJc w:val="left"/>
      <w:pPr>
        <w:ind w:left="2992" w:hanging="360"/>
      </w:pPr>
    </w:lvl>
    <w:lvl w:ilvl="1" w:tplc="240A0019">
      <w:start w:val="1"/>
      <w:numFmt w:val="lowerLetter"/>
      <w:lvlText w:val="%2."/>
      <w:lvlJc w:val="left"/>
      <w:pPr>
        <w:ind w:left="3712" w:hanging="360"/>
      </w:pPr>
    </w:lvl>
    <w:lvl w:ilvl="2" w:tplc="240A001B" w:tentative="1">
      <w:start w:val="1"/>
      <w:numFmt w:val="lowerRoman"/>
      <w:lvlText w:val="%3."/>
      <w:lvlJc w:val="right"/>
      <w:pPr>
        <w:ind w:left="4432" w:hanging="180"/>
      </w:pPr>
    </w:lvl>
    <w:lvl w:ilvl="3" w:tplc="240A000F" w:tentative="1">
      <w:start w:val="1"/>
      <w:numFmt w:val="decimal"/>
      <w:lvlText w:val="%4."/>
      <w:lvlJc w:val="left"/>
      <w:pPr>
        <w:ind w:left="5152" w:hanging="360"/>
      </w:pPr>
    </w:lvl>
    <w:lvl w:ilvl="4" w:tplc="240A0019" w:tentative="1">
      <w:start w:val="1"/>
      <w:numFmt w:val="lowerLetter"/>
      <w:lvlText w:val="%5."/>
      <w:lvlJc w:val="left"/>
      <w:pPr>
        <w:ind w:left="5872" w:hanging="360"/>
      </w:pPr>
    </w:lvl>
    <w:lvl w:ilvl="5" w:tplc="240A001B" w:tentative="1">
      <w:start w:val="1"/>
      <w:numFmt w:val="lowerRoman"/>
      <w:lvlText w:val="%6."/>
      <w:lvlJc w:val="right"/>
      <w:pPr>
        <w:ind w:left="6592" w:hanging="180"/>
      </w:pPr>
    </w:lvl>
    <w:lvl w:ilvl="6" w:tplc="240A000F" w:tentative="1">
      <w:start w:val="1"/>
      <w:numFmt w:val="decimal"/>
      <w:lvlText w:val="%7."/>
      <w:lvlJc w:val="left"/>
      <w:pPr>
        <w:ind w:left="7312" w:hanging="360"/>
      </w:pPr>
    </w:lvl>
    <w:lvl w:ilvl="7" w:tplc="240A0019" w:tentative="1">
      <w:start w:val="1"/>
      <w:numFmt w:val="lowerLetter"/>
      <w:lvlText w:val="%8."/>
      <w:lvlJc w:val="left"/>
      <w:pPr>
        <w:ind w:left="8032" w:hanging="360"/>
      </w:pPr>
    </w:lvl>
    <w:lvl w:ilvl="8" w:tplc="240A001B" w:tentative="1">
      <w:start w:val="1"/>
      <w:numFmt w:val="lowerRoman"/>
      <w:lvlText w:val="%9."/>
      <w:lvlJc w:val="right"/>
      <w:pPr>
        <w:ind w:left="8752" w:hanging="180"/>
      </w:pPr>
    </w:lvl>
  </w:abstractNum>
  <w:abstractNum w:abstractNumId="11" w15:restartNumberingAfterBreak="0">
    <w:nsid w:val="5EF479B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3E5991"/>
    <w:multiLevelType w:val="hybridMultilevel"/>
    <w:tmpl w:val="A99C7158"/>
    <w:lvl w:ilvl="0" w:tplc="040A000F">
      <w:start w:val="1"/>
      <w:numFmt w:val="decimal"/>
      <w:lvlText w:val="%1."/>
      <w:lvlJc w:val="left"/>
      <w:pPr>
        <w:ind w:left="108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807DD9"/>
    <w:multiLevelType w:val="multilevel"/>
    <w:tmpl w:val="53149D62"/>
    <w:lvl w:ilvl="0">
      <w:start w:val="1"/>
      <w:numFmt w:val="none"/>
      <w:lvlText w:val="5."/>
      <w:lvlJc w:val="left"/>
      <w:pPr>
        <w:ind w:left="360" w:hanging="360"/>
      </w:pPr>
      <w:rPr>
        <w:rFonts w:hint="default"/>
      </w:rPr>
    </w:lvl>
    <w:lvl w:ilvl="1">
      <w:start w:val="1"/>
      <w:numFmt w:val="none"/>
      <w:lvlText w:val="6.1."/>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non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5" w15:restartNumberingAfterBreak="0">
    <w:nsid w:val="6A417DB6"/>
    <w:multiLevelType w:val="multilevel"/>
    <w:tmpl w:val="53149D62"/>
    <w:lvl w:ilvl="0">
      <w:start w:val="1"/>
      <w:numFmt w:val="none"/>
      <w:lvlText w:val="5."/>
      <w:lvlJc w:val="left"/>
      <w:pPr>
        <w:ind w:left="360" w:hanging="360"/>
      </w:pPr>
      <w:rPr>
        <w:rFonts w:hint="default"/>
      </w:rPr>
    </w:lvl>
    <w:lvl w:ilvl="1">
      <w:start w:val="1"/>
      <w:numFmt w:val="none"/>
      <w:lvlText w:val="6.1."/>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5."/>
      <w:lvlJc w:val="left"/>
      <w:pPr>
        <w:ind w:left="2232" w:hanging="792"/>
      </w:pPr>
      <w:rPr>
        <w:rFonts w:hint="default"/>
      </w:rPr>
    </w:lvl>
    <w:lvl w:ilvl="5">
      <w:start w:val="1"/>
      <w:numFmt w:val="non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0"/>
  </w:num>
  <w:num w:numId="4">
    <w:abstractNumId w:val="4"/>
  </w:num>
  <w:num w:numId="5">
    <w:abstractNumId w:val="1"/>
  </w:num>
  <w:num w:numId="6">
    <w:abstractNumId w:val="14"/>
  </w:num>
  <w:num w:numId="7">
    <w:abstractNumId w:val="10"/>
  </w:num>
  <w:num w:numId="8">
    <w:abstractNumId w:val="12"/>
  </w:num>
  <w:num w:numId="9">
    <w:abstractNumId w:val="2"/>
  </w:num>
  <w:num w:numId="10">
    <w:abstractNumId w:val="3"/>
  </w:num>
  <w:num w:numId="11">
    <w:abstractNumId w:val="9"/>
  </w:num>
  <w:num w:numId="12">
    <w:abstractNumId w:val="13"/>
  </w:num>
  <w:num w:numId="13">
    <w:abstractNumId w:val="8"/>
  </w:num>
  <w:num w:numId="14">
    <w:abstractNumId w:val="11"/>
  </w:num>
  <w:num w:numId="15">
    <w:abstractNumId w:val="6"/>
  </w:num>
  <w:num w:numId="1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284"/>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949"/>
    <w:rsid w:val="00004CA2"/>
    <w:rsid w:val="00010166"/>
    <w:rsid w:val="000144E8"/>
    <w:rsid w:val="00023547"/>
    <w:rsid w:val="00027263"/>
    <w:rsid w:val="0003342A"/>
    <w:rsid w:val="00035E32"/>
    <w:rsid w:val="0003618B"/>
    <w:rsid w:val="00042230"/>
    <w:rsid w:val="000500A9"/>
    <w:rsid w:val="00052835"/>
    <w:rsid w:val="00053415"/>
    <w:rsid w:val="00062556"/>
    <w:rsid w:val="00063C8A"/>
    <w:rsid w:val="00063C99"/>
    <w:rsid w:val="00064F7D"/>
    <w:rsid w:val="00071079"/>
    <w:rsid w:val="000774F6"/>
    <w:rsid w:val="0008025D"/>
    <w:rsid w:val="0008088E"/>
    <w:rsid w:val="0009260E"/>
    <w:rsid w:val="00092881"/>
    <w:rsid w:val="000953CF"/>
    <w:rsid w:val="000A0C94"/>
    <w:rsid w:val="000B00D5"/>
    <w:rsid w:val="000B0C84"/>
    <w:rsid w:val="000B58A9"/>
    <w:rsid w:val="000B5DDD"/>
    <w:rsid w:val="000C0257"/>
    <w:rsid w:val="000C2EAA"/>
    <w:rsid w:val="000D022A"/>
    <w:rsid w:val="000D4B2E"/>
    <w:rsid w:val="000D5A28"/>
    <w:rsid w:val="000E146C"/>
    <w:rsid w:val="000E46DA"/>
    <w:rsid w:val="000E584E"/>
    <w:rsid w:val="000E652F"/>
    <w:rsid w:val="000F05CF"/>
    <w:rsid w:val="000F31EA"/>
    <w:rsid w:val="000F41FD"/>
    <w:rsid w:val="00104527"/>
    <w:rsid w:val="00104CEA"/>
    <w:rsid w:val="00107ACA"/>
    <w:rsid w:val="001110D8"/>
    <w:rsid w:val="0011205F"/>
    <w:rsid w:val="00120E1F"/>
    <w:rsid w:val="00135922"/>
    <w:rsid w:val="00135F2D"/>
    <w:rsid w:val="00136743"/>
    <w:rsid w:val="001371B7"/>
    <w:rsid w:val="0013723F"/>
    <w:rsid w:val="00144EED"/>
    <w:rsid w:val="00146551"/>
    <w:rsid w:val="00152FEA"/>
    <w:rsid w:val="00166027"/>
    <w:rsid w:val="001715D0"/>
    <w:rsid w:val="00183523"/>
    <w:rsid w:val="001861E0"/>
    <w:rsid w:val="0019100D"/>
    <w:rsid w:val="00191280"/>
    <w:rsid w:val="00194236"/>
    <w:rsid w:val="0019558E"/>
    <w:rsid w:val="0019627E"/>
    <w:rsid w:val="001A0017"/>
    <w:rsid w:val="001B4B27"/>
    <w:rsid w:val="001C1BEA"/>
    <w:rsid w:val="001C51E5"/>
    <w:rsid w:val="001C66DD"/>
    <w:rsid w:val="001C708B"/>
    <w:rsid w:val="001C7A50"/>
    <w:rsid w:val="001D058A"/>
    <w:rsid w:val="001D0EED"/>
    <w:rsid w:val="001D1ABA"/>
    <w:rsid w:val="001D2098"/>
    <w:rsid w:val="001D3FC7"/>
    <w:rsid w:val="001E0E83"/>
    <w:rsid w:val="001E2476"/>
    <w:rsid w:val="001E4A78"/>
    <w:rsid w:val="001E57CA"/>
    <w:rsid w:val="001E7A8A"/>
    <w:rsid w:val="001E7DDC"/>
    <w:rsid w:val="001F1EAA"/>
    <w:rsid w:val="001F27AD"/>
    <w:rsid w:val="00204673"/>
    <w:rsid w:val="002056B9"/>
    <w:rsid w:val="00214952"/>
    <w:rsid w:val="0022171A"/>
    <w:rsid w:val="00222C9D"/>
    <w:rsid w:val="00226697"/>
    <w:rsid w:val="002277D0"/>
    <w:rsid w:val="00231624"/>
    <w:rsid w:val="002368CB"/>
    <w:rsid w:val="00240480"/>
    <w:rsid w:val="002408AC"/>
    <w:rsid w:val="00243F40"/>
    <w:rsid w:val="00245908"/>
    <w:rsid w:val="00245A96"/>
    <w:rsid w:val="002464F2"/>
    <w:rsid w:val="00252241"/>
    <w:rsid w:val="00255BD6"/>
    <w:rsid w:val="00255EB2"/>
    <w:rsid w:val="0026466A"/>
    <w:rsid w:val="00270E29"/>
    <w:rsid w:val="002713F1"/>
    <w:rsid w:val="0027455B"/>
    <w:rsid w:val="00276886"/>
    <w:rsid w:val="00285A28"/>
    <w:rsid w:val="00285D65"/>
    <w:rsid w:val="0029049F"/>
    <w:rsid w:val="0029168D"/>
    <w:rsid w:val="002918F4"/>
    <w:rsid w:val="00294F18"/>
    <w:rsid w:val="00296019"/>
    <w:rsid w:val="002A29C5"/>
    <w:rsid w:val="002A30FC"/>
    <w:rsid w:val="002A6FBA"/>
    <w:rsid w:val="002B0C6B"/>
    <w:rsid w:val="002B2DC8"/>
    <w:rsid w:val="002B3CD7"/>
    <w:rsid w:val="002B458C"/>
    <w:rsid w:val="002B4FFD"/>
    <w:rsid w:val="002C7584"/>
    <w:rsid w:val="002E2D6C"/>
    <w:rsid w:val="002E4CAD"/>
    <w:rsid w:val="002F38C4"/>
    <w:rsid w:val="002F4C58"/>
    <w:rsid w:val="002F4EFA"/>
    <w:rsid w:val="002F73C0"/>
    <w:rsid w:val="002F7EF9"/>
    <w:rsid w:val="00301D77"/>
    <w:rsid w:val="00306B5B"/>
    <w:rsid w:val="00306D8C"/>
    <w:rsid w:val="00310870"/>
    <w:rsid w:val="0031156F"/>
    <w:rsid w:val="00311C37"/>
    <w:rsid w:val="003126BB"/>
    <w:rsid w:val="00315944"/>
    <w:rsid w:val="00320B36"/>
    <w:rsid w:val="00322D81"/>
    <w:rsid w:val="003239A1"/>
    <w:rsid w:val="00323EBE"/>
    <w:rsid w:val="003301E0"/>
    <w:rsid w:val="0033784F"/>
    <w:rsid w:val="00340C51"/>
    <w:rsid w:val="00344982"/>
    <w:rsid w:val="00344AAF"/>
    <w:rsid w:val="0035177B"/>
    <w:rsid w:val="00354DA1"/>
    <w:rsid w:val="00355C20"/>
    <w:rsid w:val="003565C8"/>
    <w:rsid w:val="003573F0"/>
    <w:rsid w:val="00362FD8"/>
    <w:rsid w:val="0036388B"/>
    <w:rsid w:val="00363F78"/>
    <w:rsid w:val="0036571D"/>
    <w:rsid w:val="003800B2"/>
    <w:rsid w:val="00380E7C"/>
    <w:rsid w:val="00384C55"/>
    <w:rsid w:val="00384F6E"/>
    <w:rsid w:val="003923FA"/>
    <w:rsid w:val="003930F6"/>
    <w:rsid w:val="00397EC5"/>
    <w:rsid w:val="003A2538"/>
    <w:rsid w:val="003A4F73"/>
    <w:rsid w:val="003A679E"/>
    <w:rsid w:val="003A7CA2"/>
    <w:rsid w:val="003B15E0"/>
    <w:rsid w:val="003B4D9B"/>
    <w:rsid w:val="003B6A32"/>
    <w:rsid w:val="003C4A33"/>
    <w:rsid w:val="003C6F34"/>
    <w:rsid w:val="003D010B"/>
    <w:rsid w:val="003D1859"/>
    <w:rsid w:val="003D3EAC"/>
    <w:rsid w:val="003D66F2"/>
    <w:rsid w:val="003E0191"/>
    <w:rsid w:val="003E24C7"/>
    <w:rsid w:val="003E2E9E"/>
    <w:rsid w:val="003F1C77"/>
    <w:rsid w:val="003F563F"/>
    <w:rsid w:val="004022B0"/>
    <w:rsid w:val="00402BE5"/>
    <w:rsid w:val="00403A5E"/>
    <w:rsid w:val="00404D20"/>
    <w:rsid w:val="004057F5"/>
    <w:rsid w:val="004160A9"/>
    <w:rsid w:val="0042556E"/>
    <w:rsid w:val="00431B24"/>
    <w:rsid w:val="00432E7A"/>
    <w:rsid w:val="00433514"/>
    <w:rsid w:val="00436D2E"/>
    <w:rsid w:val="00436F5D"/>
    <w:rsid w:val="00440BFC"/>
    <w:rsid w:val="0044279C"/>
    <w:rsid w:val="00444C38"/>
    <w:rsid w:val="00450B1F"/>
    <w:rsid w:val="00450D54"/>
    <w:rsid w:val="004511DC"/>
    <w:rsid w:val="00454331"/>
    <w:rsid w:val="00454E4C"/>
    <w:rsid w:val="00456D05"/>
    <w:rsid w:val="0046030B"/>
    <w:rsid w:val="004608CE"/>
    <w:rsid w:val="00460C7E"/>
    <w:rsid w:val="0046150B"/>
    <w:rsid w:val="00471DC3"/>
    <w:rsid w:val="00484A06"/>
    <w:rsid w:val="00486E1A"/>
    <w:rsid w:val="00491148"/>
    <w:rsid w:val="00492BBE"/>
    <w:rsid w:val="00494DBB"/>
    <w:rsid w:val="004B4B95"/>
    <w:rsid w:val="004C3B65"/>
    <w:rsid w:val="004C4946"/>
    <w:rsid w:val="004C60D8"/>
    <w:rsid w:val="004D1023"/>
    <w:rsid w:val="004D3C1A"/>
    <w:rsid w:val="004D3F76"/>
    <w:rsid w:val="004E0EAA"/>
    <w:rsid w:val="004E2275"/>
    <w:rsid w:val="004E2993"/>
    <w:rsid w:val="004E31D4"/>
    <w:rsid w:val="004E497C"/>
    <w:rsid w:val="004E70EA"/>
    <w:rsid w:val="004F0D9A"/>
    <w:rsid w:val="004F1666"/>
    <w:rsid w:val="004F4341"/>
    <w:rsid w:val="004F6877"/>
    <w:rsid w:val="004F6A4E"/>
    <w:rsid w:val="004F7C09"/>
    <w:rsid w:val="00500F4C"/>
    <w:rsid w:val="00501509"/>
    <w:rsid w:val="0050186B"/>
    <w:rsid w:val="00503664"/>
    <w:rsid w:val="0050723B"/>
    <w:rsid w:val="00511061"/>
    <w:rsid w:val="00515473"/>
    <w:rsid w:val="00517167"/>
    <w:rsid w:val="00526DC1"/>
    <w:rsid w:val="00526E0F"/>
    <w:rsid w:val="00527DC1"/>
    <w:rsid w:val="005343AF"/>
    <w:rsid w:val="005435E9"/>
    <w:rsid w:val="00543AA7"/>
    <w:rsid w:val="005504A9"/>
    <w:rsid w:val="00551FC2"/>
    <w:rsid w:val="00552E53"/>
    <w:rsid w:val="00554F83"/>
    <w:rsid w:val="005554FD"/>
    <w:rsid w:val="00560283"/>
    <w:rsid w:val="00560A96"/>
    <w:rsid w:val="00561BB6"/>
    <w:rsid w:val="0056542B"/>
    <w:rsid w:val="00565F40"/>
    <w:rsid w:val="00566D0D"/>
    <w:rsid w:val="005676C8"/>
    <w:rsid w:val="00572937"/>
    <w:rsid w:val="005731DE"/>
    <w:rsid w:val="00574BC3"/>
    <w:rsid w:val="00581EC6"/>
    <w:rsid w:val="00581F14"/>
    <w:rsid w:val="00592431"/>
    <w:rsid w:val="00596E11"/>
    <w:rsid w:val="005971B0"/>
    <w:rsid w:val="005A0121"/>
    <w:rsid w:val="005A22DD"/>
    <w:rsid w:val="005B05A1"/>
    <w:rsid w:val="005B2060"/>
    <w:rsid w:val="005B7C9B"/>
    <w:rsid w:val="005C223E"/>
    <w:rsid w:val="005C2BD5"/>
    <w:rsid w:val="005C5838"/>
    <w:rsid w:val="005C7339"/>
    <w:rsid w:val="005D287A"/>
    <w:rsid w:val="005D40F2"/>
    <w:rsid w:val="005D524F"/>
    <w:rsid w:val="005D79F2"/>
    <w:rsid w:val="005E10CA"/>
    <w:rsid w:val="005E398F"/>
    <w:rsid w:val="005F1981"/>
    <w:rsid w:val="005F255F"/>
    <w:rsid w:val="0060027A"/>
    <w:rsid w:val="006013C5"/>
    <w:rsid w:val="00603147"/>
    <w:rsid w:val="006060FE"/>
    <w:rsid w:val="0060693C"/>
    <w:rsid w:val="00617551"/>
    <w:rsid w:val="00617754"/>
    <w:rsid w:val="0063139C"/>
    <w:rsid w:val="006323C4"/>
    <w:rsid w:val="00645FB8"/>
    <w:rsid w:val="00646F97"/>
    <w:rsid w:val="006510D4"/>
    <w:rsid w:val="00652CCC"/>
    <w:rsid w:val="00653075"/>
    <w:rsid w:val="00653233"/>
    <w:rsid w:val="00654A29"/>
    <w:rsid w:val="00655E55"/>
    <w:rsid w:val="006641CA"/>
    <w:rsid w:val="0067145D"/>
    <w:rsid w:val="00676F3F"/>
    <w:rsid w:val="00686CB6"/>
    <w:rsid w:val="00693651"/>
    <w:rsid w:val="00694FEE"/>
    <w:rsid w:val="006972C6"/>
    <w:rsid w:val="006B53BF"/>
    <w:rsid w:val="006B7408"/>
    <w:rsid w:val="006C077F"/>
    <w:rsid w:val="006C0C0E"/>
    <w:rsid w:val="006C2F8D"/>
    <w:rsid w:val="006C4311"/>
    <w:rsid w:val="006C4AB7"/>
    <w:rsid w:val="006D080A"/>
    <w:rsid w:val="006D0B9D"/>
    <w:rsid w:val="006D28FE"/>
    <w:rsid w:val="006D3D3B"/>
    <w:rsid w:val="006D5C9D"/>
    <w:rsid w:val="006D6BAF"/>
    <w:rsid w:val="006D727C"/>
    <w:rsid w:val="00701B03"/>
    <w:rsid w:val="00703F82"/>
    <w:rsid w:val="00705B2E"/>
    <w:rsid w:val="00712EA6"/>
    <w:rsid w:val="00717410"/>
    <w:rsid w:val="00721BC1"/>
    <w:rsid w:val="0072295B"/>
    <w:rsid w:val="0072356F"/>
    <w:rsid w:val="00723611"/>
    <w:rsid w:val="00723DC5"/>
    <w:rsid w:val="007316BA"/>
    <w:rsid w:val="00731A84"/>
    <w:rsid w:val="0073272C"/>
    <w:rsid w:val="00736073"/>
    <w:rsid w:val="007379C9"/>
    <w:rsid w:val="00741CCA"/>
    <w:rsid w:val="00742A4B"/>
    <w:rsid w:val="00743D49"/>
    <w:rsid w:val="007470EC"/>
    <w:rsid w:val="00747679"/>
    <w:rsid w:val="00755973"/>
    <w:rsid w:val="00757E9C"/>
    <w:rsid w:val="00764CBF"/>
    <w:rsid w:val="007656B2"/>
    <w:rsid w:val="00767E92"/>
    <w:rsid w:val="00770CC7"/>
    <w:rsid w:val="007720FA"/>
    <w:rsid w:val="00777C94"/>
    <w:rsid w:val="007800CC"/>
    <w:rsid w:val="00781FE0"/>
    <w:rsid w:val="007831EB"/>
    <w:rsid w:val="00783970"/>
    <w:rsid w:val="007913F6"/>
    <w:rsid w:val="00793C72"/>
    <w:rsid w:val="00794344"/>
    <w:rsid w:val="00794A65"/>
    <w:rsid w:val="00795BA3"/>
    <w:rsid w:val="00796C82"/>
    <w:rsid w:val="007A0113"/>
    <w:rsid w:val="007A29DA"/>
    <w:rsid w:val="007A34E3"/>
    <w:rsid w:val="007A3982"/>
    <w:rsid w:val="007A4EC9"/>
    <w:rsid w:val="007A515E"/>
    <w:rsid w:val="007A5A72"/>
    <w:rsid w:val="007A6B39"/>
    <w:rsid w:val="007A6E01"/>
    <w:rsid w:val="007A70D9"/>
    <w:rsid w:val="007A7320"/>
    <w:rsid w:val="007B49DA"/>
    <w:rsid w:val="007B6AC4"/>
    <w:rsid w:val="007C0B24"/>
    <w:rsid w:val="007C173F"/>
    <w:rsid w:val="007C2A44"/>
    <w:rsid w:val="007C334E"/>
    <w:rsid w:val="007C7A5B"/>
    <w:rsid w:val="007C7AC1"/>
    <w:rsid w:val="007D365C"/>
    <w:rsid w:val="007D7469"/>
    <w:rsid w:val="007E3C06"/>
    <w:rsid w:val="007E4887"/>
    <w:rsid w:val="007E4C1C"/>
    <w:rsid w:val="007F1E5A"/>
    <w:rsid w:val="007F3C9F"/>
    <w:rsid w:val="007F62ED"/>
    <w:rsid w:val="0080085C"/>
    <w:rsid w:val="0080196D"/>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5525D"/>
    <w:rsid w:val="00857102"/>
    <w:rsid w:val="0086404E"/>
    <w:rsid w:val="008653B3"/>
    <w:rsid w:val="00865C70"/>
    <w:rsid w:val="008665F5"/>
    <w:rsid w:val="00870316"/>
    <w:rsid w:val="00876FDA"/>
    <w:rsid w:val="0088195B"/>
    <w:rsid w:val="008824DE"/>
    <w:rsid w:val="00883E17"/>
    <w:rsid w:val="00886994"/>
    <w:rsid w:val="00890ACD"/>
    <w:rsid w:val="0089162B"/>
    <w:rsid w:val="0089348E"/>
    <w:rsid w:val="00895204"/>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8F732D"/>
    <w:rsid w:val="00900D9C"/>
    <w:rsid w:val="00902297"/>
    <w:rsid w:val="00902647"/>
    <w:rsid w:val="00906071"/>
    <w:rsid w:val="00907C2F"/>
    <w:rsid w:val="00920D41"/>
    <w:rsid w:val="009256CB"/>
    <w:rsid w:val="00927C25"/>
    <w:rsid w:val="00933D5F"/>
    <w:rsid w:val="00936E7E"/>
    <w:rsid w:val="00941081"/>
    <w:rsid w:val="00942482"/>
    <w:rsid w:val="0094251D"/>
    <w:rsid w:val="009450CA"/>
    <w:rsid w:val="009452B8"/>
    <w:rsid w:val="009466F0"/>
    <w:rsid w:val="00946F65"/>
    <w:rsid w:val="00952014"/>
    <w:rsid w:val="009526FD"/>
    <w:rsid w:val="00953AC0"/>
    <w:rsid w:val="00954DCF"/>
    <w:rsid w:val="00963DBD"/>
    <w:rsid w:val="00966111"/>
    <w:rsid w:val="00966BD7"/>
    <w:rsid w:val="00967765"/>
    <w:rsid w:val="00970E0C"/>
    <w:rsid w:val="00973591"/>
    <w:rsid w:val="009739A3"/>
    <w:rsid w:val="00977A2C"/>
    <w:rsid w:val="009803EE"/>
    <w:rsid w:val="00983E2D"/>
    <w:rsid w:val="009900DD"/>
    <w:rsid w:val="00990DBE"/>
    <w:rsid w:val="0099551A"/>
    <w:rsid w:val="0099572B"/>
    <w:rsid w:val="00996D2B"/>
    <w:rsid w:val="009A5584"/>
    <w:rsid w:val="009A7D23"/>
    <w:rsid w:val="009B237A"/>
    <w:rsid w:val="009C0D3E"/>
    <w:rsid w:val="009C1F83"/>
    <w:rsid w:val="009C21BE"/>
    <w:rsid w:val="009C22DD"/>
    <w:rsid w:val="009C32B3"/>
    <w:rsid w:val="009C57E9"/>
    <w:rsid w:val="009D154B"/>
    <w:rsid w:val="009D2613"/>
    <w:rsid w:val="009D763B"/>
    <w:rsid w:val="009E4226"/>
    <w:rsid w:val="009E42D4"/>
    <w:rsid w:val="009E4F5E"/>
    <w:rsid w:val="009E51E0"/>
    <w:rsid w:val="009F01AD"/>
    <w:rsid w:val="009F15DF"/>
    <w:rsid w:val="009F3CBC"/>
    <w:rsid w:val="009F3E5F"/>
    <w:rsid w:val="009F74DE"/>
    <w:rsid w:val="009F7CB0"/>
    <w:rsid w:val="00A00FB4"/>
    <w:rsid w:val="00A050FD"/>
    <w:rsid w:val="00A05A24"/>
    <w:rsid w:val="00A1112A"/>
    <w:rsid w:val="00A1254A"/>
    <w:rsid w:val="00A13461"/>
    <w:rsid w:val="00A14231"/>
    <w:rsid w:val="00A2226A"/>
    <w:rsid w:val="00A24227"/>
    <w:rsid w:val="00A248BF"/>
    <w:rsid w:val="00A336A6"/>
    <w:rsid w:val="00A379C9"/>
    <w:rsid w:val="00A43E99"/>
    <w:rsid w:val="00A4614E"/>
    <w:rsid w:val="00A5316F"/>
    <w:rsid w:val="00A54E91"/>
    <w:rsid w:val="00A57EE8"/>
    <w:rsid w:val="00A65D43"/>
    <w:rsid w:val="00A673CA"/>
    <w:rsid w:val="00A70808"/>
    <w:rsid w:val="00A76B36"/>
    <w:rsid w:val="00A80871"/>
    <w:rsid w:val="00A80F0C"/>
    <w:rsid w:val="00A8297A"/>
    <w:rsid w:val="00A84C67"/>
    <w:rsid w:val="00A85606"/>
    <w:rsid w:val="00A87458"/>
    <w:rsid w:val="00A901BC"/>
    <w:rsid w:val="00A9493A"/>
    <w:rsid w:val="00A97A70"/>
    <w:rsid w:val="00A97DE4"/>
    <w:rsid w:val="00AA055D"/>
    <w:rsid w:val="00AA0A42"/>
    <w:rsid w:val="00AA2AC6"/>
    <w:rsid w:val="00AA6AC9"/>
    <w:rsid w:val="00AA6D6C"/>
    <w:rsid w:val="00AB1516"/>
    <w:rsid w:val="00AB2DAC"/>
    <w:rsid w:val="00AC635D"/>
    <w:rsid w:val="00AC7D00"/>
    <w:rsid w:val="00AD2558"/>
    <w:rsid w:val="00AD35DC"/>
    <w:rsid w:val="00AD5AD4"/>
    <w:rsid w:val="00AE0FCE"/>
    <w:rsid w:val="00AE138A"/>
    <w:rsid w:val="00AE343A"/>
    <w:rsid w:val="00AE61BB"/>
    <w:rsid w:val="00AF100D"/>
    <w:rsid w:val="00AF3650"/>
    <w:rsid w:val="00B006B7"/>
    <w:rsid w:val="00B12A02"/>
    <w:rsid w:val="00B17F7D"/>
    <w:rsid w:val="00B21704"/>
    <w:rsid w:val="00B22452"/>
    <w:rsid w:val="00B23E19"/>
    <w:rsid w:val="00B25C5F"/>
    <w:rsid w:val="00B41855"/>
    <w:rsid w:val="00B448A6"/>
    <w:rsid w:val="00B50141"/>
    <w:rsid w:val="00B50214"/>
    <w:rsid w:val="00B54743"/>
    <w:rsid w:val="00B6079C"/>
    <w:rsid w:val="00B62BD0"/>
    <w:rsid w:val="00B66112"/>
    <w:rsid w:val="00B70203"/>
    <w:rsid w:val="00B7289C"/>
    <w:rsid w:val="00B73040"/>
    <w:rsid w:val="00B7379A"/>
    <w:rsid w:val="00B816C7"/>
    <w:rsid w:val="00B81DD4"/>
    <w:rsid w:val="00B8507E"/>
    <w:rsid w:val="00B85B1C"/>
    <w:rsid w:val="00B90A2C"/>
    <w:rsid w:val="00BA0299"/>
    <w:rsid w:val="00BA25B8"/>
    <w:rsid w:val="00BB2F29"/>
    <w:rsid w:val="00BB3570"/>
    <w:rsid w:val="00BB51F2"/>
    <w:rsid w:val="00BC1648"/>
    <w:rsid w:val="00BC2C9A"/>
    <w:rsid w:val="00BC3F64"/>
    <w:rsid w:val="00BC4A07"/>
    <w:rsid w:val="00BE3176"/>
    <w:rsid w:val="00BE4CA7"/>
    <w:rsid w:val="00BE7FEE"/>
    <w:rsid w:val="00BF0577"/>
    <w:rsid w:val="00BF274B"/>
    <w:rsid w:val="00BF4A0E"/>
    <w:rsid w:val="00BF5244"/>
    <w:rsid w:val="00BF6ED1"/>
    <w:rsid w:val="00BF6EE0"/>
    <w:rsid w:val="00BF7F56"/>
    <w:rsid w:val="00C137DD"/>
    <w:rsid w:val="00C15C34"/>
    <w:rsid w:val="00C172B6"/>
    <w:rsid w:val="00C20F71"/>
    <w:rsid w:val="00C22FA6"/>
    <w:rsid w:val="00C24FD8"/>
    <w:rsid w:val="00C260FC"/>
    <w:rsid w:val="00C30808"/>
    <w:rsid w:val="00C31D77"/>
    <w:rsid w:val="00C32C02"/>
    <w:rsid w:val="00C35481"/>
    <w:rsid w:val="00C3630B"/>
    <w:rsid w:val="00C43F7B"/>
    <w:rsid w:val="00C44E00"/>
    <w:rsid w:val="00C4752C"/>
    <w:rsid w:val="00C477E9"/>
    <w:rsid w:val="00C508FB"/>
    <w:rsid w:val="00C54ABF"/>
    <w:rsid w:val="00C6143F"/>
    <w:rsid w:val="00C620F0"/>
    <w:rsid w:val="00C72345"/>
    <w:rsid w:val="00C72811"/>
    <w:rsid w:val="00C7365D"/>
    <w:rsid w:val="00C73FB0"/>
    <w:rsid w:val="00C7662E"/>
    <w:rsid w:val="00C82503"/>
    <w:rsid w:val="00C825CD"/>
    <w:rsid w:val="00C85AB8"/>
    <w:rsid w:val="00C87790"/>
    <w:rsid w:val="00C91D65"/>
    <w:rsid w:val="00C94A09"/>
    <w:rsid w:val="00C961D6"/>
    <w:rsid w:val="00C9678C"/>
    <w:rsid w:val="00C970CB"/>
    <w:rsid w:val="00CA1EA4"/>
    <w:rsid w:val="00CA253B"/>
    <w:rsid w:val="00CA54AD"/>
    <w:rsid w:val="00CA5D7F"/>
    <w:rsid w:val="00CA6A43"/>
    <w:rsid w:val="00CA6DE1"/>
    <w:rsid w:val="00CB3CAB"/>
    <w:rsid w:val="00CC277C"/>
    <w:rsid w:val="00CC3AF0"/>
    <w:rsid w:val="00CC5714"/>
    <w:rsid w:val="00CD0E9F"/>
    <w:rsid w:val="00CD26B6"/>
    <w:rsid w:val="00CE1CC4"/>
    <w:rsid w:val="00CF0D8F"/>
    <w:rsid w:val="00CF3A77"/>
    <w:rsid w:val="00CF3F69"/>
    <w:rsid w:val="00CF75DC"/>
    <w:rsid w:val="00D04376"/>
    <w:rsid w:val="00D11443"/>
    <w:rsid w:val="00D13441"/>
    <w:rsid w:val="00D15778"/>
    <w:rsid w:val="00D15A43"/>
    <w:rsid w:val="00D178B8"/>
    <w:rsid w:val="00D20667"/>
    <w:rsid w:val="00D2238E"/>
    <w:rsid w:val="00D23FBD"/>
    <w:rsid w:val="00D26D81"/>
    <w:rsid w:val="00D3250B"/>
    <w:rsid w:val="00D32AC3"/>
    <w:rsid w:val="00D36C56"/>
    <w:rsid w:val="00D371DD"/>
    <w:rsid w:val="00D41B59"/>
    <w:rsid w:val="00D44B75"/>
    <w:rsid w:val="00D474BE"/>
    <w:rsid w:val="00D53ED7"/>
    <w:rsid w:val="00D556FF"/>
    <w:rsid w:val="00D65444"/>
    <w:rsid w:val="00D66BFC"/>
    <w:rsid w:val="00D74432"/>
    <w:rsid w:val="00D74E1B"/>
    <w:rsid w:val="00D77A20"/>
    <w:rsid w:val="00D84B58"/>
    <w:rsid w:val="00D853F5"/>
    <w:rsid w:val="00D869A3"/>
    <w:rsid w:val="00D86E36"/>
    <w:rsid w:val="00D93346"/>
    <w:rsid w:val="00D94EF4"/>
    <w:rsid w:val="00D95A5E"/>
    <w:rsid w:val="00D97548"/>
    <w:rsid w:val="00DA1682"/>
    <w:rsid w:val="00DA1872"/>
    <w:rsid w:val="00DA2E9E"/>
    <w:rsid w:val="00DA380D"/>
    <w:rsid w:val="00DB0AC4"/>
    <w:rsid w:val="00DC5B60"/>
    <w:rsid w:val="00DC7B1D"/>
    <w:rsid w:val="00DD14EF"/>
    <w:rsid w:val="00DD1CE8"/>
    <w:rsid w:val="00DD1FA4"/>
    <w:rsid w:val="00DD492B"/>
    <w:rsid w:val="00DE1636"/>
    <w:rsid w:val="00DE2339"/>
    <w:rsid w:val="00DE2519"/>
    <w:rsid w:val="00DE336D"/>
    <w:rsid w:val="00DF2E01"/>
    <w:rsid w:val="00DF440E"/>
    <w:rsid w:val="00DF48F2"/>
    <w:rsid w:val="00DF711B"/>
    <w:rsid w:val="00E00CFD"/>
    <w:rsid w:val="00E00FDB"/>
    <w:rsid w:val="00E032D3"/>
    <w:rsid w:val="00E07B6D"/>
    <w:rsid w:val="00E20F27"/>
    <w:rsid w:val="00E2125A"/>
    <w:rsid w:val="00E22D41"/>
    <w:rsid w:val="00E239D7"/>
    <w:rsid w:val="00E24265"/>
    <w:rsid w:val="00E261C6"/>
    <w:rsid w:val="00E26E5A"/>
    <w:rsid w:val="00E319B9"/>
    <w:rsid w:val="00E3227A"/>
    <w:rsid w:val="00E32D61"/>
    <w:rsid w:val="00E34712"/>
    <w:rsid w:val="00E37C33"/>
    <w:rsid w:val="00E4710C"/>
    <w:rsid w:val="00E51847"/>
    <w:rsid w:val="00E529EE"/>
    <w:rsid w:val="00E52F03"/>
    <w:rsid w:val="00E54C4C"/>
    <w:rsid w:val="00E56E16"/>
    <w:rsid w:val="00E6176B"/>
    <w:rsid w:val="00E624CF"/>
    <w:rsid w:val="00E63DB4"/>
    <w:rsid w:val="00E63DC1"/>
    <w:rsid w:val="00E71731"/>
    <w:rsid w:val="00E7394E"/>
    <w:rsid w:val="00E75DA6"/>
    <w:rsid w:val="00E8032F"/>
    <w:rsid w:val="00E8258C"/>
    <w:rsid w:val="00E82F34"/>
    <w:rsid w:val="00E8691E"/>
    <w:rsid w:val="00E876F0"/>
    <w:rsid w:val="00E91FE3"/>
    <w:rsid w:val="00E92504"/>
    <w:rsid w:val="00E934E9"/>
    <w:rsid w:val="00E95ABE"/>
    <w:rsid w:val="00E9651E"/>
    <w:rsid w:val="00E96A96"/>
    <w:rsid w:val="00E978EA"/>
    <w:rsid w:val="00EA02F1"/>
    <w:rsid w:val="00EA3216"/>
    <w:rsid w:val="00EA32D9"/>
    <w:rsid w:val="00EB0061"/>
    <w:rsid w:val="00EB15B4"/>
    <w:rsid w:val="00EB1C36"/>
    <w:rsid w:val="00EB2709"/>
    <w:rsid w:val="00EB2B41"/>
    <w:rsid w:val="00EB4D66"/>
    <w:rsid w:val="00EB4E82"/>
    <w:rsid w:val="00EB76BE"/>
    <w:rsid w:val="00EC1945"/>
    <w:rsid w:val="00EC2573"/>
    <w:rsid w:val="00EC371E"/>
    <w:rsid w:val="00EC404A"/>
    <w:rsid w:val="00EC410F"/>
    <w:rsid w:val="00ED402D"/>
    <w:rsid w:val="00ED478F"/>
    <w:rsid w:val="00ED7088"/>
    <w:rsid w:val="00EE09E2"/>
    <w:rsid w:val="00EE18BD"/>
    <w:rsid w:val="00EE2747"/>
    <w:rsid w:val="00EE56E1"/>
    <w:rsid w:val="00EE65B1"/>
    <w:rsid w:val="00EF3BDB"/>
    <w:rsid w:val="00F00E5E"/>
    <w:rsid w:val="00F048BF"/>
    <w:rsid w:val="00F0717D"/>
    <w:rsid w:val="00F07C42"/>
    <w:rsid w:val="00F10EC3"/>
    <w:rsid w:val="00F12AAD"/>
    <w:rsid w:val="00F12AB6"/>
    <w:rsid w:val="00F14391"/>
    <w:rsid w:val="00F161AE"/>
    <w:rsid w:val="00F167D9"/>
    <w:rsid w:val="00F22BEF"/>
    <w:rsid w:val="00F23724"/>
    <w:rsid w:val="00F24CEB"/>
    <w:rsid w:val="00F25863"/>
    <w:rsid w:val="00F26AD9"/>
    <w:rsid w:val="00F27A45"/>
    <w:rsid w:val="00F313DD"/>
    <w:rsid w:val="00F3160D"/>
    <w:rsid w:val="00F43A47"/>
    <w:rsid w:val="00F44AEF"/>
    <w:rsid w:val="00F456C9"/>
    <w:rsid w:val="00F50FE8"/>
    <w:rsid w:val="00F53D7B"/>
    <w:rsid w:val="00F56E1C"/>
    <w:rsid w:val="00F61317"/>
    <w:rsid w:val="00F61E5C"/>
    <w:rsid w:val="00F64C32"/>
    <w:rsid w:val="00F65862"/>
    <w:rsid w:val="00F66C60"/>
    <w:rsid w:val="00F67096"/>
    <w:rsid w:val="00F67B26"/>
    <w:rsid w:val="00F74323"/>
    <w:rsid w:val="00F769AE"/>
    <w:rsid w:val="00F821ED"/>
    <w:rsid w:val="00F832DA"/>
    <w:rsid w:val="00F868CF"/>
    <w:rsid w:val="00F90A73"/>
    <w:rsid w:val="00F930C3"/>
    <w:rsid w:val="00F935C4"/>
    <w:rsid w:val="00F9371B"/>
    <w:rsid w:val="00F97DB4"/>
    <w:rsid w:val="00F97E7E"/>
    <w:rsid w:val="00FA0B1C"/>
    <w:rsid w:val="00FA5010"/>
    <w:rsid w:val="00FA6FA1"/>
    <w:rsid w:val="00FA7104"/>
    <w:rsid w:val="00FB08EC"/>
    <w:rsid w:val="00FB2588"/>
    <w:rsid w:val="00FC4EA4"/>
    <w:rsid w:val="00FC7DC6"/>
    <w:rsid w:val="00FD23D8"/>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paragraph" w:styleId="Heading1">
    <w:name w:val="heading 1"/>
    <w:basedOn w:val="Normal"/>
    <w:next w:val="Normal"/>
    <w:link w:val="Heading1Char"/>
    <w:uiPriority w:val="9"/>
    <w:qFormat/>
    <w:rsid w:val="004543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4E91"/>
    <w:pPr>
      <w:spacing w:after="0"/>
    </w:pPr>
    <w:rPr>
      <w:rFonts w:eastAsia="Times New Roman"/>
      <w:lang w:val="es-ES" w:eastAsia="es-ES"/>
    </w:rPr>
  </w:style>
  <w:style w:type="paragraph" w:styleId="Header">
    <w:name w:val="header"/>
    <w:basedOn w:val="Normal"/>
    <w:link w:val="HeaderChar"/>
    <w:uiPriority w:val="99"/>
    <w:unhideWhenUsed/>
    <w:rsid w:val="00DC7B1D"/>
    <w:pPr>
      <w:tabs>
        <w:tab w:val="center" w:pos="4252"/>
        <w:tab w:val="right" w:pos="8504"/>
      </w:tabs>
    </w:pPr>
  </w:style>
  <w:style w:type="character" w:customStyle="1" w:styleId="HeaderChar">
    <w:name w:val="Header Char"/>
    <w:basedOn w:val="DefaultParagraphFont"/>
    <w:link w:val="Header"/>
    <w:uiPriority w:val="99"/>
    <w:rsid w:val="00DC7B1D"/>
    <w:rPr>
      <w:rFonts w:eastAsia="Times New Roman"/>
      <w:lang w:val="es-ES" w:eastAsia="es-ES"/>
    </w:rPr>
  </w:style>
  <w:style w:type="character" w:customStyle="1" w:styleId="Heading1Char">
    <w:name w:val="Heading 1 Char"/>
    <w:basedOn w:val="DefaultParagraphFont"/>
    <w:link w:val="Heading1"/>
    <w:uiPriority w:val="9"/>
    <w:rsid w:val="00454331"/>
    <w:rPr>
      <w:rFonts w:asciiTheme="majorHAnsi" w:eastAsiaTheme="majorEastAsia" w:hAnsiTheme="majorHAnsi" w:cstheme="majorBidi"/>
      <w:b/>
      <w:bCs/>
      <w:color w:val="345A8A" w:themeColor="accent1" w:themeShade="B5"/>
      <w:sz w:val="32"/>
      <w:szCs w:val="32"/>
      <w:lang w:val="es-ES" w:eastAsia="es-ES"/>
    </w:rPr>
  </w:style>
  <w:style w:type="paragraph" w:styleId="TOCHeading">
    <w:name w:val="TOC Heading"/>
    <w:basedOn w:val="Heading1"/>
    <w:next w:val="Normal"/>
    <w:uiPriority w:val="39"/>
    <w:unhideWhenUsed/>
    <w:qFormat/>
    <w:rsid w:val="00454331"/>
    <w:pPr>
      <w:spacing w:line="276" w:lineRule="auto"/>
      <w:outlineLvl w:val="9"/>
    </w:pPr>
    <w:rPr>
      <w:color w:val="365F91" w:themeColor="accent1" w:themeShade="BF"/>
      <w:sz w:val="28"/>
      <w:szCs w:val="28"/>
      <w:lang w:val="es-CO"/>
    </w:rPr>
  </w:style>
  <w:style w:type="paragraph" w:styleId="TOC1">
    <w:name w:val="toc 1"/>
    <w:basedOn w:val="Normal"/>
    <w:next w:val="Normal"/>
    <w:autoRedefine/>
    <w:uiPriority w:val="39"/>
    <w:unhideWhenUsed/>
    <w:rsid w:val="00454331"/>
    <w:pPr>
      <w:spacing w:before="120"/>
    </w:pPr>
    <w:rPr>
      <w:rFonts w:asciiTheme="minorHAnsi" w:hAnsiTheme="minorHAnsi"/>
      <w:b/>
    </w:rPr>
  </w:style>
  <w:style w:type="paragraph" w:styleId="TOC2">
    <w:name w:val="toc 2"/>
    <w:basedOn w:val="Normal"/>
    <w:next w:val="Normal"/>
    <w:autoRedefine/>
    <w:uiPriority w:val="39"/>
    <w:unhideWhenUsed/>
    <w:rsid w:val="00454331"/>
    <w:pPr>
      <w:ind w:left="240"/>
    </w:pPr>
    <w:rPr>
      <w:rFonts w:asciiTheme="minorHAnsi" w:hAnsiTheme="minorHAnsi"/>
      <w:b/>
      <w:sz w:val="22"/>
      <w:szCs w:val="22"/>
    </w:rPr>
  </w:style>
  <w:style w:type="paragraph" w:styleId="TOC3">
    <w:name w:val="toc 3"/>
    <w:basedOn w:val="Normal"/>
    <w:next w:val="Normal"/>
    <w:autoRedefine/>
    <w:uiPriority w:val="39"/>
    <w:unhideWhenUsed/>
    <w:rsid w:val="00454331"/>
    <w:pPr>
      <w:ind w:left="480"/>
    </w:pPr>
    <w:rPr>
      <w:rFonts w:asciiTheme="minorHAnsi" w:hAnsiTheme="minorHAnsi"/>
      <w:sz w:val="22"/>
      <w:szCs w:val="22"/>
    </w:rPr>
  </w:style>
  <w:style w:type="paragraph" w:styleId="TOC4">
    <w:name w:val="toc 4"/>
    <w:basedOn w:val="Normal"/>
    <w:next w:val="Normal"/>
    <w:autoRedefine/>
    <w:uiPriority w:val="39"/>
    <w:unhideWhenUsed/>
    <w:rsid w:val="00454331"/>
    <w:pPr>
      <w:ind w:left="720"/>
    </w:pPr>
    <w:rPr>
      <w:rFonts w:asciiTheme="minorHAnsi" w:hAnsiTheme="minorHAnsi"/>
      <w:sz w:val="20"/>
      <w:szCs w:val="20"/>
    </w:rPr>
  </w:style>
  <w:style w:type="paragraph" w:styleId="TOC5">
    <w:name w:val="toc 5"/>
    <w:basedOn w:val="Normal"/>
    <w:next w:val="Normal"/>
    <w:autoRedefine/>
    <w:uiPriority w:val="39"/>
    <w:unhideWhenUsed/>
    <w:rsid w:val="00454331"/>
    <w:pPr>
      <w:ind w:left="960"/>
    </w:pPr>
    <w:rPr>
      <w:rFonts w:asciiTheme="minorHAnsi" w:hAnsiTheme="minorHAnsi"/>
      <w:sz w:val="20"/>
      <w:szCs w:val="20"/>
    </w:rPr>
  </w:style>
  <w:style w:type="paragraph" w:styleId="TOC6">
    <w:name w:val="toc 6"/>
    <w:basedOn w:val="Normal"/>
    <w:next w:val="Normal"/>
    <w:autoRedefine/>
    <w:uiPriority w:val="39"/>
    <w:unhideWhenUsed/>
    <w:rsid w:val="00454331"/>
    <w:pPr>
      <w:ind w:left="1200"/>
    </w:pPr>
    <w:rPr>
      <w:rFonts w:asciiTheme="minorHAnsi" w:hAnsiTheme="minorHAnsi"/>
      <w:sz w:val="20"/>
      <w:szCs w:val="20"/>
    </w:rPr>
  </w:style>
  <w:style w:type="paragraph" w:styleId="TOC7">
    <w:name w:val="toc 7"/>
    <w:basedOn w:val="Normal"/>
    <w:next w:val="Normal"/>
    <w:autoRedefine/>
    <w:uiPriority w:val="39"/>
    <w:unhideWhenUsed/>
    <w:rsid w:val="00454331"/>
    <w:pPr>
      <w:ind w:left="1440"/>
    </w:pPr>
    <w:rPr>
      <w:rFonts w:asciiTheme="minorHAnsi" w:hAnsiTheme="minorHAnsi"/>
      <w:sz w:val="20"/>
      <w:szCs w:val="20"/>
    </w:rPr>
  </w:style>
  <w:style w:type="paragraph" w:styleId="TOC8">
    <w:name w:val="toc 8"/>
    <w:basedOn w:val="Normal"/>
    <w:next w:val="Normal"/>
    <w:autoRedefine/>
    <w:uiPriority w:val="39"/>
    <w:unhideWhenUsed/>
    <w:rsid w:val="00454331"/>
    <w:pPr>
      <w:ind w:left="1680"/>
    </w:pPr>
    <w:rPr>
      <w:rFonts w:asciiTheme="minorHAnsi" w:hAnsiTheme="minorHAnsi"/>
      <w:sz w:val="20"/>
      <w:szCs w:val="20"/>
    </w:rPr>
  </w:style>
  <w:style w:type="paragraph" w:styleId="TOC9">
    <w:name w:val="toc 9"/>
    <w:basedOn w:val="Normal"/>
    <w:next w:val="Normal"/>
    <w:autoRedefine/>
    <w:uiPriority w:val="39"/>
    <w:unhideWhenUsed/>
    <w:rsid w:val="00454331"/>
    <w:pPr>
      <w:ind w:left="1920"/>
    </w:pPr>
    <w:rPr>
      <w:rFonts w:asciiTheme="minorHAnsi" w:hAnsiTheme="minorHAnsi"/>
      <w:sz w:val="20"/>
      <w:szCs w:val="20"/>
    </w:rPr>
  </w:style>
  <w:style w:type="character" w:customStyle="1" w:styleId="cit-title">
    <w:name w:val="cit-title"/>
    <w:basedOn w:val="DefaultParagraphFont"/>
    <w:rsid w:val="007F1E5A"/>
  </w:style>
  <w:style w:type="character" w:styleId="HTMLCite">
    <w:name w:val="HTML Cite"/>
    <w:basedOn w:val="DefaultParagraphFont"/>
    <w:uiPriority w:val="99"/>
    <w:semiHidden/>
    <w:unhideWhenUsed/>
    <w:rsid w:val="007F1E5A"/>
    <w:rPr>
      <w:i/>
      <w:iCs/>
    </w:rPr>
  </w:style>
  <w:style w:type="character" w:customStyle="1" w:styleId="apple-converted-space">
    <w:name w:val="apple-converted-space"/>
    <w:basedOn w:val="DefaultParagraphFont"/>
    <w:rsid w:val="007F1E5A"/>
  </w:style>
  <w:style w:type="character" w:customStyle="1" w:styleId="cit-print-date">
    <w:name w:val="cit-print-date"/>
    <w:basedOn w:val="DefaultParagraphFont"/>
    <w:rsid w:val="007F1E5A"/>
  </w:style>
  <w:style w:type="character" w:customStyle="1" w:styleId="cit-vol">
    <w:name w:val="cit-vol"/>
    <w:basedOn w:val="DefaultParagraphFont"/>
    <w:rsid w:val="007F1E5A"/>
  </w:style>
  <w:style w:type="character" w:customStyle="1" w:styleId="cit-sep">
    <w:name w:val="cit-sep"/>
    <w:basedOn w:val="DefaultParagraphFont"/>
    <w:rsid w:val="007F1E5A"/>
  </w:style>
  <w:style w:type="character" w:customStyle="1" w:styleId="cit-first-page">
    <w:name w:val="cit-first-page"/>
    <w:basedOn w:val="DefaultParagraphFont"/>
    <w:rsid w:val="007F1E5A"/>
  </w:style>
  <w:style w:type="character" w:customStyle="1" w:styleId="cit-last-page">
    <w:name w:val="cit-last-page"/>
    <w:basedOn w:val="DefaultParagraphFont"/>
    <w:rsid w:val="007F1E5A"/>
  </w:style>
  <w:style w:type="paragraph" w:styleId="TableofFigures">
    <w:name w:val="table of figures"/>
    <w:basedOn w:val="Normal"/>
    <w:next w:val="Normal"/>
    <w:uiPriority w:val="99"/>
    <w:unhideWhenUsed/>
    <w:rsid w:val="00D7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6767166">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323974823">
      <w:bodyDiv w:val="1"/>
      <w:marLeft w:val="0"/>
      <w:marRight w:val="0"/>
      <w:marTop w:val="0"/>
      <w:marBottom w:val="0"/>
      <w:divBdr>
        <w:top w:val="none" w:sz="0" w:space="0" w:color="auto"/>
        <w:left w:val="none" w:sz="0" w:space="0" w:color="auto"/>
        <w:bottom w:val="none" w:sz="0" w:space="0" w:color="auto"/>
        <w:right w:val="none" w:sz="0" w:space="0" w:color="auto"/>
      </w:divBdr>
    </w:div>
    <w:div w:id="353311417">
      <w:bodyDiv w:val="1"/>
      <w:marLeft w:val="0"/>
      <w:marRight w:val="0"/>
      <w:marTop w:val="0"/>
      <w:marBottom w:val="0"/>
      <w:divBdr>
        <w:top w:val="none" w:sz="0" w:space="0" w:color="auto"/>
        <w:left w:val="none" w:sz="0" w:space="0" w:color="auto"/>
        <w:bottom w:val="none" w:sz="0" w:space="0" w:color="auto"/>
        <w:right w:val="none" w:sz="0" w:space="0" w:color="auto"/>
      </w:divBdr>
    </w:div>
    <w:div w:id="426267433">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276710788">
      <w:bodyDiv w:val="1"/>
      <w:marLeft w:val="0"/>
      <w:marRight w:val="0"/>
      <w:marTop w:val="0"/>
      <w:marBottom w:val="0"/>
      <w:divBdr>
        <w:top w:val="none" w:sz="0" w:space="0" w:color="auto"/>
        <w:left w:val="none" w:sz="0" w:space="0" w:color="auto"/>
        <w:bottom w:val="none" w:sz="0" w:space="0" w:color="auto"/>
        <w:right w:val="none" w:sz="0" w:space="0" w:color="auto"/>
      </w:divBdr>
    </w:div>
    <w:div w:id="1361468587">
      <w:bodyDiv w:val="1"/>
      <w:marLeft w:val="0"/>
      <w:marRight w:val="0"/>
      <w:marTop w:val="0"/>
      <w:marBottom w:val="0"/>
      <w:divBdr>
        <w:top w:val="none" w:sz="0" w:space="0" w:color="auto"/>
        <w:left w:val="none" w:sz="0" w:space="0" w:color="auto"/>
        <w:bottom w:val="none" w:sz="0" w:space="0" w:color="auto"/>
        <w:right w:val="none" w:sz="0" w:space="0" w:color="auto"/>
      </w:divBdr>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541674371">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701130382">
      <w:bodyDiv w:val="1"/>
      <w:marLeft w:val="0"/>
      <w:marRight w:val="0"/>
      <w:marTop w:val="0"/>
      <w:marBottom w:val="0"/>
      <w:divBdr>
        <w:top w:val="none" w:sz="0" w:space="0" w:color="auto"/>
        <w:left w:val="none" w:sz="0" w:space="0" w:color="auto"/>
        <w:bottom w:val="none" w:sz="0" w:space="0" w:color="auto"/>
        <w:right w:val="none" w:sz="0" w:space="0" w:color="auto"/>
      </w:divBdr>
    </w:div>
    <w:div w:id="1774662716">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 w:id="1978488596">
      <w:bodyDiv w:val="1"/>
      <w:marLeft w:val="0"/>
      <w:marRight w:val="0"/>
      <w:marTop w:val="0"/>
      <w:marBottom w:val="0"/>
      <w:divBdr>
        <w:top w:val="none" w:sz="0" w:space="0" w:color="auto"/>
        <w:left w:val="none" w:sz="0" w:space="0" w:color="auto"/>
        <w:bottom w:val="none" w:sz="0" w:space="0" w:color="auto"/>
        <w:right w:val="none" w:sz="0" w:space="0" w:color="auto"/>
      </w:divBdr>
    </w:div>
    <w:div w:id="212881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cursos.infodrogas.gub.uy/CIPA/Ponencias/301106-MMonteiro-Presidencia.pdf"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152B81-BB48-4B93-90A0-E9DDC9CD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72</Pages>
  <Words>15219</Words>
  <Characters>83710</Characters>
  <Application>Microsoft Office Word</Application>
  <DocSecurity>0</DocSecurity>
  <Lines>697</Lines>
  <Paragraphs>197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64</cp:revision>
  <dcterms:created xsi:type="dcterms:W3CDTF">2016-05-09T15:10:00Z</dcterms:created>
  <dcterms:modified xsi:type="dcterms:W3CDTF">2016-05-09T22:29:00Z</dcterms:modified>
</cp:coreProperties>
</file>