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 xml:space="preserve">ácidos grasos, fenoles totales y contenido de catequina y </w:t>
      </w:r>
      <w:proofErr w:type="spellStart"/>
      <w:r>
        <w:rPr>
          <w:lang w:val="es-ES"/>
        </w:rPr>
        <w:t>epicatequina</w:t>
      </w:r>
      <w:proofErr w:type="spellEnd"/>
      <w:r>
        <w:rPr>
          <w:lang w:val="es-ES"/>
        </w:rPr>
        <w:t>.</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t>
      </w:r>
      <w:proofErr w:type="spellStart"/>
      <w:r w:rsidR="00CA76A6">
        <w:rPr>
          <w:lang w:val="es-ES"/>
        </w:rPr>
        <w:t>Wilcoxon</w:t>
      </w:r>
      <w:proofErr w:type="spellEnd"/>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proofErr w:type="spellStart"/>
      <w:r>
        <w:rPr>
          <w:lang w:val="es-ES"/>
        </w:rPr>
        <w:t>Wilcoxon</w:t>
      </w:r>
      <w:proofErr w:type="spellEnd"/>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 xml:space="preserve">Para esto se ejecutaron test de </w:t>
      </w:r>
      <w:proofErr w:type="spellStart"/>
      <w:r>
        <w:rPr>
          <w:lang w:val="es-ES"/>
        </w:rPr>
        <w:t>Wilcoxon</w:t>
      </w:r>
      <w:proofErr w:type="spellEnd"/>
      <w:r>
        <w:rPr>
          <w:lang w:val="es-ES"/>
        </w:rPr>
        <w:t xml:space="preserve">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033738"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8778D8">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8778D8">
              <w:rPr>
                <w:i/>
                <w:noProof/>
                <w:sz w:val="18"/>
                <w:lang w:val="es-CO"/>
              </w:rPr>
              <w:t>2</w:t>
            </w:r>
            <w:r w:rsidRPr="009D39D9">
              <w:rPr>
                <w:i/>
                <w:sz w:val="18"/>
                <w:lang w:val="es-CO"/>
              </w:rPr>
              <w:fldChar w:fldCharType="end"/>
            </w:r>
            <w:r w:rsidRPr="009D39D9">
              <w:rPr>
                <w:i/>
                <w:sz w:val="18"/>
                <w:lang w:val="es-CO"/>
              </w:rPr>
              <w:t xml:space="preserve">. Distribución de p-valores para el test de </w:t>
            </w:r>
            <w:proofErr w:type="spellStart"/>
            <w:r w:rsidRPr="009D39D9">
              <w:rPr>
                <w:i/>
                <w:sz w:val="18"/>
                <w:lang w:val="es-CO"/>
              </w:rPr>
              <w:t>Wilcoxon</w:t>
            </w:r>
            <w:proofErr w:type="spellEnd"/>
            <w:r w:rsidRPr="009D39D9">
              <w:rPr>
                <w:i/>
                <w:sz w:val="18"/>
                <w:lang w:val="es-CO"/>
              </w:rPr>
              <w:t xml:space="preserve">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xml:space="preserve">, se realizaron test de </w:t>
      </w:r>
      <w:proofErr w:type="spellStart"/>
      <w:r w:rsidR="00FE6E7D">
        <w:rPr>
          <w:lang w:val="es-ES"/>
        </w:rPr>
        <w:t>Wilcoxon</w:t>
      </w:r>
      <w:proofErr w:type="spellEnd"/>
      <w:r w:rsidR="00FE6E7D">
        <w:rPr>
          <w:lang w:val="es-ES"/>
        </w:rPr>
        <w:t xml:space="preserve">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033738"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778D8">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778D8">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8778D8">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 xml:space="preserve">ara determinar si existen diferencias significativas se procedió a la ejecución del test de </w:t>
      </w:r>
      <w:proofErr w:type="spellStart"/>
      <w:r w:rsidR="004735DF">
        <w:rPr>
          <w:lang w:val="es-ES"/>
        </w:rPr>
        <w:t>Wilcoxon</w:t>
      </w:r>
      <w:proofErr w:type="spellEnd"/>
      <w:r w:rsidR="004735DF">
        <w:rPr>
          <w:lang w:val="es-ES"/>
        </w:rPr>
        <w:t>.</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033738"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778D8">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778D8">
              <w:rPr>
                <w:noProof/>
                <w:lang w:val="es-CO"/>
              </w:rPr>
              <w:t>7</w:t>
            </w:r>
            <w:r>
              <w:fldChar w:fldCharType="end"/>
            </w:r>
            <w:r w:rsidRPr="004735DF">
              <w:rPr>
                <w:lang w:val="es-CO"/>
              </w:rPr>
              <w:t xml:space="preserve">. Distribución de p-valores para el test de </w:t>
            </w:r>
            <w:proofErr w:type="spellStart"/>
            <w:r w:rsidRPr="004735DF">
              <w:rPr>
                <w:lang w:val="es-CO"/>
              </w:rPr>
              <w:t>Wilcoxon</w:t>
            </w:r>
            <w:proofErr w:type="spellEnd"/>
            <w:r w:rsidRPr="004735DF">
              <w:rPr>
                <w:lang w:val="es-CO"/>
              </w:rPr>
              <w:t xml:space="preserve">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033738"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8778D8">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8778D8">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8778D8">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033738"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12</w:t>
            </w:r>
            <w:r>
              <w:fldChar w:fldCharType="end"/>
            </w:r>
            <w:r w:rsidRPr="00AB7AA2">
              <w:rPr>
                <w:lang w:val="es-CO"/>
              </w:rPr>
              <w:t xml:space="preserve">. Distribución de p-valores para el test de </w:t>
            </w:r>
            <w:proofErr w:type="spellStart"/>
            <w:r w:rsidRPr="00AB7AA2">
              <w:rPr>
                <w:lang w:val="es-CO"/>
              </w:rPr>
              <w:t>Wilcoxon</w:t>
            </w:r>
            <w:proofErr w:type="spellEnd"/>
            <w:r w:rsidRPr="00AB7AA2">
              <w:rPr>
                <w:lang w:val="es-CO"/>
              </w:rPr>
              <w:t xml:space="preserve">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033738"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8778D8">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8778D8">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xml:space="preserve">, aunque se observa una mayor variabilidad en los datos (ver Figura 16), al realizar el test de </w:t>
      </w:r>
      <w:proofErr w:type="spellStart"/>
      <w:r>
        <w:rPr>
          <w:lang w:val="es-ES"/>
        </w:rPr>
        <w:t>Wilcoxon</w:t>
      </w:r>
      <w:proofErr w:type="spellEnd"/>
      <w:r>
        <w:rPr>
          <w:lang w:val="es-ES"/>
        </w:rPr>
        <w:t xml:space="preserve">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033738"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778D8">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778D8">
              <w:rPr>
                <w:noProof/>
                <w:lang w:val="es-CO"/>
              </w:rPr>
              <w:t>17</w:t>
            </w:r>
            <w:r>
              <w:fldChar w:fldCharType="end"/>
            </w:r>
            <w:r w:rsidRPr="00D94CC4">
              <w:rPr>
                <w:lang w:val="es-CO"/>
              </w:rPr>
              <w:t xml:space="preserve">. Distribución de p-valores para el test de </w:t>
            </w:r>
            <w:proofErr w:type="spellStart"/>
            <w:r w:rsidRPr="00D94CC4">
              <w:rPr>
                <w:lang w:val="es-CO"/>
              </w:rPr>
              <w:t>Wilcoxon</w:t>
            </w:r>
            <w:proofErr w:type="spellEnd"/>
            <w:r w:rsidRPr="00D94CC4">
              <w:rPr>
                <w:lang w:val="es-CO"/>
              </w:rPr>
              <w:t xml:space="preserve">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033738"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8778D8">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8778D8">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8778D8">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xml:space="preserve">, el cual presenta baja variación y el test de </w:t>
      </w:r>
      <w:proofErr w:type="spellStart"/>
      <w:r>
        <w:rPr>
          <w:lang w:val="es-CO"/>
        </w:rPr>
        <w:t>Wilcoxon</w:t>
      </w:r>
      <w:proofErr w:type="spellEnd"/>
      <w:r>
        <w:rPr>
          <w:lang w:val="es-CO"/>
        </w:rPr>
        <w:t>,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033738"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8778D8">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8778D8">
              <w:rPr>
                <w:noProof/>
                <w:lang w:val="es-CO"/>
              </w:rPr>
              <w:t>22</w:t>
            </w:r>
            <w:r>
              <w:fldChar w:fldCharType="end"/>
            </w:r>
            <w:r w:rsidRPr="00AA3200">
              <w:rPr>
                <w:lang w:val="es-CO"/>
              </w:rPr>
              <w:t xml:space="preserve">. Distribución de p-valores para el test de </w:t>
            </w:r>
            <w:proofErr w:type="spellStart"/>
            <w:r w:rsidRPr="00AA3200">
              <w:rPr>
                <w:lang w:val="es-CO"/>
              </w:rPr>
              <w:t>Wilcoxon</w:t>
            </w:r>
            <w:proofErr w:type="spellEnd"/>
            <w:r w:rsidRPr="00AA3200">
              <w:rPr>
                <w:lang w:val="es-CO"/>
              </w:rPr>
              <w:t xml:space="preserve">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033738"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8778D8">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8778D8">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778D8">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 xml:space="preserve">que los p-valores del test de </w:t>
      </w:r>
      <w:proofErr w:type="spellStart"/>
      <w:r>
        <w:rPr>
          <w:lang w:val="es-CO"/>
        </w:rPr>
        <w:t>Wilcoxon</w:t>
      </w:r>
      <w:proofErr w:type="spellEnd"/>
      <w:r>
        <w:rPr>
          <w:lang w:val="es-CO"/>
        </w:rPr>
        <w:t xml:space="preserve">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033738"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8778D8">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778D8">
              <w:rPr>
                <w:noProof/>
                <w:lang w:val="es-CO"/>
              </w:rPr>
              <w:t>27</w:t>
            </w:r>
            <w:r>
              <w:fldChar w:fldCharType="end"/>
            </w:r>
            <w:r w:rsidRPr="0022161F">
              <w:rPr>
                <w:lang w:val="es-CO"/>
              </w:rPr>
              <w:t xml:space="preserve">. Distribución de p-valores para el test de </w:t>
            </w:r>
            <w:proofErr w:type="spellStart"/>
            <w:r w:rsidRPr="0022161F">
              <w:rPr>
                <w:lang w:val="es-CO"/>
              </w:rPr>
              <w:t>Wilcoxon</w:t>
            </w:r>
            <w:proofErr w:type="spellEnd"/>
            <w:r w:rsidRPr="0022161F">
              <w:rPr>
                <w:lang w:val="es-CO"/>
              </w:rPr>
              <w:t xml:space="preserve">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033738"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8778D8">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8778D8">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8778D8">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w:t>
      </w:r>
      <w:proofErr w:type="spellStart"/>
      <w:r>
        <w:rPr>
          <w:lang w:val="es-CO"/>
        </w:rPr>
        <w:t>catequina</w:t>
      </w:r>
      <w:proofErr w:type="spellEnd"/>
      <w:r>
        <w:rPr>
          <w:lang w:val="es-CO"/>
        </w:rPr>
        <w:t xml:space="preserve"> y </w:t>
      </w:r>
      <w:proofErr w:type="spellStart"/>
      <w:r>
        <w:rPr>
          <w:lang w:val="es-CO"/>
        </w:rPr>
        <w:t>epicatequina</w:t>
      </w:r>
      <w:proofErr w:type="spellEnd"/>
      <w:r>
        <w:rPr>
          <w:lang w:val="es-CO"/>
        </w:rPr>
        <w:t xml:space="preserve">. </w:t>
      </w:r>
      <w:r w:rsidR="009B26E8">
        <w:rPr>
          <w:lang w:val="es-CO"/>
        </w:rPr>
        <w:t xml:space="preserve">Para el contenido de </w:t>
      </w:r>
      <w:proofErr w:type="spellStart"/>
      <w:r w:rsidR="009B26E8">
        <w:rPr>
          <w:lang w:val="es-CO"/>
        </w:rPr>
        <w:t>catequina</w:t>
      </w:r>
      <w:proofErr w:type="spellEnd"/>
      <w:r w:rsidR="009B26E8">
        <w:rPr>
          <w:lang w:val="es-CO"/>
        </w:rPr>
        <w:t xml:space="preserve"> en las etapas pre y post fermentación se puede observar en la Figura 31 que en términos generales para la mayoría de clones/repeticiones evaluadas el contenido de </w:t>
      </w:r>
      <w:proofErr w:type="spellStart"/>
      <w:r w:rsidR="009B26E8">
        <w:rPr>
          <w:lang w:val="es-CO"/>
        </w:rPr>
        <w:t>catequina</w:t>
      </w:r>
      <w:proofErr w:type="spellEnd"/>
      <w:r w:rsidR="009B26E8">
        <w:rPr>
          <w:lang w:val="es-CO"/>
        </w:rPr>
        <w:t xml:space="preserve"> tiende a reducir posterior al proceso de fermentación. Para verificar sí dichas diferencias son estadísticamente significativas se realizó un test de </w:t>
      </w:r>
      <w:proofErr w:type="spellStart"/>
      <w:r w:rsidR="009B26E8">
        <w:rPr>
          <w:lang w:val="es-CO"/>
        </w:rPr>
        <w:t>Wilcoxon</w:t>
      </w:r>
      <w:proofErr w:type="spellEnd"/>
      <w:r w:rsidR="009B26E8">
        <w:rPr>
          <w:lang w:val="es-CO"/>
        </w:rPr>
        <w:t xml:space="preserve">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033738"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8778D8">
              <w:rPr>
                <w:noProof/>
                <w:lang w:val="es-CO"/>
              </w:rPr>
              <w:t>31</w:t>
            </w:r>
            <w:r>
              <w:fldChar w:fldCharType="end"/>
            </w:r>
            <w:r w:rsidRPr="009A39C3">
              <w:rPr>
                <w:lang w:val="es-CO"/>
              </w:rPr>
              <w:t xml:space="preserve">. </w:t>
            </w:r>
            <w:proofErr w:type="spellStart"/>
            <w:r w:rsidRPr="009A39C3">
              <w:rPr>
                <w:lang w:val="es-CO"/>
              </w:rPr>
              <w:t>Catequina</w:t>
            </w:r>
            <w:proofErr w:type="spellEnd"/>
            <w:r w:rsidRPr="009A39C3">
              <w:rPr>
                <w:lang w:val="es-CO"/>
              </w:rPr>
              <w:t xml:space="preserve">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8778D8">
              <w:rPr>
                <w:noProof/>
                <w:lang w:val="es-CO"/>
              </w:rPr>
              <w:t>32</w:t>
            </w:r>
            <w:r>
              <w:fldChar w:fldCharType="end"/>
            </w:r>
            <w:r w:rsidRPr="0017665D">
              <w:rPr>
                <w:lang w:val="es-CO"/>
              </w:rPr>
              <w:t xml:space="preserve">. Distribución de p-valores para el test de </w:t>
            </w:r>
            <w:proofErr w:type="spellStart"/>
            <w:r w:rsidRPr="0017665D">
              <w:rPr>
                <w:lang w:val="es-CO"/>
              </w:rPr>
              <w:t>Wilcoxon</w:t>
            </w:r>
            <w:proofErr w:type="spellEnd"/>
            <w:r w:rsidRPr="0017665D">
              <w:rPr>
                <w:lang w:val="es-CO"/>
              </w:rPr>
              <w:t xml:space="preserve"> para evaluar diferencias significativas en el contenido de </w:t>
            </w:r>
            <w:proofErr w:type="spellStart"/>
            <w:r w:rsidRPr="0017665D">
              <w:rPr>
                <w:lang w:val="es-CO"/>
              </w:rPr>
              <w:t>catequina</w:t>
            </w:r>
            <w:proofErr w:type="spellEnd"/>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033738"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8778D8">
              <w:rPr>
                <w:noProof/>
                <w:lang w:val="es-CO"/>
              </w:rPr>
              <w:t>33</w:t>
            </w:r>
            <w:r>
              <w:fldChar w:fldCharType="end"/>
            </w:r>
            <w:r w:rsidRPr="00715A54">
              <w:rPr>
                <w:lang w:val="es-CO"/>
              </w:rPr>
              <w:t xml:space="preserve">. Diferencia en el contenido de </w:t>
            </w:r>
            <w:proofErr w:type="spellStart"/>
            <w:r w:rsidRPr="00715A54">
              <w:rPr>
                <w:lang w:val="es-CO"/>
              </w:rPr>
              <w:t>catequina</w:t>
            </w:r>
            <w:proofErr w:type="spellEnd"/>
            <w:r w:rsidRPr="00715A54">
              <w:rPr>
                <w:lang w:val="es-CO"/>
              </w:rPr>
              <w:t xml:space="preserve">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8778D8">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 xml:space="preserve">-Wallis para evaluar diferencias significativas en el contenido de </w:t>
            </w:r>
            <w:proofErr w:type="spellStart"/>
            <w:r w:rsidRPr="004C57B6">
              <w:rPr>
                <w:lang w:val="es-CO"/>
              </w:rPr>
              <w:t>catequina</w:t>
            </w:r>
            <w:proofErr w:type="spellEnd"/>
            <w:r w:rsidRPr="004C57B6">
              <w:rPr>
                <w:lang w:val="es-CO"/>
              </w:rPr>
              <w:t xml:space="preserve">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 xml:space="preserve">se identifica que los clones con reducciones más abruptas en el contenido de </w:t>
      </w:r>
      <w:proofErr w:type="spellStart"/>
      <w:r w:rsidR="00E17E84">
        <w:rPr>
          <w:lang w:val="es-CO"/>
        </w:rPr>
        <w:t>catequina</w:t>
      </w:r>
      <w:proofErr w:type="spellEnd"/>
      <w:r w:rsidR="00E17E84">
        <w:rPr>
          <w:lang w:val="es-CO"/>
        </w:rPr>
        <w:t xml:space="preserve">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8778D8">
        <w:rPr>
          <w:noProof/>
          <w:lang w:val="es-CO"/>
        </w:rPr>
        <w:t>35</w:t>
      </w:r>
      <w:r>
        <w:fldChar w:fldCharType="end"/>
      </w:r>
      <w:r w:rsidRPr="00553F65">
        <w:rPr>
          <w:lang w:val="es-CO"/>
        </w:rPr>
        <w:t xml:space="preserve">. Diferencia en el contenido de </w:t>
      </w:r>
      <w:proofErr w:type="spellStart"/>
      <w:r w:rsidRPr="00553F65">
        <w:rPr>
          <w:lang w:val="es-CO"/>
        </w:rPr>
        <w:t>catequina</w:t>
      </w:r>
      <w:proofErr w:type="spellEnd"/>
      <w:r w:rsidRPr="00553F65">
        <w:rPr>
          <w:lang w:val="es-CO"/>
        </w:rPr>
        <w:t xml:space="preserve"> por zona y clon</w:t>
      </w:r>
    </w:p>
    <w:p w14:paraId="6EFEE4E0" w14:textId="448DA816" w:rsidR="00553F65" w:rsidRDefault="00FD35CF" w:rsidP="00C80DD7">
      <w:pPr>
        <w:keepNext/>
        <w:jc w:val="both"/>
        <w:rPr>
          <w:lang w:val="es-CO"/>
        </w:rPr>
      </w:pPr>
      <w:r>
        <w:rPr>
          <w:lang w:val="es-CO"/>
        </w:rPr>
        <w:t xml:space="preserve">Evaluando el contenido de </w:t>
      </w:r>
      <w:proofErr w:type="spellStart"/>
      <w:r>
        <w:rPr>
          <w:lang w:val="es-CO"/>
        </w:rPr>
        <w:t>e</w:t>
      </w:r>
      <w:r w:rsidR="00451F88" w:rsidRPr="00451F88">
        <w:rPr>
          <w:lang w:val="es-CO"/>
        </w:rPr>
        <w:t>picatequina</w:t>
      </w:r>
      <w:proofErr w:type="spellEnd"/>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t>
      </w:r>
      <w:proofErr w:type="spellStart"/>
      <w:r w:rsidR="004A4DA9">
        <w:rPr>
          <w:lang w:val="es-CO"/>
        </w:rPr>
        <w:t>Wilcoxon</w:t>
      </w:r>
      <w:proofErr w:type="spellEnd"/>
      <w:r w:rsidR="004A4DA9">
        <w:rPr>
          <w:lang w:val="es-CO"/>
        </w:rPr>
        <w:t xml:space="preserve">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033738"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8778D8">
              <w:rPr>
                <w:noProof/>
                <w:lang w:val="es-CO"/>
              </w:rPr>
              <w:t>36</w:t>
            </w:r>
            <w:r>
              <w:fldChar w:fldCharType="end"/>
            </w:r>
            <w:r w:rsidRPr="00E77711">
              <w:rPr>
                <w:lang w:val="es-CO"/>
              </w:rPr>
              <w:t xml:space="preserve">. </w:t>
            </w:r>
            <w:proofErr w:type="spellStart"/>
            <w:r w:rsidRPr="00E77711">
              <w:rPr>
                <w:lang w:val="es-CO"/>
              </w:rPr>
              <w:t>Epicatequina</w:t>
            </w:r>
            <w:proofErr w:type="spellEnd"/>
            <w:r w:rsidRPr="00E77711">
              <w:rPr>
                <w:lang w:val="es-CO"/>
              </w:rPr>
              <w:t xml:space="preserve">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8778D8">
              <w:rPr>
                <w:noProof/>
                <w:lang w:val="es-CO"/>
              </w:rPr>
              <w:t>37</w:t>
            </w:r>
            <w:r>
              <w:fldChar w:fldCharType="end"/>
            </w:r>
            <w:r w:rsidRPr="00552E1C">
              <w:rPr>
                <w:lang w:val="es-CO"/>
              </w:rPr>
              <w:t xml:space="preserve">. Distribución de p-valores para el test de </w:t>
            </w:r>
            <w:proofErr w:type="spellStart"/>
            <w:r w:rsidRPr="00552E1C">
              <w:rPr>
                <w:lang w:val="es-CO"/>
              </w:rPr>
              <w:t>Wilcoxon</w:t>
            </w:r>
            <w:proofErr w:type="spellEnd"/>
            <w:r w:rsidRPr="00552E1C">
              <w:rPr>
                <w:lang w:val="es-CO"/>
              </w:rPr>
              <w:t xml:space="preserve"> para evaluar diferencias significativas en el contenido de </w:t>
            </w:r>
            <w:proofErr w:type="spellStart"/>
            <w:r w:rsidRPr="00552E1C">
              <w:rPr>
                <w:lang w:val="es-CO"/>
              </w:rPr>
              <w:t>epicatequina</w:t>
            </w:r>
            <w:proofErr w:type="spellEnd"/>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w:t>
      </w:r>
      <w:proofErr w:type="spellStart"/>
      <w:r w:rsidR="005E0846">
        <w:rPr>
          <w:lang w:val="es-CO"/>
        </w:rPr>
        <w:t>epicatequina</w:t>
      </w:r>
      <w:proofErr w:type="spellEnd"/>
      <w:r w:rsidR="005E0846">
        <w:rPr>
          <w:lang w:val="es-CO"/>
        </w:rPr>
        <w:t xml:space="preserve"> pre y post fermentación están por encima de cero excepto para un clon. Adicional a esto el departamento del Huila es el que presenta las reducciones más altas en contenido de </w:t>
      </w:r>
      <w:proofErr w:type="spellStart"/>
      <w:r w:rsidR="005E0846">
        <w:rPr>
          <w:lang w:val="es-CO"/>
        </w:rPr>
        <w:t>epicatequina</w:t>
      </w:r>
      <w:proofErr w:type="spellEnd"/>
      <w:r w:rsidR="005E0846">
        <w:rPr>
          <w:lang w:val="es-CO"/>
        </w:rPr>
        <w:t xml:space="preserve">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033738"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778D8">
              <w:rPr>
                <w:noProof/>
                <w:lang w:val="es-CO"/>
              </w:rPr>
              <w:t>38</w:t>
            </w:r>
            <w:r>
              <w:fldChar w:fldCharType="end"/>
            </w:r>
            <w:r w:rsidRPr="004F0262">
              <w:rPr>
                <w:lang w:val="es-CO"/>
              </w:rPr>
              <w:t xml:space="preserve">. Diferencia en el contenido de </w:t>
            </w:r>
            <w:proofErr w:type="spellStart"/>
            <w:r w:rsidRPr="004F0262">
              <w:rPr>
                <w:lang w:val="es-CO"/>
              </w:rPr>
              <w:t>epicatequina</w:t>
            </w:r>
            <w:proofErr w:type="spellEnd"/>
            <w:r w:rsidRPr="004F0262">
              <w:rPr>
                <w:lang w:val="es-CO"/>
              </w:rPr>
              <w:t xml:space="preserve">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778D8">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 xml:space="preserve">-Wallis para evaluar diferencias significativas en el contenido de </w:t>
            </w:r>
            <w:proofErr w:type="spellStart"/>
            <w:r w:rsidRPr="004F0262">
              <w:rPr>
                <w:lang w:val="es-CO"/>
              </w:rPr>
              <w:t>epicatequina</w:t>
            </w:r>
            <w:proofErr w:type="spellEnd"/>
            <w:r w:rsidRPr="004F0262">
              <w:rPr>
                <w:lang w:val="es-CO"/>
              </w:rPr>
              <w:t xml:space="preserve">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w:t>
      </w:r>
      <w:proofErr w:type="spellStart"/>
      <w:r>
        <w:rPr>
          <w:lang w:val="es-CO"/>
        </w:rPr>
        <w:t>epicatequina</w:t>
      </w:r>
      <w:proofErr w:type="spellEnd"/>
      <w:r>
        <w:rPr>
          <w:lang w:val="es-CO"/>
        </w:rPr>
        <w:t xml:space="preserve">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8778D8">
        <w:rPr>
          <w:noProof/>
          <w:lang w:val="es-CO"/>
        </w:rPr>
        <w:t>40</w:t>
      </w:r>
      <w:r>
        <w:fldChar w:fldCharType="end"/>
      </w:r>
      <w:r w:rsidRPr="00592EB2">
        <w:rPr>
          <w:lang w:val="es-CO"/>
        </w:rPr>
        <w:t xml:space="preserve">. Diferencia en el contenido de </w:t>
      </w:r>
      <w:proofErr w:type="spellStart"/>
      <w:r w:rsidRPr="00592EB2">
        <w:rPr>
          <w:lang w:val="es-CO"/>
        </w:rPr>
        <w:t>epicatequina</w:t>
      </w:r>
      <w:proofErr w:type="spellEnd"/>
      <w:r w:rsidRPr="00592EB2">
        <w:rPr>
          <w:lang w:val="es-CO"/>
        </w:rPr>
        <w:t xml:space="preserve">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t>
      </w:r>
      <w:proofErr w:type="spellStart"/>
      <w:r w:rsidR="00894BDA">
        <w:rPr>
          <w:lang w:val="es-CO"/>
        </w:rPr>
        <w:t>Wilcoxon</w:t>
      </w:r>
      <w:proofErr w:type="spellEnd"/>
      <w:r w:rsidR="00894BDA">
        <w:rPr>
          <w:lang w:val="es-CO"/>
        </w:rPr>
        <w:t xml:space="preserve">,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033738"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42</w:t>
            </w:r>
            <w:r>
              <w:fldChar w:fldCharType="end"/>
            </w:r>
            <w:r w:rsidRPr="00436303">
              <w:rPr>
                <w:lang w:val="es-CO"/>
              </w:rPr>
              <w:t xml:space="preserve">. Distribución de p-valores para el test de </w:t>
            </w:r>
            <w:proofErr w:type="spellStart"/>
            <w:r w:rsidRPr="00436303">
              <w:rPr>
                <w:lang w:val="es-CO"/>
              </w:rPr>
              <w:t>Wilcoxon</w:t>
            </w:r>
            <w:proofErr w:type="spellEnd"/>
            <w:r w:rsidRPr="00436303">
              <w:rPr>
                <w:lang w:val="es-CO"/>
              </w:rPr>
              <w:t xml:space="preserve">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033738"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8778D8">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xml:space="preserve">, </w:t>
      </w:r>
      <w:proofErr w:type="spellStart"/>
      <w:r w:rsidR="00241AF4">
        <w:rPr>
          <w:lang w:val="es-CO"/>
        </w:rPr>
        <w:t>catequina</w:t>
      </w:r>
      <w:proofErr w:type="spellEnd"/>
      <w:r w:rsidR="00241AF4">
        <w:rPr>
          <w:lang w:val="es-CO"/>
        </w:rPr>
        <w:t xml:space="preserve"> y </w:t>
      </w:r>
      <w:proofErr w:type="spellStart"/>
      <w:r w:rsidR="00241AF4">
        <w:rPr>
          <w:lang w:val="es-CO"/>
        </w:rPr>
        <w:t>epicatequina</w:t>
      </w:r>
      <w:proofErr w:type="spellEnd"/>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 xml:space="preserve">tividad antioxidante, contenido de catequina y </w:t>
      </w:r>
      <w:proofErr w:type="spellStart"/>
      <w:r>
        <w:rPr>
          <w:lang w:val="es-ES"/>
        </w:rPr>
        <w:t>epicatequina</w:t>
      </w:r>
      <w:proofErr w:type="spellEnd"/>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w:t>
      </w:r>
      <w:proofErr w:type="spellStart"/>
      <w:r w:rsidR="00A14940">
        <w:rPr>
          <w:lang w:val="es-ES"/>
        </w:rPr>
        <w:t>Spearman</w:t>
      </w:r>
      <w:proofErr w:type="spellEnd"/>
      <w:r w:rsidR="00A14940">
        <w:rPr>
          <w:lang w:val="es-ES"/>
        </w:rPr>
        <w:t>,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 xml:space="preserve">En la Figura 46 se muestra la matriz de correlaciones de </w:t>
      </w:r>
      <w:proofErr w:type="spellStart"/>
      <w:r>
        <w:rPr>
          <w:lang w:val="es-ES"/>
        </w:rPr>
        <w:t>Spearman</w:t>
      </w:r>
      <w:proofErr w:type="spellEnd"/>
      <w:r>
        <w:rPr>
          <w:lang w:val="es-ES"/>
        </w:rPr>
        <w:t xml:space="preserve">, identificando grupos de variables que se relacionan de manera positiva como el contenido de fenoles totales, catequina porcentaje de aceite y el índice de grano, por otro lado, se encuentran variables como la actividad antioxidante, la </w:t>
      </w:r>
      <w:proofErr w:type="spellStart"/>
      <w:r>
        <w:rPr>
          <w:lang w:val="es-ES"/>
        </w:rPr>
        <w:t>epicatequina</w:t>
      </w:r>
      <w:proofErr w:type="spellEnd"/>
      <w:r>
        <w:rPr>
          <w:lang w:val="es-ES"/>
        </w:rPr>
        <w:t>,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8778D8">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8778D8">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8778D8">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 xml:space="preserve">contenido de </w:t>
      </w:r>
      <w:proofErr w:type="spellStart"/>
      <w:r w:rsidR="00161E80">
        <w:rPr>
          <w:lang w:val="es-ES"/>
        </w:rPr>
        <w:t>epicatequina</w:t>
      </w:r>
      <w:proofErr w:type="spellEnd"/>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w:t>
      </w:r>
      <w:proofErr w:type="gramStart"/>
      <w:r w:rsidR="00161E80">
        <w:rPr>
          <w:lang w:val="es-ES"/>
        </w:rPr>
        <w:t>los ácidos oleico</w:t>
      </w:r>
      <w:r>
        <w:rPr>
          <w:lang w:val="es-ES"/>
        </w:rPr>
        <w:t xml:space="preserve"> [positivo</w:t>
      </w:r>
      <w:proofErr w:type="gramEnd"/>
      <w:r>
        <w:rPr>
          <w:lang w:val="es-ES"/>
        </w:rPr>
        <w:t>]</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033738"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50</w:t>
            </w:r>
            <w:r>
              <w:fldChar w:fldCharType="end"/>
            </w:r>
            <w:r w:rsidRPr="00460C92">
              <w:rPr>
                <w:lang w:val="es-CO"/>
              </w:rPr>
              <w:t>. Circulo de correlaciones para variables – Componentes principales 1 y 3</w:t>
            </w:r>
          </w:p>
        </w:tc>
      </w:tr>
      <w:tr w:rsidR="00460C92" w:rsidRPr="00033738"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proofErr w:type="spellStart"/>
            <w:r>
              <w:t>Figura</w:t>
            </w:r>
            <w:proofErr w:type="spellEnd"/>
            <w:r>
              <w:t xml:space="preserve"> </w:t>
            </w:r>
            <w:r w:rsidR="007D6876">
              <w:fldChar w:fldCharType="begin"/>
            </w:r>
            <w:r w:rsidR="007D6876">
              <w:instrText xml:space="preserve"> SEQ Ilustración \* ARABIC </w:instrText>
            </w:r>
            <w:r w:rsidR="007D6876">
              <w:fldChar w:fldCharType="separate"/>
            </w:r>
            <w:r w:rsidR="008778D8">
              <w:rPr>
                <w:noProof/>
              </w:rPr>
              <w:t>52</w:t>
            </w:r>
            <w:r w:rsidR="007D6876">
              <w:rPr>
                <w:noProof/>
              </w:rPr>
              <w:fldChar w:fldCharType="end"/>
            </w:r>
            <w:r>
              <w:t xml:space="preserve">. </w:t>
            </w:r>
            <w:proofErr w:type="spellStart"/>
            <w:r>
              <w:t>Biplot</w:t>
            </w:r>
            <w:proofErr w:type="spellEnd"/>
            <w:r>
              <w:t xml:space="preserve"> </w:t>
            </w:r>
            <w:proofErr w:type="spellStart"/>
            <w:r>
              <w:t>dimensiones</w:t>
            </w:r>
            <w:proofErr w:type="spellEnd"/>
            <w:r>
              <w:t xml:space="preserve">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proofErr w:type="spellStart"/>
            <w:r>
              <w:t>Figura</w:t>
            </w:r>
            <w:proofErr w:type="spellEnd"/>
            <w:r>
              <w:t xml:space="preserve"> </w:t>
            </w:r>
            <w:r w:rsidR="007D6876">
              <w:fldChar w:fldCharType="begin"/>
            </w:r>
            <w:r w:rsidR="007D6876">
              <w:instrText xml:space="preserve"> SEQ Ilustración \* ARABIC </w:instrText>
            </w:r>
            <w:r w:rsidR="007D6876">
              <w:fldChar w:fldCharType="separate"/>
            </w:r>
            <w:r w:rsidR="008778D8">
              <w:rPr>
                <w:noProof/>
              </w:rPr>
              <w:t>53</w:t>
            </w:r>
            <w:r w:rsidR="007D6876">
              <w:rPr>
                <w:noProof/>
              </w:rPr>
              <w:fldChar w:fldCharType="end"/>
            </w:r>
            <w:r>
              <w:t xml:space="preserve">. </w:t>
            </w:r>
            <w:proofErr w:type="spellStart"/>
            <w:r>
              <w:t>Biplot</w:t>
            </w:r>
            <w:proofErr w:type="spellEnd"/>
            <w:r>
              <w:t xml:space="preserve"> </w:t>
            </w:r>
            <w:proofErr w:type="spellStart"/>
            <w:r>
              <w:t>dimensiones</w:t>
            </w:r>
            <w:proofErr w:type="spellEnd"/>
            <w:r>
              <w:t xml:space="preserve">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proofErr w:type="spellStart"/>
            <w:r>
              <w:t>Figura</w:t>
            </w:r>
            <w:proofErr w:type="spellEnd"/>
            <w:r>
              <w:t xml:space="preserve"> </w:t>
            </w:r>
            <w:r w:rsidR="007D6876">
              <w:fldChar w:fldCharType="begin"/>
            </w:r>
            <w:r w:rsidR="007D6876">
              <w:instrText xml:space="preserve"> SEQ Ilustración \* ARABIC </w:instrText>
            </w:r>
            <w:r w:rsidR="007D6876">
              <w:fldChar w:fldCharType="separate"/>
            </w:r>
            <w:r w:rsidR="008778D8">
              <w:rPr>
                <w:noProof/>
              </w:rPr>
              <w:t>54</w:t>
            </w:r>
            <w:r w:rsidR="007D6876">
              <w:rPr>
                <w:noProof/>
              </w:rPr>
              <w:fldChar w:fldCharType="end"/>
            </w:r>
            <w:r>
              <w:t xml:space="preserve">. </w:t>
            </w:r>
            <w:proofErr w:type="spellStart"/>
            <w:r>
              <w:t>Biplot</w:t>
            </w:r>
            <w:proofErr w:type="spellEnd"/>
            <w:r>
              <w:t xml:space="preserve"> </w:t>
            </w:r>
            <w:proofErr w:type="spellStart"/>
            <w:r>
              <w:t>dimensiones</w:t>
            </w:r>
            <w:proofErr w:type="spellEnd"/>
            <w:r>
              <w:t xml:space="preserve">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008778D8">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w:t>
      </w:r>
      <w:proofErr w:type="spellStart"/>
      <w:r>
        <w:rPr>
          <w:lang w:val="es-ES"/>
        </w:rPr>
        <w:t>epicatequina</w:t>
      </w:r>
      <w:proofErr w:type="spellEnd"/>
      <w:r>
        <w:rPr>
          <w:lang w:val="es-ES"/>
        </w:rPr>
        <w:t xml:space="preserve">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p>
    <w:p w14:paraId="758C9C66" w14:textId="77777777" w:rsidR="001208E2" w:rsidRDefault="00B82C91" w:rsidP="0019366E">
      <w:pPr>
        <w:pStyle w:val="Heading1"/>
        <w:jc w:val="both"/>
        <w:rPr>
          <w:lang w:val="es-ES"/>
        </w:rPr>
      </w:pPr>
      <w:r>
        <w:rPr>
          <w:lang w:val="es-ES"/>
        </w:rPr>
        <w:t>Objetivo 3</w:t>
      </w:r>
    </w:p>
    <w:p w14:paraId="2E58F2A3" w14:textId="77777777" w:rsidR="001208E2" w:rsidRDefault="001208E2" w:rsidP="0019366E">
      <w:pPr>
        <w:jc w:val="both"/>
        <w:rPr>
          <w:lang w:val="es-ES"/>
        </w:rPr>
      </w:pPr>
    </w:p>
    <w:p w14:paraId="75E0537D" w14:textId="5B629E67" w:rsidR="0064032F" w:rsidRDefault="005C07E9" w:rsidP="0019366E">
      <w:pPr>
        <w:jc w:val="both"/>
        <w:rPr>
          <w:lang w:val="es-ES"/>
        </w:rPr>
      </w:pPr>
      <w:r>
        <w:rPr>
          <w:lang w:val="es-ES"/>
        </w:rPr>
        <w:t>Con el fin de identificar los principales compuestos que caracterizan los olores y sabores del cacao para los clones evaluados se realizó un Análisis de Correspondencias Múltiple</w:t>
      </w:r>
      <w:r w:rsidR="0064032F">
        <w:rPr>
          <w:lang w:val="es-ES"/>
        </w:rPr>
        <w:t xml:space="preserve"> (MCA, por sus siglas en inglés)</w:t>
      </w:r>
      <w:r>
        <w:rPr>
          <w:lang w:val="es-ES"/>
        </w:rPr>
        <w:t>, utilizando como variables de entrada los diferentes compuestos medidos a través del análisis organoléptico, donde se midieron 49 tipos de compuestos volátiles distintos.</w:t>
      </w:r>
    </w:p>
    <w:p w14:paraId="442E7A31" w14:textId="77777777" w:rsidR="0064032F" w:rsidRDefault="0064032F" w:rsidP="0019366E">
      <w:pPr>
        <w:jc w:val="both"/>
        <w:rPr>
          <w:lang w:val="es-ES"/>
        </w:rPr>
      </w:pPr>
    </w:p>
    <w:p w14:paraId="25611B2D" w14:textId="586853A8" w:rsidR="00B82C91" w:rsidRDefault="0064032F" w:rsidP="0019366E">
      <w:pPr>
        <w:jc w:val="both"/>
        <w:rPr>
          <w:lang w:val="es-ES"/>
        </w:rPr>
      </w:pPr>
      <w:r>
        <w:rPr>
          <w:lang w:val="es-ES"/>
        </w:rPr>
        <w:t>Previo al análisis se identificaron aquellos compuestos volátiles que se encontraban presentes en todos los clones y por ende no aportaban rasgos de variación útiles, estos fueron:</w:t>
      </w:r>
    </w:p>
    <w:p w14:paraId="7D0232EB" w14:textId="77777777" w:rsidR="0064032F" w:rsidRDefault="0064032F" w:rsidP="0019366E">
      <w:pPr>
        <w:jc w:val="both"/>
        <w:rPr>
          <w:lang w:val="es-ES"/>
        </w:rPr>
      </w:pPr>
    </w:p>
    <w:p w14:paraId="355E263B" w14:textId="40EFCC22" w:rsidR="0064032F" w:rsidRDefault="0064032F" w:rsidP="0064032F">
      <w:pPr>
        <w:pStyle w:val="ListParagraph"/>
        <w:numPr>
          <w:ilvl w:val="0"/>
          <w:numId w:val="4"/>
        </w:numPr>
        <w:jc w:val="both"/>
        <w:rPr>
          <w:lang w:val="es-ES"/>
        </w:rPr>
      </w:pPr>
      <w:r w:rsidRPr="0064032F">
        <w:rPr>
          <w:lang w:val="es-ES"/>
        </w:rPr>
        <w:t>Ácido acético</w:t>
      </w:r>
    </w:p>
    <w:p w14:paraId="4A770460" w14:textId="1D6371BA" w:rsidR="0064032F" w:rsidRDefault="0064032F" w:rsidP="0064032F">
      <w:pPr>
        <w:pStyle w:val="ListParagraph"/>
        <w:numPr>
          <w:ilvl w:val="0"/>
          <w:numId w:val="4"/>
        </w:numPr>
        <w:jc w:val="both"/>
        <w:rPr>
          <w:lang w:val="es-ES"/>
        </w:rPr>
      </w:pPr>
      <w:r w:rsidRPr="0064032F">
        <w:rPr>
          <w:lang w:val="es-ES"/>
        </w:rPr>
        <w:t>2,3 Butaneidol</w:t>
      </w:r>
    </w:p>
    <w:p w14:paraId="0B0EB854" w14:textId="27066278" w:rsidR="0064032F" w:rsidRDefault="0064032F" w:rsidP="0064032F">
      <w:pPr>
        <w:pStyle w:val="ListParagraph"/>
        <w:numPr>
          <w:ilvl w:val="0"/>
          <w:numId w:val="4"/>
        </w:numPr>
        <w:jc w:val="both"/>
        <w:rPr>
          <w:lang w:val="es-ES"/>
        </w:rPr>
      </w:pPr>
      <w:r w:rsidRPr="0064032F">
        <w:rPr>
          <w:lang w:val="es-ES"/>
        </w:rPr>
        <w:t>Acetofenona</w:t>
      </w:r>
    </w:p>
    <w:p w14:paraId="3AFC6492" w14:textId="77777777" w:rsidR="0064032F" w:rsidRDefault="0064032F" w:rsidP="0064032F">
      <w:pPr>
        <w:jc w:val="both"/>
        <w:rPr>
          <w:lang w:val="es-ES"/>
        </w:rPr>
      </w:pPr>
    </w:p>
    <w:p w14:paraId="2AEE43B1" w14:textId="09EDB540" w:rsidR="0064032F" w:rsidRDefault="0064032F" w:rsidP="0064032F">
      <w:pPr>
        <w:jc w:val="both"/>
        <w:rPr>
          <w:lang w:val="es-ES"/>
        </w:rPr>
      </w:pPr>
      <w:r>
        <w:rPr>
          <w:lang w:val="es-ES"/>
        </w:rPr>
        <w:t>Posteriormente se realizó el MCA</w:t>
      </w:r>
      <w:r w:rsidR="00A10A86">
        <w:rPr>
          <w:lang w:val="es-ES"/>
        </w:rPr>
        <w:t>, encontrando que para 7 ejes principales se logra alcanzar un porcentaje de varianza explicada del 60.1% con respecto al total</w:t>
      </w:r>
      <w:r w:rsidR="000B7604">
        <w:rPr>
          <w:lang w:val="es-ES"/>
        </w:rPr>
        <w:t>. Este</w:t>
      </w:r>
      <w:r w:rsidR="00A10A86">
        <w:rPr>
          <w:lang w:val="es-ES"/>
        </w:rPr>
        <w:t xml:space="preserve"> es un indicador de reducidas relaciones entre los compuestos volátiles</w:t>
      </w:r>
      <w:r w:rsidR="000B7604">
        <w:rPr>
          <w:lang w:val="es-ES"/>
        </w:rPr>
        <w:t xml:space="preserve">, ya que la variación en los datos se distribuye </w:t>
      </w:r>
      <w:r w:rsidR="000B7604">
        <w:rPr>
          <w:lang w:val="es-ES"/>
        </w:rPr>
        <w:lastRenderedPageBreak/>
        <w:t>por un elevado número de ejes principales, no obstante, inferior al número de compuestos volátiles medidos en total</w:t>
      </w:r>
      <w:r w:rsidR="008E273B">
        <w:rPr>
          <w:lang w:val="es-ES"/>
        </w:rPr>
        <w:t xml:space="preserve"> (Figura 56)</w:t>
      </w:r>
      <w:r w:rsidR="00A10A86">
        <w:rPr>
          <w:lang w:val="es-ES"/>
        </w:rPr>
        <w:t>.</w:t>
      </w:r>
    </w:p>
    <w:p w14:paraId="58A8A2A0" w14:textId="77777777" w:rsidR="000B7604" w:rsidRDefault="000B7604" w:rsidP="0064032F">
      <w:pPr>
        <w:jc w:val="both"/>
        <w:rPr>
          <w:lang w:val="es-ES"/>
        </w:rPr>
      </w:pPr>
    </w:p>
    <w:p w14:paraId="30B54E42" w14:textId="77777777" w:rsidR="008E273B" w:rsidRDefault="000B7604" w:rsidP="008E273B">
      <w:pPr>
        <w:keepNext/>
        <w:jc w:val="center"/>
      </w:pPr>
      <w:r>
        <w:rPr>
          <w:noProof/>
          <w:lang w:val="es-CO" w:eastAsia="es-CO"/>
        </w:rPr>
        <w:drawing>
          <wp:inline distT="0" distB="0" distL="0" distR="0" wp14:anchorId="2F7C7DE3" wp14:editId="4BF587FA">
            <wp:extent cx="2971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a_eigenVal.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5873AF9C" w14:textId="7609746E" w:rsidR="000B7604" w:rsidRPr="008E273B" w:rsidRDefault="008E273B" w:rsidP="008E273B">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sidR="008778D8">
        <w:rPr>
          <w:noProof/>
          <w:lang w:val="es-CO"/>
        </w:rPr>
        <w:t>56</w:t>
      </w:r>
      <w:r>
        <w:fldChar w:fldCharType="end"/>
      </w:r>
      <w:r w:rsidRPr="008E273B">
        <w:rPr>
          <w:lang w:val="es-CO"/>
        </w:rPr>
        <w:t>. Porcentaje de variabilidad explicado por los ejes principales en el MCA</w:t>
      </w:r>
    </w:p>
    <w:p w14:paraId="195C5D86" w14:textId="77777777" w:rsidR="001208E2" w:rsidRDefault="001208E2" w:rsidP="0019366E">
      <w:pPr>
        <w:jc w:val="both"/>
        <w:rPr>
          <w:lang w:val="es-ES"/>
        </w:rPr>
      </w:pPr>
    </w:p>
    <w:p w14:paraId="2E5BB083" w14:textId="3F62A15A" w:rsidR="000B7604" w:rsidRDefault="00970F03" w:rsidP="0019366E">
      <w:pPr>
        <w:jc w:val="both"/>
        <w:rPr>
          <w:lang w:val="es-ES"/>
        </w:rPr>
      </w:pPr>
      <w:r>
        <w:rPr>
          <w:lang w:val="es-ES"/>
        </w:rPr>
        <w:t>Dado el elevado número de compuestos volátiles en estudio, en la Tabla 1 se muestran los compuestos que tienen la mayor representatividad y por ende la mejor calidad de representación en cada uno de los ejes principales.</w:t>
      </w:r>
    </w:p>
    <w:p w14:paraId="43691843" w14:textId="77777777" w:rsidR="00A174FC" w:rsidRDefault="00A174FC" w:rsidP="0019366E">
      <w:pPr>
        <w:jc w:val="both"/>
        <w:rPr>
          <w:lang w:val="es-ES"/>
        </w:rPr>
      </w:pPr>
    </w:p>
    <w:p w14:paraId="36DCF7AB" w14:textId="7EAB3DED" w:rsidR="00970F03" w:rsidRPr="00970F03" w:rsidRDefault="00970F03" w:rsidP="00970F03">
      <w:pPr>
        <w:pStyle w:val="Caption"/>
        <w:keepNext/>
        <w:jc w:val="center"/>
        <w:rPr>
          <w:lang w:val="es-CO"/>
        </w:rPr>
      </w:pPr>
      <w:r w:rsidRPr="00970F03">
        <w:rPr>
          <w:lang w:val="es-CO"/>
        </w:rPr>
        <w:t xml:space="preserve">Tabla </w:t>
      </w:r>
      <w:r>
        <w:fldChar w:fldCharType="begin"/>
      </w:r>
      <w:r w:rsidRPr="00970F03">
        <w:rPr>
          <w:lang w:val="es-CO"/>
        </w:rPr>
        <w:instrText xml:space="preserve"> SEQ Tabla \* ARABIC </w:instrText>
      </w:r>
      <w:r>
        <w:fldChar w:fldCharType="separate"/>
      </w:r>
      <w:r w:rsidRPr="00970F03">
        <w:rPr>
          <w:noProof/>
          <w:lang w:val="es-CO"/>
        </w:rPr>
        <w:t>1</w:t>
      </w:r>
      <w:r>
        <w:fldChar w:fldCharType="end"/>
      </w:r>
      <w:r w:rsidRPr="00970F03">
        <w:rPr>
          <w:lang w:val="es-CO"/>
        </w:rPr>
        <w:t xml:space="preserve">. </w:t>
      </w:r>
      <w:r w:rsidR="00631F3C">
        <w:rPr>
          <w:lang w:val="es-CO"/>
        </w:rPr>
        <w:t>C</w:t>
      </w:r>
      <w:r w:rsidRPr="00970F03">
        <w:rPr>
          <w:lang w:val="es-CO"/>
        </w:rPr>
        <w:t>ompuestos volátiles</w:t>
      </w:r>
      <w:r w:rsidR="00631F3C">
        <w:rPr>
          <w:lang w:val="es-CO"/>
        </w:rPr>
        <w:t xml:space="preserve"> determinantes</w:t>
      </w:r>
      <w:r w:rsidRPr="00970F03">
        <w:rPr>
          <w:lang w:val="es-CO"/>
        </w:rPr>
        <w:t xml:space="preserve"> por eje principal</w:t>
      </w:r>
    </w:p>
    <w:tbl>
      <w:tblPr>
        <w:tblW w:w="5006" w:type="dxa"/>
        <w:jc w:val="center"/>
        <w:tblCellMar>
          <w:left w:w="70" w:type="dxa"/>
          <w:right w:w="70" w:type="dxa"/>
        </w:tblCellMar>
        <w:tblLook w:val="04A0" w:firstRow="1" w:lastRow="0" w:firstColumn="1" w:lastColumn="0" w:noHBand="0" w:noVBand="1"/>
      </w:tblPr>
      <w:tblGrid>
        <w:gridCol w:w="1320"/>
        <w:gridCol w:w="3686"/>
      </w:tblGrid>
      <w:tr w:rsidR="00F059B1" w:rsidRPr="00F059B1" w14:paraId="03694064" w14:textId="77777777" w:rsidTr="00970F03">
        <w:trPr>
          <w:trHeight w:val="288"/>
          <w:jc w:val="center"/>
        </w:trPr>
        <w:tc>
          <w:tcPr>
            <w:tcW w:w="1320" w:type="dxa"/>
            <w:tcBorders>
              <w:top w:val="single" w:sz="4" w:space="0" w:color="auto"/>
              <w:left w:val="nil"/>
              <w:bottom w:val="single" w:sz="4" w:space="0" w:color="auto"/>
              <w:right w:val="nil"/>
            </w:tcBorders>
            <w:shd w:val="clear" w:color="auto" w:fill="auto"/>
            <w:noWrap/>
            <w:vAlign w:val="bottom"/>
            <w:hideMark/>
          </w:tcPr>
          <w:p w14:paraId="0D13662D" w14:textId="77777777" w:rsidR="00F059B1" w:rsidRPr="00F059B1" w:rsidRDefault="00F059B1" w:rsidP="00F059B1">
            <w:pPr>
              <w:rPr>
                <w:rFonts w:ascii="Calibri" w:eastAsia="Times New Roman" w:hAnsi="Calibri" w:cs="Times New Roman"/>
                <w:b/>
                <w:bCs/>
                <w:color w:val="000000"/>
                <w:sz w:val="22"/>
                <w:szCs w:val="22"/>
                <w:lang w:val="es-CO" w:eastAsia="es-CO"/>
              </w:rPr>
            </w:pPr>
            <w:r w:rsidRPr="00F059B1">
              <w:rPr>
                <w:rFonts w:ascii="Calibri" w:eastAsia="Times New Roman" w:hAnsi="Calibri" w:cs="Times New Roman"/>
                <w:b/>
                <w:bCs/>
                <w:color w:val="000000"/>
                <w:sz w:val="22"/>
                <w:szCs w:val="22"/>
                <w:lang w:val="es-CO" w:eastAsia="es-CO"/>
              </w:rPr>
              <w:t>Eje principal</w:t>
            </w:r>
          </w:p>
        </w:tc>
        <w:tc>
          <w:tcPr>
            <w:tcW w:w="3686" w:type="dxa"/>
            <w:tcBorders>
              <w:top w:val="single" w:sz="4" w:space="0" w:color="auto"/>
              <w:left w:val="nil"/>
              <w:bottom w:val="single" w:sz="4" w:space="0" w:color="auto"/>
              <w:right w:val="nil"/>
            </w:tcBorders>
            <w:shd w:val="clear" w:color="auto" w:fill="auto"/>
            <w:noWrap/>
            <w:vAlign w:val="bottom"/>
            <w:hideMark/>
          </w:tcPr>
          <w:p w14:paraId="3C437842" w14:textId="01A97479" w:rsidR="00F059B1" w:rsidRPr="00F059B1" w:rsidRDefault="00A93515" w:rsidP="00A93515">
            <w:pPr>
              <w:rPr>
                <w:rFonts w:ascii="Calibri" w:eastAsia="Times New Roman" w:hAnsi="Calibri" w:cs="Times New Roman"/>
                <w:b/>
                <w:bCs/>
                <w:color w:val="000000"/>
                <w:sz w:val="22"/>
                <w:szCs w:val="22"/>
                <w:lang w:val="es-CO" w:eastAsia="es-CO"/>
              </w:rPr>
            </w:pPr>
            <w:r>
              <w:rPr>
                <w:rFonts w:ascii="Calibri" w:eastAsia="Times New Roman" w:hAnsi="Calibri" w:cs="Times New Roman"/>
                <w:b/>
                <w:bCs/>
                <w:color w:val="000000"/>
                <w:sz w:val="22"/>
                <w:szCs w:val="22"/>
                <w:lang w:val="es-CO" w:eastAsia="es-CO"/>
              </w:rPr>
              <w:t>Compuesto volátil</w:t>
            </w:r>
          </w:p>
        </w:tc>
      </w:tr>
      <w:tr w:rsidR="00F059B1" w:rsidRPr="00F059B1" w14:paraId="0A4896C5"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77D7E995"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w:t>
            </w:r>
          </w:p>
        </w:tc>
        <w:tc>
          <w:tcPr>
            <w:tcW w:w="3686" w:type="dxa"/>
            <w:tcBorders>
              <w:top w:val="nil"/>
              <w:left w:val="nil"/>
              <w:bottom w:val="nil"/>
              <w:right w:val="nil"/>
            </w:tcBorders>
            <w:shd w:val="clear" w:color="auto" w:fill="auto"/>
            <w:noWrap/>
            <w:vAlign w:val="bottom"/>
            <w:hideMark/>
          </w:tcPr>
          <w:p w14:paraId="3128EE3E"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Fenil alcohol etílico</w:t>
            </w:r>
          </w:p>
        </w:tc>
      </w:tr>
      <w:tr w:rsidR="00F059B1" w:rsidRPr="00F059B1" w14:paraId="3A88DDAF" w14:textId="77777777" w:rsidTr="00970F03">
        <w:trPr>
          <w:trHeight w:val="288"/>
          <w:jc w:val="center"/>
        </w:trPr>
        <w:tc>
          <w:tcPr>
            <w:tcW w:w="1320" w:type="dxa"/>
            <w:vMerge/>
            <w:tcBorders>
              <w:top w:val="nil"/>
              <w:left w:val="nil"/>
              <w:bottom w:val="single" w:sz="4" w:space="0" w:color="000000"/>
              <w:right w:val="nil"/>
            </w:tcBorders>
            <w:vAlign w:val="center"/>
            <w:hideMark/>
          </w:tcPr>
          <w:p w14:paraId="1DCCB9AB"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51FB8E24"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1H-pirrol-2-carboxaldehído</w:t>
            </w:r>
          </w:p>
        </w:tc>
      </w:tr>
      <w:tr w:rsidR="00F059B1" w:rsidRPr="00F059B1" w14:paraId="64C2A3E9" w14:textId="77777777" w:rsidTr="00970F03">
        <w:trPr>
          <w:trHeight w:val="288"/>
          <w:jc w:val="center"/>
        </w:trPr>
        <w:tc>
          <w:tcPr>
            <w:tcW w:w="1320" w:type="dxa"/>
            <w:vMerge/>
            <w:tcBorders>
              <w:top w:val="nil"/>
              <w:left w:val="nil"/>
              <w:bottom w:val="single" w:sz="4" w:space="0" w:color="000000"/>
              <w:right w:val="nil"/>
            </w:tcBorders>
            <w:vAlign w:val="center"/>
            <w:hideMark/>
          </w:tcPr>
          <w:p w14:paraId="2FAD5DE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8F89D98"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Benzoilformato de etilo</w:t>
            </w:r>
          </w:p>
        </w:tc>
      </w:tr>
      <w:tr w:rsidR="00F059B1" w:rsidRPr="00F059B1" w14:paraId="32C19544" w14:textId="77777777" w:rsidTr="00970F03">
        <w:trPr>
          <w:trHeight w:val="288"/>
          <w:jc w:val="center"/>
        </w:trPr>
        <w:tc>
          <w:tcPr>
            <w:tcW w:w="1320" w:type="dxa"/>
            <w:vMerge/>
            <w:tcBorders>
              <w:top w:val="nil"/>
              <w:left w:val="nil"/>
              <w:bottom w:val="single" w:sz="4" w:space="0" w:color="000000"/>
              <w:right w:val="nil"/>
            </w:tcBorders>
            <w:vAlign w:val="center"/>
            <w:hideMark/>
          </w:tcPr>
          <w:p w14:paraId="1A171DB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3DC3A9F"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Heptanol</w:t>
            </w:r>
          </w:p>
        </w:tc>
      </w:tr>
      <w:tr w:rsidR="00F059B1" w:rsidRPr="00F059B1" w14:paraId="0E27470C" w14:textId="77777777" w:rsidTr="00970F03">
        <w:trPr>
          <w:trHeight w:val="288"/>
          <w:jc w:val="center"/>
        </w:trPr>
        <w:tc>
          <w:tcPr>
            <w:tcW w:w="1320" w:type="dxa"/>
            <w:vMerge/>
            <w:tcBorders>
              <w:top w:val="nil"/>
              <w:left w:val="nil"/>
              <w:bottom w:val="single" w:sz="4" w:space="0" w:color="000000"/>
              <w:right w:val="nil"/>
            </w:tcBorders>
            <w:vAlign w:val="center"/>
            <w:hideMark/>
          </w:tcPr>
          <w:p w14:paraId="478831B0"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E6FA9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3-Metil-1-butanol</w:t>
            </w:r>
          </w:p>
        </w:tc>
      </w:tr>
      <w:tr w:rsidR="00F059B1" w:rsidRPr="00F059B1" w14:paraId="2AA1C705" w14:textId="77777777" w:rsidTr="00970F03">
        <w:trPr>
          <w:trHeight w:val="288"/>
          <w:jc w:val="center"/>
        </w:trPr>
        <w:tc>
          <w:tcPr>
            <w:tcW w:w="1320" w:type="dxa"/>
            <w:vMerge/>
            <w:tcBorders>
              <w:top w:val="nil"/>
              <w:left w:val="nil"/>
              <w:bottom w:val="single" w:sz="4" w:space="0" w:color="000000"/>
              <w:right w:val="nil"/>
            </w:tcBorders>
            <w:vAlign w:val="center"/>
            <w:hideMark/>
          </w:tcPr>
          <w:p w14:paraId="13DD5DF2"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2E69C47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15800A4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1B5CC57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w:t>
            </w:r>
          </w:p>
        </w:tc>
        <w:tc>
          <w:tcPr>
            <w:tcW w:w="3686" w:type="dxa"/>
            <w:tcBorders>
              <w:top w:val="nil"/>
              <w:left w:val="nil"/>
              <w:bottom w:val="nil"/>
              <w:right w:val="nil"/>
            </w:tcBorders>
            <w:shd w:val="clear" w:color="auto" w:fill="auto"/>
            <w:noWrap/>
            <w:vAlign w:val="bottom"/>
            <w:hideMark/>
          </w:tcPr>
          <w:p w14:paraId="51110880" w14:textId="42B43176"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Ácido </w:t>
            </w:r>
            <w:r>
              <w:rPr>
                <w:rFonts w:ascii="Calibri" w:eastAsia="Times New Roman" w:hAnsi="Calibri" w:cs="Times New Roman"/>
                <w:color w:val="000000"/>
                <w:sz w:val="22"/>
                <w:szCs w:val="22"/>
                <w:lang w:val="es-CO" w:eastAsia="es-CO"/>
              </w:rPr>
              <w:t>b</w:t>
            </w:r>
            <w:r w:rsidRPr="00F059B1">
              <w:rPr>
                <w:rFonts w:ascii="Calibri" w:eastAsia="Times New Roman" w:hAnsi="Calibri" w:cs="Times New Roman"/>
                <w:color w:val="000000"/>
                <w:sz w:val="22"/>
                <w:szCs w:val="22"/>
                <w:lang w:val="es-CO" w:eastAsia="es-CO"/>
              </w:rPr>
              <w:t>encenoacético</w:t>
            </w:r>
          </w:p>
        </w:tc>
      </w:tr>
      <w:tr w:rsidR="00F059B1" w:rsidRPr="00F059B1" w14:paraId="564A4B88" w14:textId="77777777" w:rsidTr="00970F03">
        <w:trPr>
          <w:trHeight w:val="288"/>
          <w:jc w:val="center"/>
        </w:trPr>
        <w:tc>
          <w:tcPr>
            <w:tcW w:w="1320" w:type="dxa"/>
            <w:vMerge/>
            <w:tcBorders>
              <w:top w:val="nil"/>
              <w:left w:val="nil"/>
              <w:bottom w:val="single" w:sz="4" w:space="0" w:color="000000"/>
              <w:right w:val="nil"/>
            </w:tcBorders>
            <w:vAlign w:val="center"/>
            <w:hideMark/>
          </w:tcPr>
          <w:p w14:paraId="6C169E87"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3ACC9A5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3-Metil-2-butanol</w:t>
            </w:r>
          </w:p>
        </w:tc>
      </w:tr>
      <w:tr w:rsidR="00F059B1" w:rsidRPr="00F059B1" w14:paraId="47233676" w14:textId="77777777" w:rsidTr="00970F03">
        <w:trPr>
          <w:trHeight w:val="288"/>
          <w:jc w:val="center"/>
        </w:trPr>
        <w:tc>
          <w:tcPr>
            <w:tcW w:w="1320" w:type="dxa"/>
            <w:vMerge/>
            <w:tcBorders>
              <w:top w:val="nil"/>
              <w:left w:val="nil"/>
              <w:bottom w:val="single" w:sz="4" w:space="0" w:color="000000"/>
              <w:right w:val="nil"/>
            </w:tcBorders>
            <w:vAlign w:val="center"/>
            <w:hideMark/>
          </w:tcPr>
          <w:p w14:paraId="7B407C4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3EC311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2-pentanol acetato</w:t>
            </w:r>
          </w:p>
        </w:tc>
      </w:tr>
      <w:tr w:rsidR="00F059B1" w:rsidRPr="00F059B1" w14:paraId="7C012DE5" w14:textId="77777777" w:rsidTr="00970F03">
        <w:trPr>
          <w:trHeight w:val="288"/>
          <w:jc w:val="center"/>
        </w:trPr>
        <w:tc>
          <w:tcPr>
            <w:tcW w:w="1320" w:type="dxa"/>
            <w:vMerge/>
            <w:tcBorders>
              <w:top w:val="nil"/>
              <w:left w:val="nil"/>
              <w:bottom w:val="single" w:sz="4" w:space="0" w:color="000000"/>
              <w:right w:val="nil"/>
            </w:tcBorders>
            <w:vAlign w:val="center"/>
            <w:hideMark/>
          </w:tcPr>
          <w:p w14:paraId="2CED2C4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1C775D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F059B1" w14:paraId="4EF0CD63" w14:textId="77777777" w:rsidTr="00970F03">
        <w:trPr>
          <w:trHeight w:val="288"/>
          <w:jc w:val="center"/>
        </w:trPr>
        <w:tc>
          <w:tcPr>
            <w:tcW w:w="1320" w:type="dxa"/>
            <w:vMerge/>
            <w:tcBorders>
              <w:top w:val="nil"/>
              <w:left w:val="nil"/>
              <w:bottom w:val="single" w:sz="4" w:space="0" w:color="000000"/>
              <w:right w:val="nil"/>
            </w:tcBorders>
            <w:vAlign w:val="center"/>
            <w:hideMark/>
          </w:tcPr>
          <w:p w14:paraId="544A942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C21FCE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3-Metil-butanoico</w:t>
            </w:r>
          </w:p>
        </w:tc>
      </w:tr>
      <w:tr w:rsidR="00F059B1" w:rsidRPr="00F059B1" w14:paraId="3FE1F009"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07043F23"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w:t>
            </w:r>
          </w:p>
        </w:tc>
        <w:tc>
          <w:tcPr>
            <w:tcW w:w="3686" w:type="dxa"/>
            <w:tcBorders>
              <w:top w:val="nil"/>
              <w:left w:val="nil"/>
              <w:bottom w:val="nil"/>
              <w:right w:val="nil"/>
            </w:tcBorders>
            <w:shd w:val="clear" w:color="auto" w:fill="auto"/>
            <w:noWrap/>
            <w:vAlign w:val="bottom"/>
            <w:hideMark/>
          </w:tcPr>
          <w:p w14:paraId="48F6D1F8"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3B3AE5D6" w14:textId="77777777" w:rsidTr="00970F03">
        <w:trPr>
          <w:trHeight w:val="288"/>
          <w:jc w:val="center"/>
        </w:trPr>
        <w:tc>
          <w:tcPr>
            <w:tcW w:w="1320" w:type="dxa"/>
            <w:vMerge/>
            <w:tcBorders>
              <w:top w:val="nil"/>
              <w:left w:val="nil"/>
              <w:bottom w:val="single" w:sz="4" w:space="0" w:color="000000"/>
              <w:right w:val="nil"/>
            </w:tcBorders>
            <w:vAlign w:val="center"/>
            <w:hideMark/>
          </w:tcPr>
          <w:p w14:paraId="59C2540C"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F1F34D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Etanol</w:t>
            </w:r>
          </w:p>
        </w:tc>
      </w:tr>
      <w:tr w:rsidR="00F059B1" w:rsidRPr="00F059B1" w14:paraId="57D7BDBB" w14:textId="77777777" w:rsidTr="00970F03">
        <w:trPr>
          <w:trHeight w:val="288"/>
          <w:jc w:val="center"/>
        </w:trPr>
        <w:tc>
          <w:tcPr>
            <w:tcW w:w="1320" w:type="dxa"/>
            <w:vMerge/>
            <w:tcBorders>
              <w:top w:val="nil"/>
              <w:left w:val="nil"/>
              <w:bottom w:val="single" w:sz="4" w:space="0" w:color="000000"/>
              <w:right w:val="nil"/>
            </w:tcBorders>
            <w:vAlign w:val="center"/>
            <w:hideMark/>
          </w:tcPr>
          <w:p w14:paraId="5D90126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B1E6363"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3, 5-trimetil pirazina</w:t>
            </w:r>
          </w:p>
        </w:tc>
      </w:tr>
      <w:tr w:rsidR="00F059B1" w:rsidRPr="00F059B1" w14:paraId="0AFCB590" w14:textId="77777777" w:rsidTr="00970F03">
        <w:trPr>
          <w:trHeight w:val="288"/>
          <w:jc w:val="center"/>
        </w:trPr>
        <w:tc>
          <w:tcPr>
            <w:tcW w:w="1320" w:type="dxa"/>
            <w:vMerge/>
            <w:tcBorders>
              <w:top w:val="nil"/>
              <w:left w:val="nil"/>
              <w:bottom w:val="single" w:sz="4" w:space="0" w:color="000000"/>
              <w:right w:val="nil"/>
            </w:tcBorders>
            <w:vAlign w:val="center"/>
            <w:hideMark/>
          </w:tcPr>
          <w:p w14:paraId="0A969703"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2C0D0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Éster etílico del ácido hexanoico</w:t>
            </w:r>
          </w:p>
        </w:tc>
      </w:tr>
      <w:tr w:rsidR="00F059B1" w:rsidRPr="00F059B1" w14:paraId="2FA3A489" w14:textId="77777777" w:rsidTr="00970F03">
        <w:trPr>
          <w:trHeight w:val="288"/>
          <w:jc w:val="center"/>
        </w:trPr>
        <w:tc>
          <w:tcPr>
            <w:tcW w:w="1320" w:type="dxa"/>
            <w:vMerge/>
            <w:tcBorders>
              <w:top w:val="nil"/>
              <w:left w:val="nil"/>
              <w:bottom w:val="single" w:sz="4" w:space="0" w:color="000000"/>
              <w:right w:val="nil"/>
            </w:tcBorders>
            <w:vAlign w:val="center"/>
            <w:hideMark/>
          </w:tcPr>
          <w:p w14:paraId="1BCE1DFF"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D617A74" w14:textId="060003DE"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Éster 2-Feniletílico del </w:t>
            </w:r>
            <w:r>
              <w:rPr>
                <w:rFonts w:ascii="Calibri" w:eastAsia="Times New Roman" w:hAnsi="Calibri" w:cs="Times New Roman"/>
                <w:color w:val="000000"/>
                <w:sz w:val="22"/>
                <w:szCs w:val="22"/>
                <w:lang w:val="es-CO" w:eastAsia="es-CO"/>
              </w:rPr>
              <w:t>á</w:t>
            </w:r>
            <w:r w:rsidRPr="00F059B1">
              <w:rPr>
                <w:rFonts w:ascii="Calibri" w:eastAsia="Times New Roman" w:hAnsi="Calibri" w:cs="Times New Roman"/>
                <w:color w:val="000000"/>
                <w:sz w:val="22"/>
                <w:szCs w:val="22"/>
                <w:lang w:val="es-CO" w:eastAsia="es-CO"/>
              </w:rPr>
              <w:t xml:space="preserve">cido </w:t>
            </w:r>
            <w:r>
              <w:rPr>
                <w:rFonts w:ascii="Calibri" w:eastAsia="Times New Roman" w:hAnsi="Calibri" w:cs="Times New Roman"/>
                <w:color w:val="000000"/>
                <w:sz w:val="22"/>
                <w:szCs w:val="22"/>
                <w:lang w:val="es-CO" w:eastAsia="es-CO"/>
              </w:rPr>
              <w:t>a</w:t>
            </w:r>
            <w:r w:rsidRPr="00F059B1">
              <w:rPr>
                <w:rFonts w:ascii="Calibri" w:eastAsia="Times New Roman" w:hAnsi="Calibri" w:cs="Times New Roman"/>
                <w:color w:val="000000"/>
                <w:sz w:val="22"/>
                <w:szCs w:val="22"/>
                <w:lang w:val="es-CO" w:eastAsia="es-CO"/>
              </w:rPr>
              <w:t>cético</w:t>
            </w:r>
          </w:p>
        </w:tc>
      </w:tr>
      <w:tr w:rsidR="00F059B1" w:rsidRPr="00F059B1" w14:paraId="35E66689"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33EBE0EE"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4</w:t>
            </w:r>
          </w:p>
        </w:tc>
        <w:tc>
          <w:tcPr>
            <w:tcW w:w="3686" w:type="dxa"/>
            <w:tcBorders>
              <w:top w:val="nil"/>
              <w:left w:val="nil"/>
              <w:bottom w:val="single" w:sz="4" w:space="0" w:color="auto"/>
              <w:right w:val="nil"/>
            </w:tcBorders>
            <w:shd w:val="clear" w:color="auto" w:fill="auto"/>
            <w:noWrap/>
            <w:vAlign w:val="bottom"/>
            <w:hideMark/>
          </w:tcPr>
          <w:p w14:paraId="7B20D709"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F059B1" w14:paraId="233B2E2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62F86FC2"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lastRenderedPageBreak/>
              <w:t>5</w:t>
            </w:r>
          </w:p>
        </w:tc>
        <w:tc>
          <w:tcPr>
            <w:tcW w:w="3686" w:type="dxa"/>
            <w:tcBorders>
              <w:top w:val="nil"/>
              <w:left w:val="nil"/>
              <w:bottom w:val="nil"/>
              <w:right w:val="nil"/>
            </w:tcBorders>
            <w:shd w:val="clear" w:color="auto" w:fill="auto"/>
            <w:noWrap/>
            <w:vAlign w:val="bottom"/>
            <w:hideMark/>
          </w:tcPr>
          <w:p w14:paraId="6FE44515"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Éster etílico del ácido hexanoico</w:t>
            </w:r>
          </w:p>
        </w:tc>
      </w:tr>
      <w:tr w:rsidR="00F059B1" w:rsidRPr="00F059B1" w14:paraId="666CC821" w14:textId="77777777" w:rsidTr="00970F03">
        <w:trPr>
          <w:trHeight w:val="288"/>
          <w:jc w:val="center"/>
        </w:trPr>
        <w:tc>
          <w:tcPr>
            <w:tcW w:w="1320" w:type="dxa"/>
            <w:vMerge/>
            <w:tcBorders>
              <w:top w:val="nil"/>
              <w:left w:val="nil"/>
              <w:bottom w:val="single" w:sz="4" w:space="0" w:color="000000"/>
              <w:right w:val="nil"/>
            </w:tcBorders>
            <w:vAlign w:val="center"/>
            <w:hideMark/>
          </w:tcPr>
          <w:p w14:paraId="3065EA2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50D3BFA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Furanmetanol</w:t>
            </w:r>
          </w:p>
        </w:tc>
      </w:tr>
      <w:tr w:rsidR="00F059B1" w:rsidRPr="00F059B1" w14:paraId="74D0A41C"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76467EF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6</w:t>
            </w:r>
          </w:p>
        </w:tc>
        <w:tc>
          <w:tcPr>
            <w:tcW w:w="3686" w:type="dxa"/>
            <w:tcBorders>
              <w:top w:val="nil"/>
              <w:left w:val="nil"/>
              <w:bottom w:val="single" w:sz="4" w:space="0" w:color="auto"/>
              <w:right w:val="nil"/>
            </w:tcBorders>
            <w:shd w:val="clear" w:color="auto" w:fill="auto"/>
            <w:noWrap/>
            <w:vAlign w:val="bottom"/>
            <w:hideMark/>
          </w:tcPr>
          <w:p w14:paraId="0982AA6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Ácido nonanoico</w:t>
            </w:r>
          </w:p>
        </w:tc>
      </w:tr>
      <w:tr w:rsidR="00F059B1" w:rsidRPr="00F059B1" w14:paraId="4E93E147"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0334ACD4"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7</w:t>
            </w:r>
          </w:p>
        </w:tc>
        <w:tc>
          <w:tcPr>
            <w:tcW w:w="3686" w:type="dxa"/>
            <w:tcBorders>
              <w:top w:val="nil"/>
              <w:left w:val="nil"/>
              <w:bottom w:val="single" w:sz="4" w:space="0" w:color="auto"/>
              <w:right w:val="nil"/>
            </w:tcBorders>
            <w:shd w:val="clear" w:color="auto" w:fill="auto"/>
            <w:noWrap/>
            <w:vAlign w:val="bottom"/>
            <w:hideMark/>
          </w:tcPr>
          <w:p w14:paraId="16D6EECD"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Ácido octanoico</w:t>
            </w:r>
          </w:p>
        </w:tc>
      </w:tr>
    </w:tbl>
    <w:p w14:paraId="66401B17" w14:textId="77777777" w:rsidR="00F059B1" w:rsidRDefault="00F059B1" w:rsidP="0019366E">
      <w:pPr>
        <w:jc w:val="both"/>
        <w:rPr>
          <w:lang w:val="es-ES"/>
        </w:rPr>
      </w:pPr>
    </w:p>
    <w:p w14:paraId="445C2C5A" w14:textId="61E7929E" w:rsidR="00F059B1" w:rsidRDefault="008E273B" w:rsidP="0019366E">
      <w:pPr>
        <w:jc w:val="both"/>
        <w:rPr>
          <w:lang w:val="es-ES"/>
        </w:rPr>
      </w:pPr>
      <w:r>
        <w:rPr>
          <w:lang w:val="es-ES"/>
        </w:rPr>
        <w:t xml:space="preserve">Al representar la pertenencia o no de cada uno de los compuestos volátiles en los clones estudiados (ejemplo, </w:t>
      </w:r>
      <w:r w:rsidRPr="008E273B">
        <w:rPr>
          <w:b/>
          <w:lang w:val="es-ES"/>
        </w:rPr>
        <w:t>compuesto_volátilXX_1</w:t>
      </w:r>
      <w:r>
        <w:rPr>
          <w:lang w:val="es-ES"/>
        </w:rPr>
        <w:t xml:space="preserve">: el clon presenta el compuesto o, </w:t>
      </w:r>
      <w:r w:rsidRPr="008E273B">
        <w:rPr>
          <w:b/>
          <w:lang w:val="es-ES"/>
        </w:rPr>
        <w:t>compuesto_volátilXX_</w:t>
      </w:r>
      <w:r>
        <w:rPr>
          <w:b/>
          <w:lang w:val="es-ES"/>
        </w:rPr>
        <w:t>0</w:t>
      </w:r>
      <w:r>
        <w:rPr>
          <w:lang w:val="es-ES"/>
        </w:rPr>
        <w:t>: el clon no lo presenta), en un plano factorial de dos dimensiones, se puede observar la gran variación de condiciones representadas, ver Figura</w:t>
      </w:r>
      <w:r w:rsidR="00727E96">
        <w:rPr>
          <w:lang w:val="es-ES"/>
        </w:rPr>
        <w:t xml:space="preserve"> 57</w:t>
      </w:r>
      <w:r>
        <w:rPr>
          <w:lang w:val="es-ES"/>
        </w:rPr>
        <w:t>. Un caso a destacar consiste en el compuesto fenil alcohol etílico en los extremos izquierdo y derecho, aquí representando a cada uno de los clones en el mismo plano se tendría que los clones que se ubiquen a la izquierda del plano y cuente un una alta contribución presentaran dicho compuesto, mientras los que se encuentren a la derecha carecerán de él</w:t>
      </w:r>
      <w:r w:rsidR="00727E96">
        <w:rPr>
          <w:lang w:val="es-ES"/>
        </w:rPr>
        <w:t xml:space="preserve"> (Figura 58)</w:t>
      </w:r>
      <w:r>
        <w:rPr>
          <w:lang w:val="es-ES"/>
        </w:rPr>
        <w:t>.</w:t>
      </w:r>
    </w:p>
    <w:p w14:paraId="2BF6DF1F" w14:textId="77777777" w:rsidR="008778D8" w:rsidRDefault="008778D8" w:rsidP="0019366E">
      <w:pPr>
        <w:jc w:val="both"/>
        <w:rPr>
          <w:lang w:val="es-ES"/>
        </w:rPr>
      </w:pPr>
    </w:p>
    <w:tbl>
      <w:tblPr>
        <w:tblStyle w:val="TableGrid"/>
        <w:tblW w:w="9912" w:type="dxa"/>
        <w:tblLook w:val="04A0" w:firstRow="1" w:lastRow="0" w:firstColumn="1" w:lastColumn="0" w:noHBand="0" w:noVBand="1"/>
      </w:tblPr>
      <w:tblGrid>
        <w:gridCol w:w="4896"/>
        <w:gridCol w:w="5016"/>
      </w:tblGrid>
      <w:tr w:rsidR="008778D8" w14:paraId="3EB79774" w14:textId="77777777" w:rsidTr="008778D8">
        <w:tc>
          <w:tcPr>
            <w:tcW w:w="4896" w:type="dxa"/>
          </w:tcPr>
          <w:p w14:paraId="54A9794D" w14:textId="77777777" w:rsidR="008778D8" w:rsidRDefault="008778D8" w:rsidP="008778D8">
            <w:pPr>
              <w:jc w:val="center"/>
              <w:rPr>
                <w:lang w:val="es-ES"/>
              </w:rPr>
            </w:pPr>
            <w:r>
              <w:rPr>
                <w:noProof/>
                <w:lang w:val="es-CO" w:eastAsia="es-CO"/>
              </w:rPr>
              <w:drawing>
                <wp:inline distT="0" distB="0" distL="0" distR="0" wp14:anchorId="40705266" wp14:editId="3015F01E">
                  <wp:extent cx="29718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ca_variables_1_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BA653AF" w14:textId="4D73AE23" w:rsidR="008778D8" w:rsidRPr="008778D8" w:rsidRDefault="008778D8" w:rsidP="008778D8">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Pr>
                <w:noProof/>
                <w:lang w:val="es-CO"/>
              </w:rPr>
              <w:t>57</w:t>
            </w:r>
            <w:r>
              <w:fldChar w:fldCharType="end"/>
            </w:r>
            <w:r w:rsidRPr="008E273B">
              <w:rPr>
                <w:lang w:val="es-CO"/>
              </w:rPr>
              <w:t>. Correlaciones para variables – Ejes principales 1 y 2</w:t>
            </w:r>
          </w:p>
        </w:tc>
        <w:tc>
          <w:tcPr>
            <w:tcW w:w="5016" w:type="dxa"/>
          </w:tcPr>
          <w:p w14:paraId="697B2DF8" w14:textId="77777777" w:rsidR="008778D8" w:rsidRDefault="008778D8" w:rsidP="0019366E">
            <w:pPr>
              <w:jc w:val="both"/>
              <w:rPr>
                <w:lang w:val="es-ES"/>
              </w:rPr>
            </w:pPr>
            <w:r>
              <w:rPr>
                <w:noProof/>
                <w:lang w:val="es-CO" w:eastAsia="es-CO"/>
              </w:rPr>
              <w:drawing>
                <wp:inline distT="0" distB="0" distL="0" distR="0" wp14:anchorId="3907A867" wp14:editId="75D43827">
                  <wp:extent cx="29718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a_individuals_1_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6E51DDE" w14:textId="20EE69A7" w:rsidR="008778D8" w:rsidRPr="008778D8" w:rsidRDefault="008778D8" w:rsidP="008778D8">
            <w:pPr>
              <w:pStyle w:val="Caption"/>
              <w:jc w:val="center"/>
              <w:rPr>
                <w:lang w:val="es-CO"/>
              </w:rPr>
            </w:pPr>
            <w:r>
              <w:rPr>
                <w:lang w:val="es-CO"/>
              </w:rPr>
              <w:t>Figura</w:t>
            </w:r>
            <w:r w:rsidRPr="008778D8">
              <w:rPr>
                <w:lang w:val="es-CO"/>
              </w:rPr>
              <w:t xml:space="preserve"> </w:t>
            </w:r>
            <w:r>
              <w:fldChar w:fldCharType="begin"/>
            </w:r>
            <w:r w:rsidRPr="008778D8">
              <w:rPr>
                <w:lang w:val="es-CO"/>
              </w:rPr>
              <w:instrText xml:space="preserve"> SEQ Ilustración \* ARABIC </w:instrText>
            </w:r>
            <w:r>
              <w:fldChar w:fldCharType="separate"/>
            </w:r>
            <w:r w:rsidRPr="008778D8">
              <w:rPr>
                <w:noProof/>
                <w:lang w:val="es-CO"/>
              </w:rPr>
              <w:t>58</w:t>
            </w:r>
            <w:r>
              <w:fldChar w:fldCharType="end"/>
            </w:r>
            <w:r w:rsidRPr="008778D8">
              <w:rPr>
                <w:lang w:val="es-CO"/>
              </w:rPr>
              <w:t>. Posicionamiento de los clones en el primer plano factorial</w:t>
            </w:r>
          </w:p>
        </w:tc>
      </w:tr>
    </w:tbl>
    <w:p w14:paraId="38DA71EB" w14:textId="77777777" w:rsidR="008778D8" w:rsidRDefault="008778D8" w:rsidP="0019366E">
      <w:pPr>
        <w:jc w:val="both"/>
        <w:rPr>
          <w:lang w:val="es-ES"/>
        </w:rPr>
      </w:pPr>
    </w:p>
    <w:p w14:paraId="2BEDA588" w14:textId="5054D7D1" w:rsidR="00A174FC" w:rsidRDefault="004558B9" w:rsidP="00A174FC">
      <w:pPr>
        <w:jc w:val="both"/>
        <w:rPr>
          <w:lang w:val="es-ES"/>
        </w:rPr>
      </w:pPr>
      <w:r>
        <w:rPr>
          <w:lang w:val="es-ES"/>
        </w:rPr>
        <w:t>Por dimensión destacar los clones que más se destacan</w:t>
      </w:r>
      <w:r w:rsidR="00F059B1">
        <w:rPr>
          <w:lang w:val="es-ES"/>
        </w:rPr>
        <w:t>.</w:t>
      </w:r>
    </w:p>
    <w:p w14:paraId="35F58777" w14:textId="77777777" w:rsidR="007D6876" w:rsidRDefault="007D6876" w:rsidP="00A174FC">
      <w:pPr>
        <w:jc w:val="both"/>
        <w:rPr>
          <w:lang w:val="es-ES"/>
        </w:rPr>
      </w:pPr>
    </w:p>
    <w:p w14:paraId="275AAAB6" w14:textId="3DE3AA30" w:rsidR="007D6876" w:rsidRDefault="007D6876" w:rsidP="00A174FC">
      <w:pPr>
        <w:jc w:val="both"/>
        <w:rPr>
          <w:lang w:val="es-ES"/>
        </w:rPr>
      </w:pPr>
      <w:r>
        <w:rPr>
          <w:lang w:val="es-ES"/>
        </w:rPr>
        <w:t>Acto seguido se realizó un análisis clúster para identificar clones con características similares, encontrando los siguientes resultados:</w:t>
      </w:r>
    </w:p>
    <w:p w14:paraId="1DF79389" w14:textId="77777777" w:rsidR="007D6876" w:rsidRDefault="007D6876" w:rsidP="00A174FC">
      <w:pPr>
        <w:jc w:val="both"/>
        <w:rPr>
          <w:lang w:val="es-ES"/>
        </w:rPr>
      </w:pPr>
    </w:p>
    <w:p w14:paraId="6204CED9" w14:textId="61D5DF5D" w:rsidR="007D6876" w:rsidRDefault="007D6876" w:rsidP="00A174FC">
      <w:pPr>
        <w:jc w:val="both"/>
        <w:rPr>
          <w:lang w:val="es-ES"/>
        </w:rPr>
      </w:pPr>
      <w:r>
        <w:rPr>
          <w:noProof/>
          <w:lang w:val="es-CO" w:eastAsia="es-CO"/>
        </w:rPr>
        <w:lastRenderedPageBreak/>
        <w:drawing>
          <wp:inline distT="0" distB="0" distL="0" distR="0" wp14:anchorId="64E6E31A" wp14:editId="23DA378F">
            <wp:extent cx="5943600" cy="330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dClustering.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6D804BBF" w14:textId="77777777" w:rsidR="007D6876" w:rsidRDefault="007D6876" w:rsidP="00A174FC">
      <w:pPr>
        <w:jc w:val="both"/>
        <w:rPr>
          <w:lang w:val="es-ES"/>
        </w:rPr>
      </w:pPr>
    </w:p>
    <w:p w14:paraId="2A597790" w14:textId="6C04DC03" w:rsidR="00F059B1" w:rsidRDefault="00F059B1" w:rsidP="00A174FC">
      <w:pPr>
        <w:jc w:val="both"/>
        <w:rPr>
          <w:lang w:val="es-ES"/>
        </w:rPr>
      </w:pPr>
      <w:r>
        <w:rPr>
          <w:lang w:val="es-ES"/>
        </w:rPr>
        <w:t>Destacar agrupación de compuestos volátiles</w:t>
      </w:r>
    </w:p>
    <w:p w14:paraId="63CB9377" w14:textId="77777777" w:rsidR="004558B9" w:rsidRDefault="004558B9" w:rsidP="00A174FC">
      <w:pPr>
        <w:jc w:val="both"/>
        <w:rPr>
          <w:lang w:val="es-ES"/>
        </w:rPr>
      </w:pPr>
    </w:p>
    <w:p w14:paraId="5AD690CF" w14:textId="6B4B180E" w:rsidR="004558B9" w:rsidRDefault="004558B9" w:rsidP="00A174FC">
      <w:pPr>
        <w:jc w:val="both"/>
        <w:rPr>
          <w:lang w:val="es-ES"/>
        </w:rPr>
      </w:pPr>
      <w:bookmarkStart w:id="0" w:name="_GoBack"/>
      <w:bookmarkEnd w:id="0"/>
    </w:p>
    <w:p w14:paraId="0E8F4FB5" w14:textId="77777777" w:rsidR="000B7604" w:rsidRDefault="000B7604" w:rsidP="0019366E">
      <w:pPr>
        <w:jc w:val="both"/>
        <w:rPr>
          <w:lang w:val="es-ES"/>
        </w:rPr>
      </w:pPr>
    </w:p>
    <w:p w14:paraId="077C9ECC" w14:textId="77777777" w:rsidR="001208E2" w:rsidRDefault="00B82C91" w:rsidP="0019366E">
      <w:pPr>
        <w:pStyle w:val="Heading1"/>
        <w:jc w:val="both"/>
        <w:rPr>
          <w:lang w:val="es-ES"/>
        </w:rPr>
      </w:pPr>
      <w:r>
        <w:rPr>
          <w:lang w:val="es-ES"/>
        </w:rPr>
        <w:t>Objetivo 4</w:t>
      </w:r>
    </w:p>
    <w:p w14:paraId="52E4A5AA" w14:textId="77777777" w:rsidR="001208E2" w:rsidRDefault="001208E2" w:rsidP="0019366E">
      <w:pPr>
        <w:jc w:val="both"/>
        <w:rPr>
          <w:lang w:val="es-ES"/>
        </w:rPr>
      </w:pPr>
    </w:p>
    <w:p w14:paraId="28B45562" w14:textId="64E6EB49" w:rsidR="00B82C91" w:rsidRDefault="00B9442C" w:rsidP="0019366E">
      <w:pPr>
        <w:jc w:val="both"/>
        <w:rPr>
          <w:lang w:val="es-ES"/>
        </w:rPr>
      </w:pPr>
      <w:r>
        <w:rPr>
          <w:lang w:val="es-ES"/>
        </w:rPr>
        <w:t>Establecer la influencia genotipo-ambiente en las características fisicoquímicas y funcionales de los clones de cacao.</w:t>
      </w:r>
    </w:p>
    <w:p w14:paraId="2FEE9DBB" w14:textId="77777777" w:rsidR="00A831F8" w:rsidRDefault="00A831F8">
      <w:pPr>
        <w:rPr>
          <w:lang w:val="es-ES"/>
        </w:rPr>
      </w:pPr>
    </w:p>
    <w:p w14:paraId="7025D5D0" w14:textId="77777777" w:rsidR="00A831F8" w:rsidRPr="00B82C91" w:rsidRDefault="00A831F8">
      <w:pPr>
        <w:rPr>
          <w:lang w:val="es-ES"/>
        </w:rPr>
      </w:pPr>
    </w:p>
    <w:sectPr w:rsidR="00A831F8" w:rsidRPr="00B82C91" w:rsidSect="004B3C97">
      <w:footerReference w:type="default" r:id="rId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84AC07" w14:textId="77777777" w:rsidR="005C5BE5" w:rsidRDefault="005C5BE5" w:rsidP="005939BB">
      <w:r>
        <w:separator/>
      </w:r>
    </w:p>
  </w:endnote>
  <w:endnote w:type="continuationSeparator" w:id="0">
    <w:p w14:paraId="12716BFA" w14:textId="77777777" w:rsidR="005C5BE5" w:rsidRDefault="005C5BE5"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7D6876" w:rsidRDefault="007D6876">
    <w:pPr>
      <w:pStyle w:val="Footer"/>
    </w:pPr>
  </w:p>
  <w:p w14:paraId="450E5957" w14:textId="77777777" w:rsidR="007D6876" w:rsidRDefault="007D68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718F7" w14:textId="77777777" w:rsidR="005C5BE5" w:rsidRDefault="005C5BE5" w:rsidP="005939BB">
      <w:r>
        <w:separator/>
      </w:r>
    </w:p>
  </w:footnote>
  <w:footnote w:type="continuationSeparator" w:id="0">
    <w:p w14:paraId="518A83D2" w14:textId="77777777" w:rsidR="005C5BE5" w:rsidRDefault="005C5BE5"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7EC68F6"/>
    <w:multiLevelType w:val="hybridMultilevel"/>
    <w:tmpl w:val="CE7C0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3738"/>
    <w:rsid w:val="000365A7"/>
    <w:rsid w:val="00060C7B"/>
    <w:rsid w:val="000610D7"/>
    <w:rsid w:val="00065A6E"/>
    <w:rsid w:val="0006773C"/>
    <w:rsid w:val="00093738"/>
    <w:rsid w:val="00095FC9"/>
    <w:rsid w:val="000A7BA8"/>
    <w:rsid w:val="000B15CE"/>
    <w:rsid w:val="000B7604"/>
    <w:rsid w:val="000C378D"/>
    <w:rsid w:val="000D0F59"/>
    <w:rsid w:val="000D612D"/>
    <w:rsid w:val="000F4D2C"/>
    <w:rsid w:val="00103604"/>
    <w:rsid w:val="00113B57"/>
    <w:rsid w:val="001179C0"/>
    <w:rsid w:val="001208E2"/>
    <w:rsid w:val="00161E80"/>
    <w:rsid w:val="001643F6"/>
    <w:rsid w:val="0017665D"/>
    <w:rsid w:val="00184EC9"/>
    <w:rsid w:val="0019366E"/>
    <w:rsid w:val="001B42F4"/>
    <w:rsid w:val="001D16A3"/>
    <w:rsid w:val="001F2C86"/>
    <w:rsid w:val="0020005C"/>
    <w:rsid w:val="0022161F"/>
    <w:rsid w:val="00241AF4"/>
    <w:rsid w:val="0025655C"/>
    <w:rsid w:val="00272EB6"/>
    <w:rsid w:val="00291AB2"/>
    <w:rsid w:val="002945E7"/>
    <w:rsid w:val="002B46E8"/>
    <w:rsid w:val="002B78F1"/>
    <w:rsid w:val="002D61C6"/>
    <w:rsid w:val="002E65E9"/>
    <w:rsid w:val="0032675C"/>
    <w:rsid w:val="00346920"/>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558B9"/>
    <w:rsid w:val="00460C92"/>
    <w:rsid w:val="004735DF"/>
    <w:rsid w:val="00493D16"/>
    <w:rsid w:val="004A4DA9"/>
    <w:rsid w:val="004B21A6"/>
    <w:rsid w:val="004B3C97"/>
    <w:rsid w:val="004B4B72"/>
    <w:rsid w:val="004C09DB"/>
    <w:rsid w:val="004C57B6"/>
    <w:rsid w:val="004E4F95"/>
    <w:rsid w:val="004E6421"/>
    <w:rsid w:val="004F0262"/>
    <w:rsid w:val="00520C77"/>
    <w:rsid w:val="00523C02"/>
    <w:rsid w:val="005339A6"/>
    <w:rsid w:val="0055029E"/>
    <w:rsid w:val="00552CEA"/>
    <w:rsid w:val="00552E1C"/>
    <w:rsid w:val="00553F65"/>
    <w:rsid w:val="00557D16"/>
    <w:rsid w:val="00561375"/>
    <w:rsid w:val="00592EB2"/>
    <w:rsid w:val="005939BB"/>
    <w:rsid w:val="0059521E"/>
    <w:rsid w:val="0059531A"/>
    <w:rsid w:val="005A214A"/>
    <w:rsid w:val="005A232E"/>
    <w:rsid w:val="005C07E9"/>
    <w:rsid w:val="005C4DBC"/>
    <w:rsid w:val="005C5BE5"/>
    <w:rsid w:val="005E0846"/>
    <w:rsid w:val="005F1485"/>
    <w:rsid w:val="00616AB0"/>
    <w:rsid w:val="0063139E"/>
    <w:rsid w:val="00631F3C"/>
    <w:rsid w:val="00637C62"/>
    <w:rsid w:val="0064032F"/>
    <w:rsid w:val="00640B47"/>
    <w:rsid w:val="0064445A"/>
    <w:rsid w:val="00671CFD"/>
    <w:rsid w:val="00692851"/>
    <w:rsid w:val="006A7B02"/>
    <w:rsid w:val="006C3B41"/>
    <w:rsid w:val="006E3FDF"/>
    <w:rsid w:val="006E7308"/>
    <w:rsid w:val="006F40E0"/>
    <w:rsid w:val="00703660"/>
    <w:rsid w:val="00715A54"/>
    <w:rsid w:val="00727447"/>
    <w:rsid w:val="00727E96"/>
    <w:rsid w:val="00731ABC"/>
    <w:rsid w:val="00753AC9"/>
    <w:rsid w:val="00757018"/>
    <w:rsid w:val="007729C1"/>
    <w:rsid w:val="00773F21"/>
    <w:rsid w:val="0078166F"/>
    <w:rsid w:val="00781A1A"/>
    <w:rsid w:val="00782253"/>
    <w:rsid w:val="007A025F"/>
    <w:rsid w:val="007B001E"/>
    <w:rsid w:val="007B5F02"/>
    <w:rsid w:val="007C3970"/>
    <w:rsid w:val="007C3DC4"/>
    <w:rsid w:val="007D6876"/>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778D8"/>
    <w:rsid w:val="00883371"/>
    <w:rsid w:val="00894BDA"/>
    <w:rsid w:val="008C1FE4"/>
    <w:rsid w:val="008C7326"/>
    <w:rsid w:val="008D7920"/>
    <w:rsid w:val="008E273B"/>
    <w:rsid w:val="008E3AEA"/>
    <w:rsid w:val="008F6CCD"/>
    <w:rsid w:val="00915253"/>
    <w:rsid w:val="009218A7"/>
    <w:rsid w:val="0094295B"/>
    <w:rsid w:val="00945067"/>
    <w:rsid w:val="00946D90"/>
    <w:rsid w:val="00964332"/>
    <w:rsid w:val="0096439A"/>
    <w:rsid w:val="00970F03"/>
    <w:rsid w:val="009836D3"/>
    <w:rsid w:val="009A2184"/>
    <w:rsid w:val="009A39C3"/>
    <w:rsid w:val="009A45D1"/>
    <w:rsid w:val="009A49AC"/>
    <w:rsid w:val="009A6C7B"/>
    <w:rsid w:val="009B26E8"/>
    <w:rsid w:val="009D0B5F"/>
    <w:rsid w:val="009D39D9"/>
    <w:rsid w:val="009E73C2"/>
    <w:rsid w:val="00A00152"/>
    <w:rsid w:val="00A10A86"/>
    <w:rsid w:val="00A148F3"/>
    <w:rsid w:val="00A14940"/>
    <w:rsid w:val="00A174FC"/>
    <w:rsid w:val="00A312DA"/>
    <w:rsid w:val="00A53275"/>
    <w:rsid w:val="00A831F8"/>
    <w:rsid w:val="00A83A87"/>
    <w:rsid w:val="00A93515"/>
    <w:rsid w:val="00A93BF9"/>
    <w:rsid w:val="00AA3200"/>
    <w:rsid w:val="00AB7AA2"/>
    <w:rsid w:val="00AD7AD0"/>
    <w:rsid w:val="00AE54DD"/>
    <w:rsid w:val="00AE79A7"/>
    <w:rsid w:val="00AF1460"/>
    <w:rsid w:val="00AF3553"/>
    <w:rsid w:val="00AF7E3A"/>
    <w:rsid w:val="00B5676F"/>
    <w:rsid w:val="00B82C91"/>
    <w:rsid w:val="00B9442C"/>
    <w:rsid w:val="00B96464"/>
    <w:rsid w:val="00BB1BEE"/>
    <w:rsid w:val="00BC2A30"/>
    <w:rsid w:val="00BE4739"/>
    <w:rsid w:val="00BF7494"/>
    <w:rsid w:val="00C00337"/>
    <w:rsid w:val="00C074B3"/>
    <w:rsid w:val="00C07BF6"/>
    <w:rsid w:val="00C10B0F"/>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5ABC"/>
    <w:rsid w:val="00D7334A"/>
    <w:rsid w:val="00D94CC4"/>
    <w:rsid w:val="00DA10E1"/>
    <w:rsid w:val="00DB0D6E"/>
    <w:rsid w:val="00DB1727"/>
    <w:rsid w:val="00DE43B8"/>
    <w:rsid w:val="00E16C6A"/>
    <w:rsid w:val="00E17E84"/>
    <w:rsid w:val="00E354D2"/>
    <w:rsid w:val="00E36852"/>
    <w:rsid w:val="00E77711"/>
    <w:rsid w:val="00E809C2"/>
    <w:rsid w:val="00E8640E"/>
    <w:rsid w:val="00E91B97"/>
    <w:rsid w:val="00ED06AE"/>
    <w:rsid w:val="00ED5A52"/>
    <w:rsid w:val="00ED5BD9"/>
    <w:rsid w:val="00ED60DE"/>
    <w:rsid w:val="00ED6165"/>
    <w:rsid w:val="00ED625A"/>
    <w:rsid w:val="00ED674A"/>
    <w:rsid w:val="00F059B1"/>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680742">
      <w:bodyDiv w:val="1"/>
      <w:marLeft w:val="0"/>
      <w:marRight w:val="0"/>
      <w:marTop w:val="0"/>
      <w:marBottom w:val="0"/>
      <w:divBdr>
        <w:top w:val="none" w:sz="0" w:space="0" w:color="auto"/>
        <w:left w:val="none" w:sz="0" w:space="0" w:color="auto"/>
        <w:bottom w:val="none" w:sz="0" w:space="0" w:color="auto"/>
        <w:right w:val="none" w:sz="0" w:space="0" w:color="auto"/>
      </w:divBdr>
    </w:div>
    <w:div w:id="1570966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E54DF-C8A4-43B8-87E1-C75B0916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33</Pages>
  <Words>5324</Words>
  <Characters>29288</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189</cp:revision>
  <dcterms:created xsi:type="dcterms:W3CDTF">2016-09-22T02:18:00Z</dcterms:created>
  <dcterms:modified xsi:type="dcterms:W3CDTF">2016-10-09T16:24:00Z</dcterms:modified>
</cp:coreProperties>
</file>