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t>
      </w:r>
      <w:proofErr w:type="spellStart"/>
      <w:r w:rsidR="00CA76A6">
        <w:rPr>
          <w:lang w:val="es-ES"/>
        </w:rPr>
        <w:t>Wilcoxon</w:t>
      </w:r>
      <w:proofErr w:type="spellEnd"/>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proofErr w:type="spellStart"/>
      <w:r>
        <w:rPr>
          <w:lang w:val="es-ES"/>
        </w:rPr>
        <w:t>Wilcoxon</w:t>
      </w:r>
      <w:proofErr w:type="spellEnd"/>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5C07E9"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FF56BD">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FF56BD">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5C07E9"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FF56BD">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5C07E9"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5C07E9"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FF56BD">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FF56BD">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FF56BD">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5C07E9"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5C07E9"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FF56BD">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FF56BD">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5C07E9"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5C07E9"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FF56BD">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FF56BD">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FF56BD">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5C07E9"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FF56BD">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FF56BD">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5C07E9"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FF56BD">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FF56BD">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5C07E9"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FF56BD">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5C07E9"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FF56BD">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FF56BD">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FF56BD">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5C07E9"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FF56BD">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FF56BD">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5C07E9"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FF56BD">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FF56BD">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FF56BD">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5C07E9"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FF56BD">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FF56BD">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5C07E9"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FF56BD">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5C07E9"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5C07E9"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FF56BD">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FF56BD">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FF56BD">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FF56BD">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5C07E9"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50</w:t>
            </w:r>
            <w:r>
              <w:fldChar w:fldCharType="end"/>
            </w:r>
            <w:r w:rsidRPr="00460C92">
              <w:rPr>
                <w:lang w:val="es-CO"/>
              </w:rPr>
              <w:t>. Circulo de correlaciones para variables – Componentes principales 1 y 3</w:t>
            </w:r>
          </w:p>
        </w:tc>
      </w:tr>
      <w:tr w:rsidR="00460C92" w:rsidRPr="005C07E9"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fldSimple w:instr=" SEQ Ilustración \* ARABIC ">
              <w:r w:rsidR="00FF56BD">
                <w:rPr>
                  <w:noProof/>
                </w:rPr>
                <w:t>52</w:t>
              </w:r>
            </w:fldSimple>
            <w:r>
              <w:t>. Biplot dimensiones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fldSimple w:instr=" SEQ Ilustración \* ARABIC ">
              <w:r w:rsidR="00FF56BD">
                <w:rPr>
                  <w:noProof/>
                </w:rPr>
                <w:t>53</w:t>
              </w:r>
            </w:fldSimple>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fldSimple w:instr=" SEQ Ilustración \* ARABIC ">
              <w:r w:rsidR="00FF56BD">
                <w:rPr>
                  <w:noProof/>
                </w:rPr>
                <w:t>54</w:t>
              </w:r>
            </w:fldSimple>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Pr="00FF56BD">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9366E">
      <w:pPr>
        <w:pStyle w:val="Heading1"/>
        <w:jc w:val="both"/>
        <w:rPr>
          <w:lang w:val="es-ES"/>
        </w:rPr>
      </w:pPr>
      <w:r>
        <w:rPr>
          <w:lang w:val="es-ES"/>
        </w:rPr>
        <w:t>Objetivo 3</w:t>
      </w:r>
    </w:p>
    <w:p w14:paraId="2E58F2A3" w14:textId="77777777" w:rsidR="001208E2" w:rsidRDefault="001208E2" w:rsidP="0019366E">
      <w:pPr>
        <w:jc w:val="both"/>
        <w:rPr>
          <w:lang w:val="es-ES"/>
        </w:rPr>
      </w:pPr>
    </w:p>
    <w:p w14:paraId="75E0537D" w14:textId="5B629E67" w:rsidR="0064032F" w:rsidRDefault="005C07E9" w:rsidP="0019366E">
      <w:pPr>
        <w:jc w:val="both"/>
        <w:rPr>
          <w:lang w:val="es-ES"/>
        </w:rPr>
      </w:pPr>
      <w:r>
        <w:rPr>
          <w:lang w:val="es-ES"/>
        </w:rPr>
        <w:t>Con el fin de identificar los principales compuestos que caracterizan los olores y sabores del cacao para los clones evaluados se realizó un Análisis de Correspondencias Múltiple</w:t>
      </w:r>
      <w:r w:rsidR="0064032F">
        <w:rPr>
          <w:lang w:val="es-ES"/>
        </w:rPr>
        <w:t xml:space="preserve"> (MCA, por sus siglas en inglés)</w:t>
      </w:r>
      <w:r>
        <w:rPr>
          <w:lang w:val="es-ES"/>
        </w:rPr>
        <w:t>, utilizando como variables de entrada los diferentes compuestos medidos a través del análisis organoléptico, donde se midieron 49 tipos de compuestos volátiles distintos.</w:t>
      </w:r>
    </w:p>
    <w:p w14:paraId="442E7A31" w14:textId="77777777" w:rsidR="0064032F" w:rsidRDefault="0064032F" w:rsidP="0019366E">
      <w:pPr>
        <w:jc w:val="both"/>
        <w:rPr>
          <w:lang w:val="es-ES"/>
        </w:rPr>
      </w:pPr>
    </w:p>
    <w:p w14:paraId="25611B2D" w14:textId="586853A8" w:rsidR="00B82C91" w:rsidRDefault="0064032F" w:rsidP="0019366E">
      <w:pPr>
        <w:jc w:val="both"/>
        <w:rPr>
          <w:lang w:val="es-ES"/>
        </w:rPr>
      </w:pPr>
      <w:r>
        <w:rPr>
          <w:lang w:val="es-ES"/>
        </w:rPr>
        <w:t>Previo al análisis se identificaron aquellos compuestos volátiles que se encontraban presentes en todos los clones y por ende no aportaban rasgos de variación útiles, estos fueron:</w:t>
      </w:r>
    </w:p>
    <w:p w14:paraId="7D0232EB" w14:textId="77777777" w:rsidR="0064032F" w:rsidRDefault="0064032F" w:rsidP="0019366E">
      <w:pPr>
        <w:jc w:val="both"/>
        <w:rPr>
          <w:lang w:val="es-ES"/>
        </w:rPr>
      </w:pPr>
    </w:p>
    <w:p w14:paraId="355E263B" w14:textId="40EFCC22" w:rsidR="0064032F" w:rsidRDefault="0064032F" w:rsidP="0064032F">
      <w:pPr>
        <w:pStyle w:val="ListParagraph"/>
        <w:numPr>
          <w:ilvl w:val="0"/>
          <w:numId w:val="4"/>
        </w:numPr>
        <w:jc w:val="both"/>
        <w:rPr>
          <w:lang w:val="es-ES"/>
        </w:rPr>
      </w:pPr>
      <w:r w:rsidRPr="0064032F">
        <w:rPr>
          <w:lang w:val="es-ES"/>
        </w:rPr>
        <w:t>Ácido acético</w:t>
      </w:r>
    </w:p>
    <w:p w14:paraId="4A770460" w14:textId="1D6371BA" w:rsidR="0064032F" w:rsidRDefault="0064032F" w:rsidP="0064032F">
      <w:pPr>
        <w:pStyle w:val="ListParagraph"/>
        <w:numPr>
          <w:ilvl w:val="0"/>
          <w:numId w:val="4"/>
        </w:numPr>
        <w:jc w:val="both"/>
        <w:rPr>
          <w:lang w:val="es-ES"/>
        </w:rPr>
      </w:pPr>
      <w:r w:rsidRPr="0064032F">
        <w:rPr>
          <w:lang w:val="es-ES"/>
        </w:rPr>
        <w:t>2,3 Butaneidol</w:t>
      </w:r>
    </w:p>
    <w:p w14:paraId="0B0EB854" w14:textId="27066278" w:rsidR="0064032F" w:rsidRDefault="0064032F" w:rsidP="0064032F">
      <w:pPr>
        <w:pStyle w:val="ListParagraph"/>
        <w:numPr>
          <w:ilvl w:val="0"/>
          <w:numId w:val="4"/>
        </w:numPr>
        <w:jc w:val="both"/>
        <w:rPr>
          <w:lang w:val="es-ES"/>
        </w:rPr>
      </w:pPr>
      <w:r w:rsidRPr="0064032F">
        <w:rPr>
          <w:lang w:val="es-ES"/>
        </w:rPr>
        <w:t>Acetofenona</w:t>
      </w:r>
    </w:p>
    <w:p w14:paraId="3AFC6492" w14:textId="77777777" w:rsidR="0064032F" w:rsidRDefault="0064032F" w:rsidP="0064032F">
      <w:pPr>
        <w:jc w:val="both"/>
        <w:rPr>
          <w:lang w:val="es-ES"/>
        </w:rPr>
      </w:pPr>
    </w:p>
    <w:p w14:paraId="2AEE43B1" w14:textId="6D5107E4" w:rsidR="0064032F" w:rsidRDefault="0064032F" w:rsidP="0064032F">
      <w:pPr>
        <w:jc w:val="both"/>
        <w:rPr>
          <w:lang w:val="es-ES"/>
        </w:rPr>
      </w:pPr>
      <w:r>
        <w:rPr>
          <w:lang w:val="es-ES"/>
        </w:rPr>
        <w:t>Posteriormente se realizó el MCA</w:t>
      </w:r>
      <w:r w:rsidR="00A10A86">
        <w:rPr>
          <w:lang w:val="es-ES"/>
        </w:rPr>
        <w:t>, encontrando que para 7 ejes principales se logra alcanzar un porcentaje de varianza explicada del 60.1% con respecto al total</w:t>
      </w:r>
      <w:r w:rsidR="000B7604">
        <w:rPr>
          <w:lang w:val="es-ES"/>
        </w:rPr>
        <w:t>. Este</w:t>
      </w:r>
      <w:r w:rsidR="00A10A86">
        <w:rPr>
          <w:lang w:val="es-ES"/>
        </w:rPr>
        <w:t xml:space="preserve"> es un indicador de reducidas relaciones entre los compuestos volátiles</w:t>
      </w:r>
      <w:r w:rsidR="000B7604">
        <w:rPr>
          <w:lang w:val="es-ES"/>
        </w:rPr>
        <w:t xml:space="preserve">, ya que la variación en los datos se distribuye </w:t>
      </w:r>
      <w:r w:rsidR="000B7604">
        <w:rPr>
          <w:lang w:val="es-ES"/>
        </w:rPr>
        <w:lastRenderedPageBreak/>
        <w:t>por un elevado número de ejes principales, no obstante, inferior al número de compuestos volátiles medidos en total</w:t>
      </w:r>
      <w:r w:rsidR="00A10A86">
        <w:rPr>
          <w:lang w:val="es-ES"/>
        </w:rPr>
        <w:t>.</w:t>
      </w:r>
    </w:p>
    <w:p w14:paraId="58A8A2A0" w14:textId="77777777" w:rsidR="000B7604" w:rsidRDefault="000B7604" w:rsidP="0064032F">
      <w:pPr>
        <w:jc w:val="both"/>
        <w:rPr>
          <w:lang w:val="es-ES"/>
        </w:rPr>
      </w:pPr>
    </w:p>
    <w:p w14:paraId="5873AF9C" w14:textId="486D9867" w:rsidR="000B7604" w:rsidRPr="0064032F" w:rsidRDefault="000B7604" w:rsidP="000B7604">
      <w:pPr>
        <w:jc w:val="center"/>
        <w:rPr>
          <w:lang w:val="es-ES"/>
        </w:rPr>
      </w:pPr>
      <w:r>
        <w:rPr>
          <w:noProof/>
          <w:lang w:val="es-CO" w:eastAsia="es-CO"/>
        </w:rPr>
        <w:drawing>
          <wp:inline distT="0" distB="0" distL="0" distR="0" wp14:anchorId="2F7C7DE3" wp14:editId="4BF587FA">
            <wp:extent cx="2971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a_eigenVal.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95C5D86" w14:textId="77777777" w:rsidR="001208E2" w:rsidRDefault="001208E2" w:rsidP="0019366E">
      <w:pPr>
        <w:jc w:val="both"/>
        <w:rPr>
          <w:lang w:val="es-ES"/>
        </w:rPr>
      </w:pPr>
    </w:p>
    <w:p w14:paraId="2E5BB083" w14:textId="1482CBBA" w:rsidR="000B7604" w:rsidRDefault="00A174FC" w:rsidP="0019366E">
      <w:pPr>
        <w:jc w:val="both"/>
        <w:rPr>
          <w:lang w:val="es-ES"/>
        </w:rPr>
      </w:pPr>
      <w:r>
        <w:rPr>
          <w:lang w:val="es-ES"/>
        </w:rPr>
        <w:t>Calidad de representación de compuestos volátiles</w:t>
      </w:r>
    </w:p>
    <w:p w14:paraId="43691843" w14:textId="77777777" w:rsidR="00A174FC" w:rsidRDefault="00A174FC" w:rsidP="0019366E">
      <w:pPr>
        <w:jc w:val="both"/>
        <w:rPr>
          <w:lang w:val="es-ES"/>
        </w:rPr>
      </w:pPr>
    </w:p>
    <w:p w14:paraId="78CE636D" w14:textId="7C682CC0" w:rsidR="00A174FC" w:rsidRDefault="00A174FC" w:rsidP="0019366E">
      <w:pPr>
        <w:jc w:val="both"/>
        <w:rPr>
          <w:lang w:val="es-ES"/>
        </w:rPr>
      </w:pPr>
      <w:r>
        <w:rPr>
          <w:lang w:val="es-ES"/>
        </w:rPr>
        <w:t>Circulo de correlaciones variables</w:t>
      </w:r>
    </w:p>
    <w:p w14:paraId="018C3F61" w14:textId="77777777" w:rsidR="00A174FC" w:rsidRDefault="00A174FC" w:rsidP="0019366E">
      <w:pPr>
        <w:jc w:val="both"/>
        <w:rPr>
          <w:lang w:val="es-ES"/>
        </w:rPr>
      </w:pPr>
    </w:p>
    <w:p w14:paraId="146B018B" w14:textId="37D76E5F" w:rsidR="00A174FC" w:rsidRDefault="00A174FC" w:rsidP="00A174FC">
      <w:pPr>
        <w:jc w:val="center"/>
        <w:rPr>
          <w:lang w:val="es-ES"/>
        </w:rPr>
      </w:pPr>
      <w:r>
        <w:rPr>
          <w:noProof/>
          <w:lang w:val="es-CO" w:eastAsia="es-CO"/>
        </w:rPr>
        <w:drawing>
          <wp:inline distT="0" distB="0" distL="0" distR="0" wp14:anchorId="5EB1FAD1" wp14:editId="2BE69DB4">
            <wp:extent cx="2971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ca_variables_1_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93CBE1C" w14:textId="77777777" w:rsidR="00A174FC" w:rsidRDefault="00A174FC" w:rsidP="00A174FC">
      <w:pPr>
        <w:jc w:val="both"/>
        <w:rPr>
          <w:lang w:val="es-ES"/>
        </w:rPr>
      </w:pPr>
    </w:p>
    <w:p w14:paraId="2BEDA588" w14:textId="77777777" w:rsidR="00A174FC" w:rsidRDefault="00A174FC" w:rsidP="00A174FC">
      <w:pPr>
        <w:jc w:val="both"/>
        <w:rPr>
          <w:lang w:val="es-ES"/>
        </w:rPr>
      </w:pPr>
      <w:bookmarkStart w:id="0" w:name="_GoBack"/>
      <w:bookmarkEnd w:id="0"/>
    </w:p>
    <w:p w14:paraId="0E8F4FB5" w14:textId="77777777" w:rsidR="000B7604" w:rsidRDefault="000B7604" w:rsidP="0019366E">
      <w:pPr>
        <w:jc w:val="both"/>
        <w:rPr>
          <w:lang w:val="es-ES"/>
        </w:rPr>
      </w:pPr>
    </w:p>
    <w:p w14:paraId="077C9ECC" w14:textId="77777777" w:rsidR="001208E2" w:rsidRDefault="00B82C91" w:rsidP="0019366E">
      <w:pPr>
        <w:pStyle w:val="Heading1"/>
        <w:jc w:val="both"/>
        <w:rPr>
          <w:lang w:val="es-ES"/>
        </w:rPr>
      </w:pPr>
      <w:r>
        <w:rPr>
          <w:lang w:val="es-ES"/>
        </w:rPr>
        <w:t>Objetivo 4</w:t>
      </w:r>
    </w:p>
    <w:p w14:paraId="52E4A5AA" w14:textId="77777777" w:rsidR="001208E2" w:rsidRDefault="001208E2" w:rsidP="0019366E">
      <w:pPr>
        <w:jc w:val="both"/>
        <w:rPr>
          <w:lang w:val="es-ES"/>
        </w:rPr>
      </w:pPr>
    </w:p>
    <w:p w14:paraId="28B45562" w14:textId="64E6EB49" w:rsidR="00B82C91" w:rsidRDefault="00B9442C" w:rsidP="0019366E">
      <w:pPr>
        <w:jc w:val="both"/>
        <w:rPr>
          <w:lang w:val="es-ES"/>
        </w:rPr>
      </w:pPr>
      <w:r>
        <w:rPr>
          <w:lang w:val="es-ES"/>
        </w:rPr>
        <w:lastRenderedPageBreak/>
        <w:t>Establecer la influencia genotipo-ambiente en las características fisicoquímicas y funcionales de los clones de cacao.</w:t>
      </w:r>
    </w:p>
    <w:p w14:paraId="2FEE9DBB" w14:textId="77777777" w:rsidR="00A831F8" w:rsidRDefault="00A831F8">
      <w:pPr>
        <w:rPr>
          <w:lang w:val="es-ES"/>
        </w:rPr>
      </w:pPr>
    </w:p>
    <w:p w14:paraId="7025D5D0" w14:textId="77777777" w:rsidR="00A831F8" w:rsidRPr="00B82C91" w:rsidRDefault="00A831F8">
      <w:pPr>
        <w:rPr>
          <w:lang w:val="es-ES"/>
        </w:rPr>
      </w:pPr>
    </w:p>
    <w:sectPr w:rsidR="00A831F8" w:rsidRPr="00B82C91" w:rsidSect="004B3C97">
      <w:footerReference w:type="default" r:id="rId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C5749" w14:textId="77777777" w:rsidR="00DE43B8" w:rsidRDefault="00DE43B8" w:rsidP="005939BB">
      <w:r>
        <w:separator/>
      </w:r>
    </w:p>
  </w:endnote>
  <w:endnote w:type="continuationSeparator" w:id="0">
    <w:p w14:paraId="35551746" w14:textId="77777777" w:rsidR="00DE43B8" w:rsidRDefault="00DE43B8"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437B2" w14:textId="77777777" w:rsidR="00DE43B8" w:rsidRDefault="00DE43B8" w:rsidP="005939BB">
      <w:r>
        <w:separator/>
      </w:r>
    </w:p>
  </w:footnote>
  <w:footnote w:type="continuationSeparator" w:id="0">
    <w:p w14:paraId="6C3A24A4" w14:textId="77777777" w:rsidR="00DE43B8" w:rsidRDefault="00DE43B8"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7EC68F6"/>
    <w:multiLevelType w:val="hybridMultilevel"/>
    <w:tmpl w:val="CE7C0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65A7"/>
    <w:rsid w:val="00060C7B"/>
    <w:rsid w:val="000610D7"/>
    <w:rsid w:val="00065A6E"/>
    <w:rsid w:val="0006773C"/>
    <w:rsid w:val="00093738"/>
    <w:rsid w:val="00095FC9"/>
    <w:rsid w:val="000A7BA8"/>
    <w:rsid w:val="000B15CE"/>
    <w:rsid w:val="000B7604"/>
    <w:rsid w:val="000C378D"/>
    <w:rsid w:val="000D0F59"/>
    <w:rsid w:val="000D612D"/>
    <w:rsid w:val="000F4D2C"/>
    <w:rsid w:val="00103604"/>
    <w:rsid w:val="00113B57"/>
    <w:rsid w:val="001179C0"/>
    <w:rsid w:val="001208E2"/>
    <w:rsid w:val="00161E80"/>
    <w:rsid w:val="001643F6"/>
    <w:rsid w:val="0017665D"/>
    <w:rsid w:val="00184EC9"/>
    <w:rsid w:val="0019366E"/>
    <w:rsid w:val="001B42F4"/>
    <w:rsid w:val="001D16A3"/>
    <w:rsid w:val="001F2C86"/>
    <w:rsid w:val="0020005C"/>
    <w:rsid w:val="0022161F"/>
    <w:rsid w:val="00241AF4"/>
    <w:rsid w:val="0025655C"/>
    <w:rsid w:val="00272EB6"/>
    <w:rsid w:val="00291AB2"/>
    <w:rsid w:val="002945E7"/>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60C92"/>
    <w:rsid w:val="004735DF"/>
    <w:rsid w:val="00493D16"/>
    <w:rsid w:val="004A4DA9"/>
    <w:rsid w:val="004B21A6"/>
    <w:rsid w:val="004B3C97"/>
    <w:rsid w:val="004B4B72"/>
    <w:rsid w:val="004C09DB"/>
    <w:rsid w:val="004C57B6"/>
    <w:rsid w:val="004E4F95"/>
    <w:rsid w:val="004E6421"/>
    <w:rsid w:val="004F0262"/>
    <w:rsid w:val="00520C77"/>
    <w:rsid w:val="005339A6"/>
    <w:rsid w:val="0055029E"/>
    <w:rsid w:val="00552CEA"/>
    <w:rsid w:val="00552E1C"/>
    <w:rsid w:val="00553F65"/>
    <w:rsid w:val="00557D16"/>
    <w:rsid w:val="00561375"/>
    <w:rsid w:val="00592EB2"/>
    <w:rsid w:val="005939BB"/>
    <w:rsid w:val="0059531A"/>
    <w:rsid w:val="005A214A"/>
    <w:rsid w:val="005A232E"/>
    <w:rsid w:val="005C07E9"/>
    <w:rsid w:val="005C4DBC"/>
    <w:rsid w:val="005E0846"/>
    <w:rsid w:val="005F1485"/>
    <w:rsid w:val="00616AB0"/>
    <w:rsid w:val="0063139E"/>
    <w:rsid w:val="0064032F"/>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82253"/>
    <w:rsid w:val="007A025F"/>
    <w:rsid w:val="007B001E"/>
    <w:rsid w:val="007B5F02"/>
    <w:rsid w:val="007C3970"/>
    <w:rsid w:val="007C3DC4"/>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836D3"/>
    <w:rsid w:val="009A2184"/>
    <w:rsid w:val="009A39C3"/>
    <w:rsid w:val="009A45D1"/>
    <w:rsid w:val="009A49AC"/>
    <w:rsid w:val="009A6C7B"/>
    <w:rsid w:val="009B26E8"/>
    <w:rsid w:val="009D0B5F"/>
    <w:rsid w:val="009D39D9"/>
    <w:rsid w:val="009E73C2"/>
    <w:rsid w:val="00A00152"/>
    <w:rsid w:val="00A10A86"/>
    <w:rsid w:val="00A148F3"/>
    <w:rsid w:val="00A14940"/>
    <w:rsid w:val="00A174FC"/>
    <w:rsid w:val="00A312DA"/>
    <w:rsid w:val="00A53275"/>
    <w:rsid w:val="00A831F8"/>
    <w:rsid w:val="00A83A87"/>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E4739"/>
    <w:rsid w:val="00BF7494"/>
    <w:rsid w:val="00C00337"/>
    <w:rsid w:val="00C074B3"/>
    <w:rsid w:val="00C07BF6"/>
    <w:rsid w:val="00C10B0F"/>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B0D6E"/>
    <w:rsid w:val="00DB1727"/>
    <w:rsid w:val="00DE43B8"/>
    <w:rsid w:val="00E17E84"/>
    <w:rsid w:val="00E354D2"/>
    <w:rsid w:val="00E36852"/>
    <w:rsid w:val="00E77711"/>
    <w:rsid w:val="00E809C2"/>
    <w:rsid w:val="00E8640E"/>
    <w:rsid w:val="00E91B97"/>
    <w:rsid w:val="00ED06AE"/>
    <w:rsid w:val="00ED5A52"/>
    <w:rsid w:val="00ED5BD9"/>
    <w:rsid w:val="00ED60DE"/>
    <w:rsid w:val="00ED6165"/>
    <w:rsid w:val="00ED625A"/>
    <w:rsid w:val="00ED674A"/>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2ECBB-018C-4A1C-84A3-F3920BCFA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32</Pages>
  <Words>5016</Words>
  <Characters>27588</Characters>
  <Application>Microsoft Office Word</Application>
  <DocSecurity>0</DocSecurity>
  <Lines>229</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178</cp:revision>
  <dcterms:created xsi:type="dcterms:W3CDTF">2016-09-22T02:18:00Z</dcterms:created>
  <dcterms:modified xsi:type="dcterms:W3CDTF">2016-10-08T22:45:00Z</dcterms:modified>
</cp:coreProperties>
</file>