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r w:rsidRPr="00CA76A6">
        <w:rPr>
          <w:b/>
          <w:i/>
          <w:lang w:val="es-ES"/>
        </w:rPr>
        <w:t>Theobroma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Shapiro-Wilks</w:t>
      </w:r>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(t-student,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Kruskal-Wallis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pseudo-independencia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Kruskal-Wallis)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Kruskal-Wallis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8300DE"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86021A">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86021A">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8300DE"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86021A">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86021A">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Distribución de p-valores para el test de Kruskal-Wallis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Kruskal-Wallis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86021A">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8300DE"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86021A">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86021A">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8300DE"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86021A">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86021A">
              <w:rPr>
                <w:noProof/>
                <w:lang w:val="es-CO"/>
              </w:rPr>
              <w:t>9</w:t>
            </w:r>
            <w:r>
              <w:fldChar w:fldCharType="end"/>
            </w:r>
            <w:r w:rsidRPr="00D7334A">
              <w:rPr>
                <w:lang w:val="es-CO"/>
              </w:rPr>
              <w:t xml:space="preserve">. Distribución de p-valores para el test de Kruskal-Wallis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Para evaluar las diferencias entre zonas se aplicó el test de Kruskal-Wallis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86021A">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8300DE"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6021A">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6021A">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Explorando ahora si existen diferencias significativas entre las zonas donde se evaluaron los diferentes clones, si se observa la Figura 13 se puede notar unas leves diferencias entre las zonas evaluadas (aunque alrededor de 0), no obstante al realizar el test de Kruskal-Wallis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8300DE"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6021A">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86021A">
              <w:rPr>
                <w:noProof/>
                <w:lang w:val="es-CO"/>
              </w:rPr>
              <w:t>14</w:t>
            </w:r>
            <w:r>
              <w:fldChar w:fldCharType="end"/>
            </w:r>
            <w:r w:rsidRPr="0032675C">
              <w:rPr>
                <w:lang w:val="es-CO"/>
              </w:rPr>
              <w:t>. Distribución de p-valores para el test de Kruskal-Wallis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86021A">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8300DE"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86021A">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86021A">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Acto seguido, evaluando si existen diferencias entre zonas (Figura18), el test de Kruskal-Wallis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8300DE"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86021A">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86021A">
              <w:rPr>
                <w:noProof/>
                <w:lang w:val="es-CO"/>
              </w:rPr>
              <w:t>19</w:t>
            </w:r>
            <w:r>
              <w:fldChar w:fldCharType="end"/>
            </w:r>
            <w:r w:rsidRPr="008F6CCD">
              <w:rPr>
                <w:lang w:val="es-CO"/>
              </w:rPr>
              <w:t>. Distribución de p-valores para el test de Kruskal-Wallis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86021A">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8300DE"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86021A">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86021A">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8300DE"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86021A">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86021A">
              <w:rPr>
                <w:noProof/>
                <w:lang w:val="es-CO"/>
              </w:rPr>
              <w:t>24</w:t>
            </w:r>
            <w:r>
              <w:fldChar w:fldCharType="end"/>
            </w:r>
            <w:r w:rsidRPr="0025655C">
              <w:rPr>
                <w:lang w:val="es-CO"/>
              </w:rPr>
              <w:t>. Distribución de p-valores para el test de Kruskal-Wallis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86021A">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8300DE"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86021A">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86021A">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Nuevamente evaluando si existen diferencias entre las zonas (Figura 28), las simulaciones del test Kruskal-Wallis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8300DE"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86021A">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86021A">
              <w:rPr>
                <w:noProof/>
                <w:lang w:val="es-CO"/>
              </w:rPr>
              <w:t>29</w:t>
            </w:r>
            <w:r>
              <w:fldChar w:fldCharType="end"/>
            </w:r>
            <w:r w:rsidRPr="00346B3D">
              <w:rPr>
                <w:lang w:val="es-CO"/>
              </w:rPr>
              <w:t>. Distribución de p-valores para el test de Kruskal-Wallis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86021A">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catequina y epicatequina. </w:t>
      </w:r>
      <w:r w:rsidR="009B26E8">
        <w:rPr>
          <w:lang w:val="es-CO"/>
        </w:rPr>
        <w:t>Para el contenido de catequina en las etapas pre y post fermentación se puede observar en la Figura 31 que en términos generales para la mayoría de clones/repeticiones evaluadas el contenido de catequina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8300DE"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86021A">
              <w:rPr>
                <w:noProof/>
                <w:lang w:val="es-CO"/>
              </w:rPr>
              <w:t>31</w:t>
            </w:r>
            <w:r>
              <w:fldChar w:fldCharType="end"/>
            </w:r>
            <w:r w:rsidRPr="009A39C3">
              <w:rPr>
                <w:lang w:val="es-CO"/>
              </w:rPr>
              <w:t>. Catequina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86021A">
              <w:rPr>
                <w:noProof/>
                <w:lang w:val="es-CO"/>
              </w:rPr>
              <w:t>32</w:t>
            </w:r>
            <w:r>
              <w:fldChar w:fldCharType="end"/>
            </w:r>
            <w:r w:rsidRPr="0017665D">
              <w:rPr>
                <w:lang w:val="es-CO"/>
              </w:rPr>
              <w:t>. Distribución de p-valores para el test de Wilcoxon para evaluar diferencias significativas en el contenido de catequina</w:t>
            </w:r>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Kruskal-Wallis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8300DE"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86021A">
              <w:rPr>
                <w:noProof/>
                <w:lang w:val="es-CO"/>
              </w:rPr>
              <w:t>33</w:t>
            </w:r>
            <w:r>
              <w:fldChar w:fldCharType="end"/>
            </w:r>
            <w:r w:rsidRPr="00715A54">
              <w:rPr>
                <w:lang w:val="es-CO"/>
              </w:rPr>
              <w:t>. Diferencia en el contenido de catequina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86021A">
              <w:rPr>
                <w:noProof/>
                <w:lang w:val="es-CO"/>
              </w:rPr>
              <w:t>34</w:t>
            </w:r>
            <w:r>
              <w:fldChar w:fldCharType="end"/>
            </w:r>
            <w:r w:rsidRPr="004C57B6">
              <w:rPr>
                <w:lang w:val="es-CO"/>
              </w:rPr>
              <w:t>. Distribución de p-valores para el test de Kruskal-Wallis para evaluar diferencias significativas en el contenido de catequina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se identifica que los clones con reducciones más abruptas en el contenido de catequina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86021A">
        <w:rPr>
          <w:noProof/>
          <w:lang w:val="es-CO"/>
        </w:rPr>
        <w:t>35</w:t>
      </w:r>
      <w:r>
        <w:fldChar w:fldCharType="end"/>
      </w:r>
      <w:r w:rsidRPr="00553F65">
        <w:rPr>
          <w:lang w:val="es-CO"/>
        </w:rPr>
        <w:t>. Diferencia en el contenido de catequina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8300DE"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86021A">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86021A">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Kruskal-Wallis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8300DE"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86021A">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86021A">
              <w:rPr>
                <w:noProof/>
                <w:lang w:val="es-CO"/>
              </w:rPr>
              <w:t>39</w:t>
            </w:r>
            <w:r>
              <w:fldChar w:fldCharType="end"/>
            </w:r>
            <w:r w:rsidRPr="004F0262">
              <w:rPr>
                <w:lang w:val="es-CO"/>
              </w:rPr>
              <w:t>. Distribución de p-valores para el test de Kruskal-Wallis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86021A">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6021A">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6021A">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787327B1" w:rsidR="00894BDA" w:rsidRDefault="00894BDA" w:rsidP="00C80DD7">
      <w:pPr>
        <w:keepNext/>
        <w:jc w:val="both"/>
        <w:rPr>
          <w:lang w:val="es-CO"/>
        </w:rPr>
      </w:pPr>
      <w:r>
        <w:rPr>
          <w:lang w:val="es-CO"/>
        </w:rPr>
        <w:t>Acto seguido para evaluar la influencia del sitio donde se realizó el estudio se procedió a la realización de un test de Kruskal-Wallis</w:t>
      </w:r>
    </w:p>
    <w:p w14:paraId="1BEBAADE" w14:textId="77777777" w:rsidR="00436303" w:rsidRDefault="00436303" w:rsidP="00436303">
      <w:pPr>
        <w:keepNext/>
        <w:jc w:val="both"/>
        <w:rPr>
          <w:lang w:val="es-CO"/>
        </w:rPr>
      </w:pPr>
      <w:bookmarkStart w:id="0" w:name="_GoBack"/>
      <w:bookmarkEnd w:id="0"/>
    </w:p>
    <w:tbl>
      <w:tblPr>
        <w:tblStyle w:val="TableGrid"/>
        <w:tblW w:w="0" w:type="auto"/>
        <w:tblLook w:val="04A0" w:firstRow="1" w:lastRow="0" w:firstColumn="1" w:lastColumn="0" w:noHBand="0" w:noVBand="1"/>
      </w:tblPr>
      <w:tblGrid>
        <w:gridCol w:w="4675"/>
        <w:gridCol w:w="4675"/>
      </w:tblGrid>
      <w:tr w:rsidR="00436303"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Pr>
                <w:noProof/>
                <w:lang w:val="es-CO"/>
              </w:rPr>
              <w:t>44</w:t>
            </w:r>
            <w:r>
              <w:fldChar w:fldCharType="end"/>
            </w:r>
            <w:r w:rsidRPr="00436303">
              <w:rPr>
                <w:lang w:val="es-CO"/>
              </w:rPr>
              <w:t>. Distribución de p-valores para el test de Kruskal-Wallis para evaluar diferencias significativas en la actividad antioxidante por zona</w:t>
            </w:r>
          </w:p>
        </w:tc>
      </w:tr>
    </w:tbl>
    <w:p w14:paraId="3B06C6F0" w14:textId="77777777" w:rsidR="00436303" w:rsidRDefault="00436303" w:rsidP="00436303">
      <w:pPr>
        <w:keepNext/>
        <w:jc w:val="both"/>
        <w:rPr>
          <w:lang w:val="es-CO"/>
        </w:rPr>
      </w:pPr>
    </w:p>
    <w:p w14:paraId="18FD4549" w14:textId="2F0AE22B" w:rsidR="00436303" w:rsidRPr="0086021A" w:rsidRDefault="00436303" w:rsidP="00436303">
      <w:pPr>
        <w:keepNext/>
        <w:jc w:val="center"/>
        <w:rPr>
          <w:lang w:val="es-CO"/>
        </w:rPr>
      </w:pPr>
    </w:p>
    <w:p w14:paraId="1285AA64" w14:textId="7D18A404" w:rsidR="00C63FC1" w:rsidRDefault="00C63FC1" w:rsidP="0086021A">
      <w:pPr>
        <w:keepNext/>
        <w:jc w:val="both"/>
        <w:rPr>
          <w:lang w:val="es-CO"/>
        </w:rPr>
      </w:pPr>
      <w:r>
        <w:rPr>
          <w:lang w:val="es-CO"/>
        </w:rPr>
        <w:t>Intervalo [</w:t>
      </w:r>
      <w:r w:rsidRPr="00C63FC1">
        <w:rPr>
          <w:lang w:val="es-CO"/>
        </w:rPr>
        <w:t>0.06148</w:t>
      </w:r>
      <w:r>
        <w:rPr>
          <w:lang w:val="es-CO"/>
        </w:rPr>
        <w:t>,</w:t>
      </w:r>
      <w:r w:rsidRPr="00C63FC1">
        <w:rPr>
          <w:lang w:val="es-CO"/>
        </w:rPr>
        <w:t xml:space="preserve"> 0.71881</w:t>
      </w:r>
      <w:r>
        <w:rPr>
          <w:lang w:val="es-CO"/>
        </w:rPr>
        <w:t>]</w:t>
      </w:r>
    </w:p>
    <w:p w14:paraId="1768295D" w14:textId="77777777" w:rsidR="00C63FC1" w:rsidRDefault="00C63FC1" w:rsidP="00874373">
      <w:pPr>
        <w:keepNext/>
        <w:jc w:val="center"/>
        <w:rPr>
          <w:lang w:val="es-CO"/>
        </w:rPr>
      </w:pPr>
    </w:p>
    <w:p w14:paraId="77060E6D" w14:textId="77777777" w:rsidR="0086021A" w:rsidRDefault="00C63FC1" w:rsidP="0086021A">
      <w:pPr>
        <w:keepNext/>
        <w:jc w:val="center"/>
      </w:pPr>
      <w:r>
        <w:rPr>
          <w:noProof/>
          <w:lang w:val="es-CO" w:eastAsia="es-CO"/>
        </w:rPr>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Pr="0086021A">
        <w:rPr>
          <w:noProof/>
          <w:lang w:val="es-CO"/>
        </w:rPr>
        <w:t>45</w:t>
      </w:r>
      <w:r>
        <w:fldChar w:fldCharType="end"/>
      </w:r>
      <w:r w:rsidRPr="0086021A">
        <w:rPr>
          <w:lang w:val="es-CO"/>
        </w:rPr>
        <w:t>. Diferencia en actividad antioxidante por zona y clon</w:t>
      </w:r>
    </w:p>
    <w:p w14:paraId="508F89DF" w14:textId="77777777" w:rsidR="00874373" w:rsidRDefault="00874373" w:rsidP="00C80DD7">
      <w:pPr>
        <w:keepNext/>
        <w:jc w:val="both"/>
        <w:rPr>
          <w:lang w:val="es-CO"/>
        </w:rPr>
      </w:pPr>
    </w:p>
    <w:p w14:paraId="355934B3" w14:textId="77777777" w:rsidR="00C63FC1" w:rsidRDefault="00C63FC1" w:rsidP="00C80DD7">
      <w:pPr>
        <w:keepNext/>
        <w:jc w:val="both"/>
        <w:rPr>
          <w:lang w:val="es-CO"/>
        </w:rPr>
      </w:pPr>
    </w:p>
    <w:p w14:paraId="649CD6D1" w14:textId="4775BDA7"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241AF4">
        <w:rPr>
          <w:lang w:val="es-CO"/>
        </w:rPr>
        <w:t>, catequina y epicatequina;</w:t>
      </w:r>
      <w:r w:rsidR="0006773C">
        <w:rPr>
          <w:lang w:val="es-CO"/>
        </w:rPr>
        <w:t xml:space="preserve"> mientras fenoles totales y el contenido de ácidos grasos no muestran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77777777"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tividad antioxidante, contenido de catequina y epicatequina</w:t>
      </w:r>
    </w:p>
    <w:p w14:paraId="7A546125" w14:textId="77777777" w:rsidR="00A148F3" w:rsidRDefault="00A148F3" w:rsidP="003F489D">
      <w:pPr>
        <w:jc w:val="both"/>
        <w:rPr>
          <w:lang w:val="es-ES"/>
        </w:rPr>
      </w:pPr>
    </w:p>
    <w:p w14:paraId="0409001B" w14:textId="23B1A700" w:rsidR="00B82C91" w:rsidRDefault="003D1AA9" w:rsidP="003F489D">
      <w:pPr>
        <w:jc w:val="both"/>
        <w:rPr>
          <w:lang w:val="es-ES"/>
        </w:rPr>
      </w:pPr>
      <w:r>
        <w:rPr>
          <w:lang w:val="es-CO"/>
        </w:rPr>
        <w:lastRenderedPageBreak/>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p>
    <w:p w14:paraId="19991B00" w14:textId="78828223" w:rsidR="00821D9F" w:rsidRDefault="00821D9F" w:rsidP="003F489D">
      <w:pPr>
        <w:jc w:val="both"/>
        <w:rPr>
          <w:lang w:val="es-ES"/>
        </w:rPr>
      </w:pPr>
      <w:r>
        <w:rPr>
          <w:lang w:val="es-ES"/>
        </w:rPr>
        <w:t>Análisis de correlación</w:t>
      </w:r>
    </w:p>
    <w:p w14:paraId="2CE56C8F" w14:textId="77777777" w:rsidR="00821D9F" w:rsidRDefault="00821D9F" w:rsidP="003F489D">
      <w:pPr>
        <w:jc w:val="both"/>
        <w:rPr>
          <w:lang w:val="es-ES"/>
        </w:rPr>
      </w:pPr>
    </w:p>
    <w:p w14:paraId="41C770E6" w14:textId="57D26372" w:rsidR="00821D9F" w:rsidRDefault="00821D9F" w:rsidP="003F489D">
      <w:pPr>
        <w:jc w:val="both"/>
        <w:rPr>
          <w:lang w:val="es-ES"/>
        </w:rPr>
      </w:pPr>
      <w:r>
        <w:rPr>
          <w:lang w:val="es-ES"/>
        </w:rPr>
        <w:t>Análisis de componentes principales, interpretación de componentes e identificación de individuos con puntajes más altos para caracterizar.</w:t>
      </w:r>
    </w:p>
    <w:p w14:paraId="3D3DE08F" w14:textId="77777777" w:rsidR="00821D9F" w:rsidRDefault="00821D9F" w:rsidP="003F489D">
      <w:pPr>
        <w:jc w:val="both"/>
        <w:rPr>
          <w:lang w:val="es-ES"/>
        </w:rPr>
      </w:pPr>
    </w:p>
    <w:p w14:paraId="6855B0F9" w14:textId="77777777" w:rsidR="003F489D" w:rsidRDefault="003F489D" w:rsidP="003F489D">
      <w:pPr>
        <w:jc w:val="both"/>
        <w:rPr>
          <w:lang w:val="es-ES"/>
        </w:rPr>
      </w:pPr>
    </w:p>
    <w:p w14:paraId="3A731DE5" w14:textId="77777777" w:rsidR="003F489D" w:rsidRDefault="003F489D" w:rsidP="003F489D">
      <w:pPr>
        <w:pStyle w:val="ListParagraph"/>
        <w:numPr>
          <w:ilvl w:val="0"/>
          <w:numId w:val="1"/>
        </w:numPr>
        <w:jc w:val="both"/>
        <w:rPr>
          <w:lang w:val="es-ES"/>
        </w:rPr>
      </w:pPr>
      <w:r w:rsidRPr="007F75CC">
        <w:rPr>
          <w:color w:val="FF0000"/>
          <w:lang w:val="es-ES"/>
        </w:rPr>
        <w:t xml:space="preserve">Utilizando todas las variables </w:t>
      </w:r>
      <w:r>
        <w:rPr>
          <w:lang w:val="es-ES"/>
        </w:rPr>
        <w:t>(suelo, índices de mazorca y grano, actividad antioxidante, aceites y variables funcionales). Encontrando que con dos componentes principales se logró alcanzar un porcentaje de variación explicado del 62.6% respecto al total. No obstante, la fuente más fuerte de variación en los datos se ve altamente influenciada por las variables de suelo que tienen tres datos repetidos dependiendo del sitio donde se haya tomado la información. Razón por la cual se descartan los resultados de este análisis.</w:t>
      </w:r>
    </w:p>
    <w:p w14:paraId="6D4EA112" w14:textId="6D8AF35E" w:rsidR="003F489D" w:rsidRDefault="003F489D" w:rsidP="003F489D">
      <w:pPr>
        <w:pStyle w:val="ListParagraph"/>
        <w:numPr>
          <w:ilvl w:val="0"/>
          <w:numId w:val="1"/>
        </w:numPr>
        <w:jc w:val="both"/>
        <w:rPr>
          <w:lang w:val="es-ES"/>
        </w:rPr>
      </w:pPr>
      <w:r w:rsidRPr="007F75CC">
        <w:rPr>
          <w:color w:val="00B050"/>
          <w:lang w:val="es-ES"/>
        </w:rPr>
        <w:t>Omitiendo las variables de suelo</w:t>
      </w:r>
      <w:r>
        <w:rPr>
          <w:lang w:val="es-ES"/>
        </w:rPr>
        <w:t xml:space="preserve">. </w:t>
      </w:r>
      <w:r w:rsidR="00387C1A">
        <w:rPr>
          <w:lang w:val="es-ES"/>
        </w:rPr>
        <w:t xml:space="preserve">Se logra explicar un porcentaje de variación respecto al total de </w:t>
      </w:r>
      <w:r w:rsidR="00781A1A">
        <w:rPr>
          <w:lang w:val="es-ES"/>
        </w:rPr>
        <w:t>63</w:t>
      </w:r>
      <w:r w:rsidR="00387C1A">
        <w:rPr>
          <w:lang w:val="es-ES"/>
        </w:rPr>
        <w:t>.</w:t>
      </w:r>
      <w:r w:rsidR="00781A1A">
        <w:rPr>
          <w:lang w:val="es-ES"/>
        </w:rPr>
        <w:t>6</w:t>
      </w:r>
      <w:r w:rsidR="00387C1A">
        <w:rPr>
          <w:lang w:val="es-ES"/>
        </w:rPr>
        <w:t>%</w:t>
      </w:r>
      <w:r w:rsidR="00781A1A">
        <w:rPr>
          <w:lang w:val="es-ES"/>
        </w:rPr>
        <w:t xml:space="preserve"> usando las tres primeras componentes principales</w:t>
      </w:r>
      <w:r w:rsidR="00387C1A">
        <w:rPr>
          <w:lang w:val="es-ES"/>
        </w:rPr>
        <w:t xml:space="preserve">. </w:t>
      </w:r>
      <w:r w:rsidR="00F17FA4">
        <w:rPr>
          <w:lang w:val="es-ES"/>
        </w:rPr>
        <w:t>Dando como resultado que los índices de cosecha y las variables funcionales se relacionan fuertemente con la primera componente principal, mientras los ácidos grasos se relacionan principalmente con la segunda componente. A partir de este punto se podría hacer una discriminación en cuanto a los clones con las mejores características.</w:t>
      </w:r>
    </w:p>
    <w:p w14:paraId="5F914377" w14:textId="77777777" w:rsidR="00060C7B" w:rsidRDefault="00060C7B" w:rsidP="00060C7B">
      <w:pPr>
        <w:pStyle w:val="ListParagraph"/>
        <w:jc w:val="both"/>
        <w:rPr>
          <w:color w:val="00B050"/>
          <w:lang w:val="es-ES"/>
        </w:rPr>
      </w:pPr>
    </w:p>
    <w:p w14:paraId="62D6102F" w14:textId="6A20F3E8" w:rsidR="00060C7B" w:rsidRDefault="00060C7B" w:rsidP="00060C7B">
      <w:pPr>
        <w:pStyle w:val="ListParagraph"/>
        <w:jc w:val="both"/>
        <w:rPr>
          <w:lang w:val="es-ES"/>
        </w:rPr>
      </w:pPr>
      <w:r>
        <w:rPr>
          <w:lang w:val="es-ES"/>
        </w:rPr>
        <w:t>Matriz de correlaciones</w:t>
      </w:r>
    </w:p>
    <w:p w14:paraId="67921448" w14:textId="77777777" w:rsidR="00060C7B" w:rsidRDefault="00060C7B" w:rsidP="00060C7B">
      <w:pPr>
        <w:pStyle w:val="ListParagraph"/>
        <w:jc w:val="both"/>
        <w:rPr>
          <w:lang w:val="es-ES"/>
        </w:rPr>
      </w:pPr>
    </w:p>
    <w:p w14:paraId="0D39FEC0" w14:textId="0DAAE3A7" w:rsidR="00060C7B" w:rsidRPr="00060C7B" w:rsidRDefault="00060C7B" w:rsidP="00060C7B">
      <w:pPr>
        <w:pStyle w:val="ListParagraph"/>
        <w:jc w:val="center"/>
        <w:rPr>
          <w:lang w:val="es-ES"/>
        </w:rPr>
      </w:pPr>
      <w:r>
        <w:rPr>
          <w:noProof/>
          <w:lang w:val="es-CO" w:eastAsia="es-CO"/>
        </w:rPr>
        <w:drawing>
          <wp:inline distT="0" distB="0" distL="0" distR="0" wp14:anchorId="6FEC314A" wp14:editId="444FFFA5">
            <wp:extent cx="36576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937C0C0" w14:textId="77777777" w:rsidR="00060C7B" w:rsidRDefault="00060C7B" w:rsidP="00060C7B">
      <w:pPr>
        <w:pStyle w:val="ListParagraph"/>
        <w:jc w:val="both"/>
        <w:rPr>
          <w:lang w:val="es-ES"/>
        </w:rPr>
      </w:pPr>
    </w:p>
    <w:p w14:paraId="5D7C8DD3" w14:textId="0C7CEBBC" w:rsidR="0082443F" w:rsidRDefault="00AF7E3A" w:rsidP="0082443F">
      <w:pPr>
        <w:pStyle w:val="ListParagraph"/>
        <w:jc w:val="both"/>
        <w:rPr>
          <w:color w:val="00B050"/>
          <w:lang w:val="es-ES"/>
        </w:rPr>
      </w:pPr>
      <w:r>
        <w:rPr>
          <w:noProof/>
          <w:color w:val="00B050"/>
          <w:lang w:val="es-CO" w:eastAsia="es-CO"/>
        </w:rPr>
        <w:drawing>
          <wp:inline distT="0" distB="0" distL="0" distR="0" wp14:anchorId="2F6C3E79" wp14:editId="4C55E4A8">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080037" w14:textId="77777777" w:rsidR="00AF7E3A" w:rsidRDefault="00AF7E3A" w:rsidP="0082443F">
      <w:pPr>
        <w:pStyle w:val="ListParagraph"/>
        <w:jc w:val="both"/>
        <w:rPr>
          <w:color w:val="00B050"/>
          <w:lang w:val="es-ES"/>
        </w:rPr>
      </w:pPr>
    </w:p>
    <w:p w14:paraId="0E59BC0F" w14:textId="347A4FA7" w:rsidR="0082443F" w:rsidRDefault="0082443F" w:rsidP="0082443F">
      <w:pPr>
        <w:pStyle w:val="ListParagraph"/>
        <w:jc w:val="center"/>
        <w:rPr>
          <w:color w:val="00B050"/>
          <w:lang w:val="es-ES"/>
        </w:rPr>
      </w:pPr>
      <w:r>
        <w:rPr>
          <w:noProof/>
          <w:color w:val="00B050"/>
          <w:lang w:val="es-CO" w:eastAsia="es-CO"/>
        </w:rPr>
        <w:lastRenderedPageBreak/>
        <w:drawing>
          <wp:inline distT="0" distB="0" distL="0" distR="0" wp14:anchorId="534E87AB" wp14:editId="0ACF1D88">
            <wp:extent cx="3962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a_variable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62400" cy="3657600"/>
                    </a:xfrm>
                    <a:prstGeom prst="rect">
                      <a:avLst/>
                    </a:prstGeom>
                  </pic:spPr>
                </pic:pic>
              </a:graphicData>
            </a:graphic>
          </wp:inline>
        </w:drawing>
      </w:r>
    </w:p>
    <w:p w14:paraId="41EB28E4" w14:textId="09DCA71E" w:rsidR="001208E2" w:rsidRPr="00821D9F" w:rsidRDefault="0082443F" w:rsidP="00821D9F">
      <w:pPr>
        <w:pStyle w:val="ListParagraph"/>
        <w:jc w:val="center"/>
        <w:rPr>
          <w:color w:val="00B050"/>
          <w:lang w:val="es-ES"/>
        </w:rPr>
      </w:pPr>
      <w:r>
        <w:rPr>
          <w:noProof/>
          <w:color w:val="00B050"/>
          <w:lang w:val="es-CO" w:eastAsia="es-CO"/>
        </w:rPr>
        <w:drawing>
          <wp:inline distT="0" distB="0" distL="0" distR="0" wp14:anchorId="339E251B" wp14:editId="2D505F47">
            <wp:extent cx="3962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biplo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62400" cy="3657600"/>
                    </a:xfrm>
                    <a:prstGeom prst="rect">
                      <a:avLst/>
                    </a:prstGeom>
                  </pic:spPr>
                </pic:pic>
              </a:graphicData>
            </a:graphic>
          </wp:inline>
        </w:drawing>
      </w:r>
    </w:p>
    <w:p w14:paraId="758C9C66" w14:textId="77777777" w:rsidR="001208E2" w:rsidRDefault="00B82C91" w:rsidP="001208E2">
      <w:pPr>
        <w:pStyle w:val="Heading1"/>
        <w:rPr>
          <w:lang w:val="es-ES"/>
        </w:rPr>
      </w:pPr>
      <w:r>
        <w:rPr>
          <w:lang w:val="es-ES"/>
        </w:rPr>
        <w:t>Objetivo 3</w:t>
      </w:r>
    </w:p>
    <w:p w14:paraId="2E58F2A3" w14:textId="77777777" w:rsidR="001208E2" w:rsidRDefault="001208E2">
      <w:pPr>
        <w:rPr>
          <w:lang w:val="es-ES"/>
        </w:rPr>
      </w:pPr>
    </w:p>
    <w:p w14:paraId="25611B2D" w14:textId="77777777" w:rsidR="00B82C91" w:rsidRDefault="001208E2">
      <w:pPr>
        <w:rPr>
          <w:lang w:val="es-ES"/>
        </w:rPr>
      </w:pPr>
      <w:r>
        <w:rPr>
          <w:lang w:val="es-ES"/>
        </w:rPr>
        <w:t>Determinación de los principales compuestos que caracterizan los olores y sabores del cacao.</w:t>
      </w:r>
    </w:p>
    <w:p w14:paraId="195C5D86" w14:textId="77777777" w:rsidR="001208E2" w:rsidRDefault="001208E2">
      <w:pPr>
        <w:rPr>
          <w:lang w:val="es-ES"/>
        </w:rPr>
      </w:pPr>
    </w:p>
    <w:p w14:paraId="077C9ECC" w14:textId="77777777" w:rsidR="001208E2" w:rsidRDefault="00B82C91" w:rsidP="001208E2">
      <w:pPr>
        <w:pStyle w:val="Heading1"/>
        <w:rPr>
          <w:lang w:val="es-ES"/>
        </w:rPr>
      </w:pPr>
      <w:r>
        <w:rPr>
          <w:lang w:val="es-ES"/>
        </w:rPr>
        <w:t>Objetivo 4</w:t>
      </w:r>
    </w:p>
    <w:p w14:paraId="52E4A5AA" w14:textId="77777777" w:rsidR="001208E2" w:rsidRDefault="001208E2">
      <w:pPr>
        <w:rPr>
          <w:lang w:val="es-ES"/>
        </w:rPr>
      </w:pPr>
    </w:p>
    <w:p w14:paraId="28B45562" w14:textId="77777777" w:rsidR="00B82C91" w:rsidRPr="00B82C91" w:rsidRDefault="001208E2">
      <w:pPr>
        <w:rPr>
          <w:lang w:val="es-ES"/>
        </w:rPr>
      </w:pPr>
      <w:r>
        <w:rPr>
          <w:lang w:val="es-ES"/>
        </w:rPr>
        <w:t>Exploración de la relación genotipo-ambiente.</w:t>
      </w:r>
    </w:p>
    <w:sectPr w:rsidR="00B82C91" w:rsidRPr="00B82C91" w:rsidSect="004B3C97">
      <w:footerReference w:type="default" r:id="rId5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86199" w14:textId="77777777" w:rsidR="00B96464" w:rsidRDefault="00B96464" w:rsidP="005939BB">
      <w:r>
        <w:separator/>
      </w:r>
    </w:p>
  </w:endnote>
  <w:endnote w:type="continuationSeparator" w:id="0">
    <w:p w14:paraId="4B3A3E12" w14:textId="77777777" w:rsidR="00B96464" w:rsidRDefault="00B96464"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5939BB" w:rsidRDefault="005939BB">
    <w:pPr>
      <w:pStyle w:val="Footer"/>
    </w:pPr>
  </w:p>
  <w:p w14:paraId="450E5957" w14:textId="77777777" w:rsidR="005939BB" w:rsidRDefault="0059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85470" w14:textId="77777777" w:rsidR="00B96464" w:rsidRDefault="00B96464" w:rsidP="005939BB">
      <w:r>
        <w:separator/>
      </w:r>
    </w:p>
  </w:footnote>
  <w:footnote w:type="continuationSeparator" w:id="0">
    <w:p w14:paraId="3DC97C66" w14:textId="77777777" w:rsidR="00B96464" w:rsidRDefault="00B96464"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33499"/>
    <w:rsid w:val="000365A7"/>
    <w:rsid w:val="00060C7B"/>
    <w:rsid w:val="000610D7"/>
    <w:rsid w:val="00065A6E"/>
    <w:rsid w:val="0006773C"/>
    <w:rsid w:val="00093738"/>
    <w:rsid w:val="00095FC9"/>
    <w:rsid w:val="000A7BA8"/>
    <w:rsid w:val="000D0F59"/>
    <w:rsid w:val="000F4D2C"/>
    <w:rsid w:val="001179C0"/>
    <w:rsid w:val="001208E2"/>
    <w:rsid w:val="001643F6"/>
    <w:rsid w:val="0017665D"/>
    <w:rsid w:val="001B42F4"/>
    <w:rsid w:val="001D16A3"/>
    <w:rsid w:val="001F2C86"/>
    <w:rsid w:val="0022161F"/>
    <w:rsid w:val="00241AF4"/>
    <w:rsid w:val="0025655C"/>
    <w:rsid w:val="00272EB6"/>
    <w:rsid w:val="002D61C6"/>
    <w:rsid w:val="002E65E9"/>
    <w:rsid w:val="0032675C"/>
    <w:rsid w:val="00346B3D"/>
    <w:rsid w:val="003501F6"/>
    <w:rsid w:val="00387C1A"/>
    <w:rsid w:val="00396F3B"/>
    <w:rsid w:val="003A27DF"/>
    <w:rsid w:val="003A7184"/>
    <w:rsid w:val="003C7442"/>
    <w:rsid w:val="003D1AA9"/>
    <w:rsid w:val="003E7D8A"/>
    <w:rsid w:val="003F489D"/>
    <w:rsid w:val="00402C6D"/>
    <w:rsid w:val="00436303"/>
    <w:rsid w:val="00451F88"/>
    <w:rsid w:val="004534DB"/>
    <w:rsid w:val="004735DF"/>
    <w:rsid w:val="004A4DA9"/>
    <w:rsid w:val="004B21A6"/>
    <w:rsid w:val="004B3C97"/>
    <w:rsid w:val="004B4B72"/>
    <w:rsid w:val="004C57B6"/>
    <w:rsid w:val="004E4F95"/>
    <w:rsid w:val="004E6421"/>
    <w:rsid w:val="004F0262"/>
    <w:rsid w:val="00520C77"/>
    <w:rsid w:val="0055029E"/>
    <w:rsid w:val="00552CEA"/>
    <w:rsid w:val="00552E1C"/>
    <w:rsid w:val="00553F65"/>
    <w:rsid w:val="00557D16"/>
    <w:rsid w:val="00561375"/>
    <w:rsid w:val="00592EB2"/>
    <w:rsid w:val="005939BB"/>
    <w:rsid w:val="0059531A"/>
    <w:rsid w:val="005A214A"/>
    <w:rsid w:val="005A232E"/>
    <w:rsid w:val="005C4DBC"/>
    <w:rsid w:val="005E0846"/>
    <w:rsid w:val="005F1485"/>
    <w:rsid w:val="0063139E"/>
    <w:rsid w:val="0064445A"/>
    <w:rsid w:val="00671CFD"/>
    <w:rsid w:val="006A7B02"/>
    <w:rsid w:val="006C3B41"/>
    <w:rsid w:val="006E3FDF"/>
    <w:rsid w:val="006E7308"/>
    <w:rsid w:val="00703660"/>
    <w:rsid w:val="00715A54"/>
    <w:rsid w:val="00727447"/>
    <w:rsid w:val="00731ABC"/>
    <w:rsid w:val="00753AC9"/>
    <w:rsid w:val="00757018"/>
    <w:rsid w:val="00773F21"/>
    <w:rsid w:val="0078166F"/>
    <w:rsid w:val="00781A1A"/>
    <w:rsid w:val="007B001E"/>
    <w:rsid w:val="007C3970"/>
    <w:rsid w:val="007E232A"/>
    <w:rsid w:val="007F75CC"/>
    <w:rsid w:val="00811EB1"/>
    <w:rsid w:val="00813EF2"/>
    <w:rsid w:val="00816C8F"/>
    <w:rsid w:val="00821D9F"/>
    <w:rsid w:val="0082443F"/>
    <w:rsid w:val="00826BAF"/>
    <w:rsid w:val="008300DE"/>
    <w:rsid w:val="00835CB2"/>
    <w:rsid w:val="008411A3"/>
    <w:rsid w:val="0086021A"/>
    <w:rsid w:val="00871D65"/>
    <w:rsid w:val="00874373"/>
    <w:rsid w:val="00883371"/>
    <w:rsid w:val="00894BDA"/>
    <w:rsid w:val="008C1FE4"/>
    <w:rsid w:val="008C7326"/>
    <w:rsid w:val="008D7920"/>
    <w:rsid w:val="008E3AEA"/>
    <w:rsid w:val="008F6CCD"/>
    <w:rsid w:val="00915253"/>
    <w:rsid w:val="009218A7"/>
    <w:rsid w:val="0094295B"/>
    <w:rsid w:val="00945067"/>
    <w:rsid w:val="00946D90"/>
    <w:rsid w:val="0096439A"/>
    <w:rsid w:val="009A39C3"/>
    <w:rsid w:val="009A45D1"/>
    <w:rsid w:val="009A49AC"/>
    <w:rsid w:val="009A6C7B"/>
    <w:rsid w:val="009B26E8"/>
    <w:rsid w:val="009D0B5F"/>
    <w:rsid w:val="009D39D9"/>
    <w:rsid w:val="009E73C2"/>
    <w:rsid w:val="00A00152"/>
    <w:rsid w:val="00A148F3"/>
    <w:rsid w:val="00A53275"/>
    <w:rsid w:val="00A93BF9"/>
    <w:rsid w:val="00AA3200"/>
    <w:rsid w:val="00AB7AA2"/>
    <w:rsid w:val="00AD7AD0"/>
    <w:rsid w:val="00AF1460"/>
    <w:rsid w:val="00AF3553"/>
    <w:rsid w:val="00AF7E3A"/>
    <w:rsid w:val="00B82C91"/>
    <w:rsid w:val="00B96464"/>
    <w:rsid w:val="00BB1BEE"/>
    <w:rsid w:val="00BE4739"/>
    <w:rsid w:val="00BF7494"/>
    <w:rsid w:val="00C00337"/>
    <w:rsid w:val="00C07BF6"/>
    <w:rsid w:val="00C10B0F"/>
    <w:rsid w:val="00C23E3C"/>
    <w:rsid w:val="00C63FC1"/>
    <w:rsid w:val="00C809DD"/>
    <w:rsid w:val="00C80DD7"/>
    <w:rsid w:val="00CA066D"/>
    <w:rsid w:val="00CA6FCC"/>
    <w:rsid w:val="00CA76A6"/>
    <w:rsid w:val="00CC4415"/>
    <w:rsid w:val="00CD7E16"/>
    <w:rsid w:val="00CE28DB"/>
    <w:rsid w:val="00CF3FCD"/>
    <w:rsid w:val="00D36ECC"/>
    <w:rsid w:val="00D449E6"/>
    <w:rsid w:val="00D65ABC"/>
    <w:rsid w:val="00D7334A"/>
    <w:rsid w:val="00D94CC4"/>
    <w:rsid w:val="00DB1727"/>
    <w:rsid w:val="00E17E84"/>
    <w:rsid w:val="00E354D2"/>
    <w:rsid w:val="00E36852"/>
    <w:rsid w:val="00E77711"/>
    <w:rsid w:val="00E809C2"/>
    <w:rsid w:val="00ED06AE"/>
    <w:rsid w:val="00ED5BD9"/>
    <w:rsid w:val="00ED674A"/>
    <w:rsid w:val="00F17FA4"/>
    <w:rsid w:val="00F3742D"/>
    <w:rsid w:val="00F54E86"/>
    <w:rsid w:val="00F732F0"/>
    <w:rsid w:val="00F953E9"/>
    <w:rsid w:val="00FC0C2C"/>
    <w:rsid w:val="00FC4E76"/>
    <w:rsid w:val="00FD35CF"/>
    <w:rsid w:val="00FE5505"/>
    <w:rsid w:val="00FE6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3B704-3123-4291-9B19-E243CE594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26</Pages>
  <Words>3488</Words>
  <Characters>19186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134</cp:revision>
  <dcterms:created xsi:type="dcterms:W3CDTF">2016-09-22T02:18:00Z</dcterms:created>
  <dcterms:modified xsi:type="dcterms:W3CDTF">2016-10-02T16:58:00Z</dcterms:modified>
</cp:coreProperties>
</file>