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r w:rsidRPr="00CA76A6">
        <w:rPr>
          <w:b/>
          <w:i/>
          <w:lang w:val="es-ES"/>
        </w:rPr>
        <w:t>Theobroma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19CA15B2" w14:textId="7E0BDC5B" w:rsidR="00757018" w:rsidRDefault="00757018">
      <w:pPr>
        <w:rPr>
          <w:lang w:val="es-ES"/>
        </w:rPr>
      </w:pPr>
      <w:r>
        <w:rPr>
          <w:lang w:val="es-ES"/>
        </w:rPr>
        <w:t>Estadísticas descriptivas de los datos</w:t>
      </w:r>
    </w:p>
    <w:p w14:paraId="78AF0D6D" w14:textId="77777777" w:rsidR="00757018" w:rsidRDefault="00757018">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Shapiro-Wilks</w:t>
      </w:r>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(t-student,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Kruskal-Wallis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pseudo-independencia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Kruskal-Wallis)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w:t>
      </w:r>
      <w:r w:rsidR="00826BAF">
        <w:rPr>
          <w:lang w:val="es-ES"/>
        </w:rPr>
        <w:lastRenderedPageBreak/>
        <w:t>evaluaron diferencias significativas inducidas por la zona con el test de Kruskal-Wallis y 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753AC9"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557D16">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557D16">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753AC9"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557D16">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557D16">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Distribución de p-valores para el test de Kruskal-Wallis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Kruskal-Wallis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557D16">
        <w:rPr>
          <w:noProof/>
          <w:lang w:val="es-CO"/>
        </w:rPr>
        <w:t>5</w:t>
      </w:r>
      <w:r>
        <w:fldChar w:fldCharType="end"/>
      </w:r>
      <w:r w:rsidRPr="005C4DBC">
        <w:rPr>
          <w:lang w:val="es-CO"/>
        </w:rPr>
        <w:t>. Diferencia en el contenido de aceite por zona y clon</w:t>
      </w:r>
    </w:p>
    <w:p w14:paraId="5ECDEE2D" w14:textId="1036C8C8" w:rsidR="004735DF" w:rsidRDefault="00C10B0F" w:rsidP="00CA76A6">
      <w:pPr>
        <w:jc w:val="both"/>
        <w:rPr>
          <w:lang w:val="es-ES"/>
        </w:rPr>
      </w:pPr>
      <w:r>
        <w:rPr>
          <w:lang w:val="es-ES"/>
        </w:rPr>
        <w:t>Prosiguiendo con el análisis, se exploraron los cambios en la composición del cotiledón en función de los f</w:t>
      </w:r>
      <w:r w:rsidR="003C7442">
        <w:rPr>
          <w:lang w:val="es-ES"/>
        </w:rPr>
        <w:t>enoles totales</w:t>
      </w:r>
      <w:r w:rsidR="005939BB">
        <w:rPr>
          <w:rStyle w:val="FootnoteReference"/>
          <w:lang w:val="es-ES"/>
        </w:rPr>
        <w:footnoteReference w:id="1"/>
      </w:r>
      <w:r w:rsidR="003C7442">
        <w:rPr>
          <w:lang w:val="es-ES"/>
        </w:rPr>
        <w:t>.</w:t>
      </w:r>
      <w:r w:rsidR="004735DF">
        <w:rPr>
          <w:lang w:val="es-ES"/>
        </w:rPr>
        <w:t xml:space="preserve"> Como se observa en la Figura 6, a diferencia del contenido de aceite, no existe un patrón claro del contenido de fenoles totales pre y post fermentación, aunque se observa una amplia variación en los datos. Luego, para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753AC9" w14:paraId="50689ACF" w14:textId="77777777" w:rsidTr="00E36852">
        <w:trPr>
          <w:jc w:val="center"/>
        </w:trPr>
        <w:tc>
          <w:tcPr>
            <w:tcW w:w="5406" w:type="dxa"/>
          </w:tcPr>
          <w:p w14:paraId="3D4E5DCD" w14:textId="77777777" w:rsidR="00E36852" w:rsidRDefault="00E36852" w:rsidP="00CA76A6">
            <w:pPr>
              <w:jc w:val="both"/>
              <w:rPr>
                <w:lang w:val="es-ES"/>
              </w:rPr>
            </w:pPr>
            <w:r>
              <w:rPr>
                <w:noProof/>
                <w:lang w:val="es-CO" w:eastAsia="es-CO"/>
              </w:rPr>
              <w:lastRenderedPageBreak/>
              <w:drawing>
                <wp:inline distT="0" distB="0" distL="0" distR="0" wp14:anchorId="3C03BB8C" wp14:editId="763EAC2B">
                  <wp:extent cx="3291840" cy="2743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557D16">
              <w:rPr>
                <w:noProof/>
                <w:lang w:val="es-CO"/>
              </w:rPr>
              <w:t>6</w:t>
            </w:r>
            <w:r>
              <w:fldChar w:fldCharType="end"/>
            </w:r>
            <w:r w:rsidRPr="004735DF">
              <w:rPr>
                <w:lang w:val="es-CO"/>
              </w:rPr>
              <w:t>. Fenoles totales pre y post fermentación</w:t>
            </w:r>
          </w:p>
        </w:tc>
        <w:tc>
          <w:tcPr>
            <w:tcW w:w="4656" w:type="dxa"/>
          </w:tcPr>
          <w:p w14:paraId="22674196" w14:textId="77777777" w:rsidR="00E36852" w:rsidRDefault="00E36852" w:rsidP="00CA76A6">
            <w:pPr>
              <w:jc w:val="both"/>
              <w:rPr>
                <w:lang w:val="es-ES"/>
              </w:rPr>
            </w:pPr>
            <w:r>
              <w:rPr>
                <w:noProof/>
                <w:lang w:val="es-CO" w:eastAsia="es-CO"/>
              </w:rPr>
              <w:drawing>
                <wp:inline distT="0" distB="0" distL="0" distR="0" wp14:anchorId="5EC05E3C" wp14:editId="14EC037C">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557D16">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F96BB19" w14:textId="77777777" w:rsidR="004735DF" w:rsidRDefault="004735DF" w:rsidP="00CA76A6">
      <w:pPr>
        <w:jc w:val="both"/>
        <w:rPr>
          <w:lang w:val="es-ES"/>
        </w:rPr>
      </w:pPr>
    </w:p>
    <w:p w14:paraId="40D2AC7D" w14:textId="673EFD03" w:rsidR="003C7442" w:rsidRDefault="004735DF" w:rsidP="00CA76A6">
      <w:pPr>
        <w:jc w:val="both"/>
        <w:rPr>
          <w:lang w:val="es-ES"/>
        </w:rPr>
      </w:pPr>
      <w:r>
        <w:rPr>
          <w:lang w:val="es-ES"/>
        </w:rPr>
        <w:t xml:space="preserve">En la Figura 7 se observa la distribución de p-valores, los cuales </w:t>
      </w:r>
      <w:r w:rsidR="00F54E86">
        <w:rPr>
          <w:lang w:val="es-ES"/>
        </w:rPr>
        <w:t>se encuentran en un rango de 0.1 a 1</w:t>
      </w:r>
      <w:r>
        <w:rPr>
          <w:lang w:val="es-ES"/>
        </w:rPr>
        <w:t xml:space="preserve">, lo que indica que </w:t>
      </w:r>
      <w:r w:rsidR="00F54E86">
        <w:rPr>
          <w:lang w:val="es-ES"/>
        </w:rPr>
        <w:t>para un nivel de significancia del 5% no</w:t>
      </w:r>
      <w:r>
        <w:rPr>
          <w:lang w:val="es-ES"/>
        </w:rPr>
        <w:t xml:space="preserve"> existen diferencias significativas entre el conteo de fenoles pre y post fermentación</w:t>
      </w:r>
      <w:r w:rsidR="007C3970">
        <w:rPr>
          <w:lang w:val="es-ES"/>
        </w:rPr>
        <w:t xml:space="preserve"> (Intervalo del 90% de confianza para p-valores: [0.36, 0.98])</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655F331D" w:rsidR="003C7442" w:rsidRDefault="00F54E86" w:rsidP="003C7442">
      <w:pPr>
        <w:jc w:val="both"/>
        <w:rPr>
          <w:lang w:val="es-ES"/>
        </w:rPr>
      </w:pPr>
      <w:r>
        <w:rPr>
          <w:lang w:val="es-ES"/>
        </w:rPr>
        <w:t>Como se observa en la Figura 8</w:t>
      </w:r>
      <w:r w:rsidR="006A7B02">
        <w:rPr>
          <w:lang w:val="es-ES"/>
        </w:rPr>
        <w:t>, parece no presentarse un</w:t>
      </w:r>
      <w:r w:rsidR="0055029E">
        <w:rPr>
          <w:lang w:val="es-ES"/>
        </w:rPr>
        <w:t xml:space="preserve"> comportamiento diferencial producido por la zona</w:t>
      </w:r>
      <w:r w:rsidR="007C3970">
        <w:rPr>
          <w:lang w:val="es-ES"/>
        </w:rPr>
        <w:t>, aquí se puede observar como las diferencias oscilan alrededor de 0 independientemente de la zona que se evalúe.</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753AC9" w14:paraId="4AADCCCA" w14:textId="77777777" w:rsidTr="000A7BA8">
        <w:tc>
          <w:tcPr>
            <w:tcW w:w="4656" w:type="dxa"/>
          </w:tcPr>
          <w:p w14:paraId="7BE70B75" w14:textId="77777777" w:rsidR="000A7BA8" w:rsidRDefault="000A7BA8" w:rsidP="003C7442">
            <w:pPr>
              <w:jc w:val="both"/>
              <w:rPr>
                <w:lang w:val="es-ES"/>
              </w:rPr>
            </w:pPr>
            <w:r>
              <w:rPr>
                <w:noProof/>
                <w:lang w:val="es-CO" w:eastAsia="es-CO"/>
              </w:rPr>
              <w:drawing>
                <wp:inline distT="0" distB="0" distL="0" distR="0" wp14:anchorId="385732AA" wp14:editId="043F86F8">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lastRenderedPageBreak/>
              <w:t>Figura</w:t>
            </w:r>
            <w:r w:rsidRPr="00F3742D">
              <w:rPr>
                <w:lang w:val="es-CO"/>
              </w:rPr>
              <w:t xml:space="preserve"> </w:t>
            </w:r>
            <w:r>
              <w:fldChar w:fldCharType="begin"/>
            </w:r>
            <w:r w:rsidRPr="00F3742D">
              <w:rPr>
                <w:lang w:val="es-CO"/>
              </w:rPr>
              <w:instrText xml:space="preserve"> SEQ Ilustración \* ARABIC </w:instrText>
            </w:r>
            <w:r>
              <w:fldChar w:fldCharType="separate"/>
            </w:r>
            <w:r w:rsidR="00557D16">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77777777" w:rsidR="000A7BA8" w:rsidRDefault="000A7BA8" w:rsidP="003C7442">
            <w:pPr>
              <w:jc w:val="both"/>
              <w:rPr>
                <w:lang w:val="es-ES"/>
              </w:rPr>
            </w:pPr>
            <w:r>
              <w:rPr>
                <w:noProof/>
                <w:lang w:val="es-CO" w:eastAsia="es-CO"/>
              </w:rPr>
              <w:lastRenderedPageBreak/>
              <w:drawing>
                <wp:inline distT="0" distB="0" distL="0" distR="0" wp14:anchorId="3F0F217F" wp14:editId="4284CE31">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lastRenderedPageBreak/>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557D16">
              <w:rPr>
                <w:noProof/>
                <w:lang w:val="es-CO"/>
              </w:rPr>
              <w:t>9</w:t>
            </w:r>
            <w:r>
              <w:fldChar w:fldCharType="end"/>
            </w:r>
            <w:r w:rsidRPr="00D7334A">
              <w:rPr>
                <w:lang w:val="es-CO"/>
              </w:rPr>
              <w:t xml:space="preserve">. Distribución de p-valores para el test de Kruskal-Wallis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437A638F" w14:textId="09FD4DCD" w:rsidR="00F3742D" w:rsidRPr="000A7BA8" w:rsidRDefault="00F3742D" w:rsidP="00F3742D">
      <w:pPr>
        <w:keepNext/>
        <w:jc w:val="center"/>
        <w:rPr>
          <w:lang w:val="es-CO"/>
        </w:rPr>
      </w:pPr>
    </w:p>
    <w:p w14:paraId="339C31C3" w14:textId="09777BA8" w:rsidR="003C7442" w:rsidRDefault="007C3970" w:rsidP="003C7442">
      <w:pPr>
        <w:jc w:val="both"/>
        <w:rPr>
          <w:lang w:val="es-ES"/>
        </w:rPr>
      </w:pPr>
      <w:r>
        <w:rPr>
          <w:lang w:val="es-ES"/>
        </w:rPr>
        <w:t>Para evaluar las diferencias entre zonas se aplicó el test de Kruskal-Wallis encontrando que no existen diferencias estadísticamente significativas entre las zonas (Intervalo del 90% de confianza para p-valores: [0.43, 0.98])</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3A68758E" w:rsidR="003C7442" w:rsidRDefault="00065A6E" w:rsidP="003C7442">
      <w:pPr>
        <w:jc w:val="both"/>
        <w:rPr>
          <w:lang w:val="es-ES"/>
        </w:rPr>
      </w:pPr>
      <w:r>
        <w:rPr>
          <w:lang w:val="es-ES"/>
        </w:rPr>
        <w:t>Analizando la Figura 10, clones como CCN 51, FEAR 5, FLE 3, FSA 12, SCC 23 y SCC80 presentan diferencias próximas a cero, lo que indica un cambio no significativo en términos pre y post fermentación. Por el contrario el clon ICS 95 presenta una pérdida de 10 [unidades] en los tres ambientes evaluados. Mientras el clon SCC 55 presenta incrementos del orden de 15 a 20 [unidades] en los ambientes de Arauca y Huila específicamente.</w:t>
      </w:r>
    </w:p>
    <w:p w14:paraId="036DAEF1" w14:textId="77777777" w:rsidR="00065A6E" w:rsidRDefault="00065A6E" w:rsidP="003C7442">
      <w:pPr>
        <w:jc w:val="both"/>
        <w:rPr>
          <w:lang w:val="es-ES"/>
        </w:rPr>
      </w:pPr>
    </w:p>
    <w:p w14:paraId="574CAD05" w14:textId="77777777" w:rsidR="00065A6E" w:rsidRDefault="003C7442" w:rsidP="00065A6E">
      <w:pPr>
        <w:keepNext/>
        <w:jc w:val="both"/>
      </w:pPr>
      <w:r>
        <w:rPr>
          <w:noProof/>
          <w:lang w:val="es-CO" w:eastAsia="es-CO"/>
        </w:rPr>
        <w:drawing>
          <wp:inline distT="0" distB="0" distL="0" distR="0" wp14:anchorId="3D968C3B" wp14:editId="610503FB">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557D16">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w:t>
      </w:r>
      <w:r>
        <w:rPr>
          <w:lang w:val="es-CO"/>
        </w:rPr>
        <w:t>)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753AC9"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lastRenderedPageBreak/>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557D16">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557D16">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Kruskal-Wallis para la verificación de la hipótesis de diferencias entre zonas se obtuvo un rango de p-valores </w:t>
      </w:r>
      <w:r>
        <w:rPr>
          <w:lang w:val="es-CO"/>
        </w:rPr>
        <w:t>[0.06, 0.71]</w:t>
      </w:r>
      <w:r>
        <w:rPr>
          <w:lang w:val="es-CO"/>
        </w:rPr>
        <w:t xml:space="preserve">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753AC9"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557D16">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557D16">
              <w:rPr>
                <w:noProof/>
                <w:lang w:val="es-CO"/>
              </w:rPr>
              <w:t>14</w:t>
            </w:r>
            <w:r>
              <w:fldChar w:fldCharType="end"/>
            </w:r>
            <w:r w:rsidRPr="0032675C">
              <w:rPr>
                <w:lang w:val="es-CO"/>
              </w:rPr>
              <w:t>. Distribución de p-valores para el test de Kruskal-Wallis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lastRenderedPageBreak/>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557D16">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753AC9"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lastRenderedPageBreak/>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557D16">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557D16">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Acto seguido, evaluando si existen diferencias entre zonas (Figura18), el test de Kruskal-Wallis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753AC9"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557D16">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557D16">
              <w:rPr>
                <w:noProof/>
                <w:lang w:val="es-CO"/>
              </w:rPr>
              <w:t>19</w:t>
            </w:r>
            <w:r>
              <w:fldChar w:fldCharType="end"/>
            </w:r>
            <w:r w:rsidRPr="008F6CCD">
              <w:rPr>
                <w:lang w:val="es-CO"/>
              </w:rPr>
              <w:t>. Distribución de p-valores para el test de Kruskal-Wallis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557D16">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xml:space="preserve">, el cual presenta baja variación y el test de Wilcoxon, permite concluir que no existen diferencias significativas entre las mediciones pre y post fermentación (p-valores, intervalo 90% </w:t>
      </w:r>
      <w:r>
        <w:rPr>
          <w:lang w:val="es-CO"/>
        </w:rPr>
        <w:t>[0.52, 0.99]</w:t>
      </w:r>
      <w:r>
        <w:rPr>
          <w:lang w:val="es-CO"/>
        </w:rPr>
        <w:t>).</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753AC9"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557D16">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557D16">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w:t>
      </w:r>
      <w:r>
        <w:rPr>
          <w:lang w:val="es-CO"/>
        </w:rPr>
        <w:t>[0.03, 0.50]</w:t>
      </w:r>
      <w:r>
        <w:rPr>
          <w:lang w:val="es-CO"/>
        </w:rPr>
        <w:t>).</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753AC9"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557D16">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557D16">
              <w:rPr>
                <w:noProof/>
                <w:lang w:val="es-CO"/>
              </w:rPr>
              <w:t>24</w:t>
            </w:r>
            <w:r>
              <w:fldChar w:fldCharType="end"/>
            </w:r>
            <w:r w:rsidRPr="0025655C">
              <w:rPr>
                <w:lang w:val="es-CO"/>
              </w:rPr>
              <w:t>. Distribución de p-valores para el test de Kruskal-Wallis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557D16">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 xml:space="preserve">que los p-valores del test de Wilcoxon oscilan entre </w:t>
      </w:r>
      <w:r>
        <w:rPr>
          <w:lang w:val="es-CO"/>
        </w:rPr>
        <w:t>[0.47, 0.96]</w:t>
      </w:r>
      <w:r>
        <w:rPr>
          <w:lang w:val="es-CO"/>
        </w:rPr>
        <w:t>,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753AC9"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557D16">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557D16">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Kruskal-Wallis arrojaron como resultado que no existen diferencias significativas por zona (Intervalo de p-valores 90% de confianza: </w:t>
      </w:r>
      <w:r>
        <w:rPr>
          <w:lang w:val="es-CO"/>
        </w:rPr>
        <w:t>[0.17, 0.87]</w:t>
      </w:r>
      <w:r>
        <w:rPr>
          <w:lang w:val="es-CO"/>
        </w:rPr>
        <w:t>).</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753AC9"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557D16">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557D16">
              <w:rPr>
                <w:noProof/>
                <w:lang w:val="es-CO"/>
              </w:rPr>
              <w:t>29</w:t>
            </w:r>
            <w:r>
              <w:fldChar w:fldCharType="end"/>
            </w:r>
            <w:r w:rsidRPr="00346B3D">
              <w:rPr>
                <w:lang w:val="es-CO"/>
              </w:rPr>
              <w:t>. Distribución de p-valores para el test de Kruskal-Wallis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Pr="00557D16">
        <w:rPr>
          <w:noProof/>
          <w:lang w:val="es-CO"/>
        </w:rPr>
        <w:t>30</w:t>
      </w:r>
      <w:r>
        <w:fldChar w:fldCharType="end"/>
      </w:r>
      <w:r w:rsidRPr="00557D16">
        <w:rPr>
          <w:lang w:val="es-CO"/>
        </w:rPr>
        <w:t>. Diferencia en ácido linoleico por zona y clon</w:t>
      </w:r>
    </w:p>
    <w:p w14:paraId="632DCE43" w14:textId="7AB1DF18" w:rsidR="00CE28DB" w:rsidRPr="00C23E3C" w:rsidRDefault="00402C6D" w:rsidP="00C80DD7">
      <w:pPr>
        <w:jc w:val="both"/>
        <w:rPr>
          <w:color w:val="FF0000"/>
          <w:lang w:val="es-CO"/>
        </w:rPr>
      </w:pPr>
      <w:r w:rsidRPr="00C23E3C">
        <w:rPr>
          <w:color w:val="FF0000"/>
          <w:lang w:val="es-CO"/>
        </w:rPr>
        <w:t>Falta catequina y epicatequina</w:t>
      </w:r>
    </w:p>
    <w:p w14:paraId="06628BFB" w14:textId="3D9CD7B5" w:rsidR="00CE28DB" w:rsidRDefault="00CE28DB" w:rsidP="00C80DD7">
      <w:pPr>
        <w:keepNext/>
        <w:jc w:val="both"/>
        <w:rPr>
          <w:lang w:val="es-CO"/>
        </w:rPr>
      </w:pPr>
    </w:p>
    <w:p w14:paraId="649CD6D1" w14:textId="430F0F39" w:rsidR="00C23E3C" w:rsidRDefault="00C23E3C" w:rsidP="00C80DD7">
      <w:pPr>
        <w:keepNext/>
        <w:jc w:val="both"/>
        <w:rPr>
          <w:lang w:val="es-CO"/>
        </w:rPr>
      </w:pPr>
      <w:r>
        <w:rPr>
          <w:lang w:val="es-CO"/>
        </w:rPr>
        <w:t>Como conclusiones generales de este objetivo se podría decir que</w:t>
      </w:r>
      <w:r w:rsidR="0006773C">
        <w:rPr>
          <w:lang w:val="es-CO"/>
        </w:rPr>
        <w:t xml:space="preserve"> la única variable que ejerce un efecto diferenciador claro en la composición del cotiledón entre zonas y clones es el contenido de aceite, mientras fenoles totales y el contenido de ácidos grasos no muestran alterarse significativamente posterior al proceso de fermentación de granos.</w:t>
      </w:r>
      <w:r w:rsidR="00BB1BEE">
        <w:rPr>
          <w:lang w:val="es-CO"/>
        </w:rPr>
        <w:t xml:space="preserve"> Adicional a esto se incluyeron en el análisis los </w:t>
      </w:r>
      <w:r w:rsidR="00BB1BEE">
        <w:rPr>
          <w:lang w:val="es-ES"/>
        </w:rPr>
        <w:t>índices de mazorca y grano</w:t>
      </w:r>
      <w:r w:rsidR="00BB1BEE">
        <w:rPr>
          <w:lang w:val="es-ES"/>
        </w:rPr>
        <w:t xml:space="preserve"> como variables de cosecha para determinar </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0409001B" w14:textId="34C53B0C" w:rsidR="00B82C91"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Pr>
          <w:lang w:val="es-ES"/>
        </w:rPr>
        <w:t xml:space="preserve"> fisicoquímicas: ácidos grasos (esteárico, oleico, palmítico y relación Tauromina/Cafeína) y como variables funcionales el contenido de fenoles totales</w:t>
      </w:r>
      <w:r>
        <w:rPr>
          <w:lang w:val="es-ES"/>
        </w:rPr>
        <w:t>, actividad an</w:t>
      </w:r>
      <w:bookmarkStart w:id="0" w:name="_GoBack"/>
      <w:bookmarkEnd w:id="0"/>
      <w:r>
        <w:rPr>
          <w:lang w:val="es-ES"/>
        </w:rPr>
        <w:t>tioxidante,</w:t>
      </w:r>
      <w:r>
        <w:rPr>
          <w:lang w:val="es-ES"/>
        </w:rPr>
        <w:t xml:space="preserve"> catequinas y epicatequinas.</w:t>
      </w:r>
      <w:r w:rsidR="00BB1BEE">
        <w:rPr>
          <w:lang w:val="es-ES"/>
        </w:rPr>
        <w:t xml:space="preserve"> </w:t>
      </w:r>
    </w:p>
    <w:p w14:paraId="6855B0F9" w14:textId="77777777" w:rsidR="003F489D" w:rsidRDefault="003F489D" w:rsidP="003F489D">
      <w:pPr>
        <w:jc w:val="both"/>
        <w:rPr>
          <w:lang w:val="es-ES"/>
        </w:rPr>
      </w:pPr>
    </w:p>
    <w:p w14:paraId="3A731DE5" w14:textId="77777777" w:rsidR="003F489D" w:rsidRDefault="003F489D" w:rsidP="003F489D">
      <w:pPr>
        <w:pStyle w:val="ListParagraph"/>
        <w:numPr>
          <w:ilvl w:val="0"/>
          <w:numId w:val="1"/>
        </w:numPr>
        <w:jc w:val="both"/>
        <w:rPr>
          <w:lang w:val="es-ES"/>
        </w:rPr>
      </w:pPr>
      <w:r w:rsidRPr="007F75CC">
        <w:rPr>
          <w:color w:val="FF0000"/>
          <w:lang w:val="es-ES"/>
        </w:rPr>
        <w:t xml:space="preserve">Utilizando todas las variables </w:t>
      </w:r>
      <w:r>
        <w:rPr>
          <w:lang w:val="es-ES"/>
        </w:rPr>
        <w:t xml:space="preserve">(suelo, índices de mazorca y grano, actividad antioxidante, aceites y variables funcionales). Encontrando que con dos componentes principales se logró alcanzar un porcentaje de variación explicado del 62.6% respecto al total. No </w:t>
      </w:r>
      <w:r>
        <w:rPr>
          <w:lang w:val="es-ES"/>
        </w:rPr>
        <w:lastRenderedPageBreak/>
        <w:t>obstante, la fuente más fuerte de variación en los datos se ve altamente influenciada por las variables de suelo que tienen tres datos repetidos dependiendo del sitio donde se haya tomado la información. Razón por la cual se descartan los resultados de este análisis.</w:t>
      </w:r>
    </w:p>
    <w:p w14:paraId="6D4EA112" w14:textId="6D8AF35E" w:rsidR="003F489D" w:rsidRDefault="003F489D" w:rsidP="003F489D">
      <w:pPr>
        <w:pStyle w:val="ListParagraph"/>
        <w:numPr>
          <w:ilvl w:val="0"/>
          <w:numId w:val="1"/>
        </w:numPr>
        <w:jc w:val="both"/>
        <w:rPr>
          <w:lang w:val="es-ES"/>
        </w:rPr>
      </w:pPr>
      <w:r w:rsidRPr="007F75CC">
        <w:rPr>
          <w:color w:val="00B050"/>
          <w:lang w:val="es-ES"/>
        </w:rPr>
        <w:t>Omitiendo las variables de suelo</w:t>
      </w:r>
      <w:r>
        <w:rPr>
          <w:lang w:val="es-ES"/>
        </w:rPr>
        <w:t xml:space="preserve">. </w:t>
      </w:r>
      <w:r w:rsidR="00387C1A">
        <w:rPr>
          <w:lang w:val="es-ES"/>
        </w:rPr>
        <w:t xml:space="preserve">Se logra explicar un porcentaje de variación respecto al total de </w:t>
      </w:r>
      <w:r w:rsidR="00781A1A">
        <w:rPr>
          <w:lang w:val="es-ES"/>
        </w:rPr>
        <w:t>63</w:t>
      </w:r>
      <w:r w:rsidR="00387C1A">
        <w:rPr>
          <w:lang w:val="es-ES"/>
        </w:rPr>
        <w:t>.</w:t>
      </w:r>
      <w:r w:rsidR="00781A1A">
        <w:rPr>
          <w:lang w:val="es-ES"/>
        </w:rPr>
        <w:t>6</w:t>
      </w:r>
      <w:r w:rsidR="00387C1A">
        <w:rPr>
          <w:lang w:val="es-ES"/>
        </w:rPr>
        <w:t>%</w:t>
      </w:r>
      <w:r w:rsidR="00781A1A">
        <w:rPr>
          <w:lang w:val="es-ES"/>
        </w:rPr>
        <w:t xml:space="preserve"> usando las tres primeras componentes principales</w:t>
      </w:r>
      <w:r w:rsidR="00387C1A">
        <w:rPr>
          <w:lang w:val="es-ES"/>
        </w:rPr>
        <w:t xml:space="preserve">. </w:t>
      </w:r>
      <w:r w:rsidR="00F17FA4">
        <w:rPr>
          <w:lang w:val="es-ES"/>
        </w:rPr>
        <w:t>Dando como resultado que los índices de cosecha y las variables funcionales se relacionan fuertemente con la primera componente principal, mientras los ácidos grasos se relacionan principalmente con la segunda componente. A partir de este punto se podría hacer una discriminación en cuanto a los clones con las mejores características.</w:t>
      </w:r>
    </w:p>
    <w:p w14:paraId="5F914377" w14:textId="77777777" w:rsidR="00060C7B" w:rsidRDefault="00060C7B" w:rsidP="00060C7B">
      <w:pPr>
        <w:pStyle w:val="ListParagraph"/>
        <w:jc w:val="both"/>
        <w:rPr>
          <w:color w:val="00B050"/>
          <w:lang w:val="es-ES"/>
        </w:rPr>
      </w:pPr>
    </w:p>
    <w:p w14:paraId="62D6102F" w14:textId="6A20F3E8" w:rsidR="00060C7B" w:rsidRDefault="00060C7B" w:rsidP="00060C7B">
      <w:pPr>
        <w:pStyle w:val="ListParagraph"/>
        <w:jc w:val="both"/>
        <w:rPr>
          <w:lang w:val="es-ES"/>
        </w:rPr>
      </w:pPr>
      <w:r>
        <w:rPr>
          <w:lang w:val="es-ES"/>
        </w:rPr>
        <w:t>Matriz de correlaciones</w:t>
      </w:r>
    </w:p>
    <w:p w14:paraId="67921448" w14:textId="77777777" w:rsidR="00060C7B" w:rsidRDefault="00060C7B" w:rsidP="00060C7B">
      <w:pPr>
        <w:pStyle w:val="ListParagraph"/>
        <w:jc w:val="both"/>
        <w:rPr>
          <w:lang w:val="es-ES"/>
        </w:rPr>
      </w:pPr>
    </w:p>
    <w:p w14:paraId="0D39FEC0" w14:textId="0DAAE3A7" w:rsidR="00060C7B" w:rsidRPr="00060C7B" w:rsidRDefault="00060C7B" w:rsidP="00060C7B">
      <w:pPr>
        <w:pStyle w:val="ListParagraph"/>
        <w:jc w:val="center"/>
        <w:rPr>
          <w:lang w:val="es-ES"/>
        </w:rPr>
      </w:pPr>
      <w:r>
        <w:rPr>
          <w:noProof/>
          <w:lang w:val="es-CO" w:eastAsia="es-CO"/>
        </w:rPr>
        <w:drawing>
          <wp:inline distT="0" distB="0" distL="0" distR="0" wp14:anchorId="6FEC314A" wp14:editId="444FFFA5">
            <wp:extent cx="365760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earman_correl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937C0C0" w14:textId="77777777" w:rsidR="00060C7B" w:rsidRDefault="00060C7B" w:rsidP="00060C7B">
      <w:pPr>
        <w:pStyle w:val="ListParagraph"/>
        <w:jc w:val="both"/>
        <w:rPr>
          <w:lang w:val="es-ES"/>
        </w:rPr>
      </w:pPr>
    </w:p>
    <w:p w14:paraId="5D7C8DD3" w14:textId="0C7CEBBC" w:rsidR="0082443F" w:rsidRDefault="00AF7E3A" w:rsidP="0082443F">
      <w:pPr>
        <w:pStyle w:val="ListParagraph"/>
        <w:jc w:val="both"/>
        <w:rPr>
          <w:color w:val="00B050"/>
          <w:lang w:val="es-ES"/>
        </w:rPr>
      </w:pPr>
      <w:r>
        <w:rPr>
          <w:noProof/>
          <w:color w:val="00B050"/>
          <w:lang w:val="es-CO" w:eastAsia="es-CO"/>
        </w:rPr>
        <w:lastRenderedPageBreak/>
        <w:drawing>
          <wp:inline distT="0" distB="0" distL="0" distR="0" wp14:anchorId="2F6C3E79" wp14:editId="4C55E4A8">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080037" w14:textId="77777777" w:rsidR="00AF7E3A" w:rsidRDefault="00AF7E3A" w:rsidP="0082443F">
      <w:pPr>
        <w:pStyle w:val="ListParagraph"/>
        <w:jc w:val="both"/>
        <w:rPr>
          <w:color w:val="00B050"/>
          <w:lang w:val="es-ES"/>
        </w:rPr>
      </w:pPr>
    </w:p>
    <w:p w14:paraId="0E59BC0F" w14:textId="347A4FA7" w:rsidR="0082443F" w:rsidRDefault="0082443F" w:rsidP="0082443F">
      <w:pPr>
        <w:pStyle w:val="ListParagraph"/>
        <w:jc w:val="center"/>
        <w:rPr>
          <w:color w:val="00B050"/>
          <w:lang w:val="es-ES"/>
        </w:rPr>
      </w:pPr>
      <w:r>
        <w:rPr>
          <w:noProof/>
          <w:color w:val="00B050"/>
          <w:lang w:val="es-CO" w:eastAsia="es-CO"/>
        </w:rPr>
        <w:lastRenderedPageBreak/>
        <w:drawing>
          <wp:inline distT="0" distB="0" distL="0" distR="0" wp14:anchorId="534E87AB" wp14:editId="0ACF1D88">
            <wp:extent cx="3962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a_variabl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62400" cy="3657600"/>
                    </a:xfrm>
                    <a:prstGeom prst="rect">
                      <a:avLst/>
                    </a:prstGeom>
                  </pic:spPr>
                </pic:pic>
              </a:graphicData>
            </a:graphic>
          </wp:inline>
        </w:drawing>
      </w:r>
    </w:p>
    <w:p w14:paraId="46ACB137" w14:textId="7C49BB2A" w:rsidR="0082443F" w:rsidRDefault="0082443F" w:rsidP="0082443F">
      <w:pPr>
        <w:pStyle w:val="ListParagraph"/>
        <w:jc w:val="center"/>
        <w:rPr>
          <w:color w:val="00B050"/>
          <w:lang w:val="es-ES"/>
        </w:rPr>
      </w:pPr>
      <w:r>
        <w:rPr>
          <w:noProof/>
          <w:color w:val="00B050"/>
          <w:lang w:val="es-CO" w:eastAsia="es-CO"/>
        </w:rPr>
        <w:drawing>
          <wp:inline distT="0" distB="0" distL="0" distR="0" wp14:anchorId="339E251B" wp14:editId="2D505F47">
            <wp:extent cx="3962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biplo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2400" cy="3657600"/>
                    </a:xfrm>
                    <a:prstGeom prst="rect">
                      <a:avLst/>
                    </a:prstGeom>
                  </pic:spPr>
                </pic:pic>
              </a:graphicData>
            </a:graphic>
          </wp:inline>
        </w:drawing>
      </w:r>
    </w:p>
    <w:p w14:paraId="52202F68" w14:textId="77777777" w:rsidR="0082443F" w:rsidRDefault="0082443F" w:rsidP="0082443F">
      <w:pPr>
        <w:pStyle w:val="ListParagraph"/>
        <w:jc w:val="both"/>
        <w:rPr>
          <w:color w:val="00B050"/>
          <w:lang w:val="es-ES"/>
        </w:rPr>
      </w:pPr>
    </w:p>
    <w:p w14:paraId="23904E36" w14:textId="77777777" w:rsidR="0082443F" w:rsidRDefault="0082443F" w:rsidP="0082443F">
      <w:pPr>
        <w:pStyle w:val="ListParagraph"/>
        <w:jc w:val="both"/>
        <w:rPr>
          <w:lang w:val="es-ES"/>
        </w:rPr>
      </w:pPr>
    </w:p>
    <w:p w14:paraId="7C86294B" w14:textId="37C73790" w:rsidR="00F17FA4" w:rsidRPr="003F489D" w:rsidRDefault="00F17FA4" w:rsidP="003F489D">
      <w:pPr>
        <w:pStyle w:val="ListParagraph"/>
        <w:numPr>
          <w:ilvl w:val="0"/>
          <w:numId w:val="1"/>
        </w:numPr>
        <w:jc w:val="both"/>
        <w:rPr>
          <w:lang w:val="es-ES"/>
        </w:rPr>
      </w:pPr>
      <w:r w:rsidRPr="007F75CC">
        <w:rPr>
          <w:color w:val="FF0000"/>
          <w:lang w:val="es-ES"/>
        </w:rPr>
        <w:lastRenderedPageBreak/>
        <w:t>Omitiendo las variables de suelo e índices de cosecha</w:t>
      </w:r>
      <w:r>
        <w:rPr>
          <w:lang w:val="es-ES"/>
        </w:rPr>
        <w:t xml:space="preserve">. Se logra explicar un 52.6% de la variación total de los datos. </w:t>
      </w:r>
      <w:r w:rsidR="007F75CC">
        <w:rPr>
          <w:lang w:val="es-ES"/>
        </w:rPr>
        <w:t>Pero no se muestran patrones claros de respuesta en términos de las dos primeras componentes principales</w:t>
      </w:r>
      <w:r w:rsidR="0082443F">
        <w:rPr>
          <w:lang w:val="es-ES"/>
        </w:rPr>
        <w:t>.</w:t>
      </w:r>
      <w:r w:rsidR="007F75CC">
        <w:rPr>
          <w:lang w:val="es-ES"/>
        </w:rPr>
        <w:t xml:space="preserve"> </w:t>
      </w:r>
    </w:p>
    <w:p w14:paraId="41EB28E4" w14:textId="77777777" w:rsidR="001208E2" w:rsidRDefault="001208E2">
      <w:pPr>
        <w:rPr>
          <w:lang w:val="es-ES"/>
        </w:rPr>
      </w:pPr>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77777777" w:rsidR="00B82C91" w:rsidRPr="00B82C91" w:rsidRDefault="001208E2">
      <w:pPr>
        <w:rPr>
          <w:lang w:val="es-ES"/>
        </w:rPr>
      </w:pPr>
      <w:r>
        <w:rPr>
          <w:lang w:val="es-ES"/>
        </w:rPr>
        <w:t>Exploración de la relación genotipo-ambiente.</w:t>
      </w:r>
    </w:p>
    <w:sectPr w:rsidR="00B82C91" w:rsidRPr="00B82C91" w:rsidSect="004B3C97">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B9CC2" w14:textId="77777777" w:rsidR="00CF3FCD" w:rsidRDefault="00CF3FCD" w:rsidP="005939BB">
      <w:r>
        <w:separator/>
      </w:r>
    </w:p>
  </w:endnote>
  <w:endnote w:type="continuationSeparator" w:id="0">
    <w:p w14:paraId="26C9EDEF" w14:textId="77777777" w:rsidR="00CF3FCD" w:rsidRDefault="00CF3FCD"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BC414" w14:textId="77777777" w:rsidR="00CF3FCD" w:rsidRDefault="00CF3FCD" w:rsidP="005939BB">
      <w:r>
        <w:separator/>
      </w:r>
    </w:p>
  </w:footnote>
  <w:footnote w:type="continuationSeparator" w:id="0">
    <w:p w14:paraId="6FE3BBC8" w14:textId="77777777" w:rsidR="00CF3FCD" w:rsidRDefault="00CF3FCD" w:rsidP="005939BB">
      <w:r>
        <w:continuationSeparator/>
      </w:r>
    </w:p>
  </w:footnote>
  <w:footnote w:id="1">
    <w:p w14:paraId="63B354FD" w14:textId="311F96B2" w:rsidR="005939BB" w:rsidRPr="005939BB" w:rsidRDefault="005939BB">
      <w:pPr>
        <w:pStyle w:val="FootnoteText"/>
        <w:rPr>
          <w:lang w:val="es-CO"/>
        </w:rPr>
      </w:pPr>
      <w:r>
        <w:rPr>
          <w:rStyle w:val="FootnoteReference"/>
        </w:rPr>
        <w:footnoteRef/>
      </w:r>
      <w:r w:rsidRPr="005939BB">
        <w:rPr>
          <w:lang w:val="es-CO"/>
        </w:rPr>
        <w:t xml:space="preserve"> </w:t>
      </w:r>
      <w:r>
        <w:rPr>
          <w:lang w:val="es-CO"/>
        </w:rPr>
        <w:t>T</w:t>
      </w:r>
      <w:r w:rsidRPr="005939BB">
        <w:rPr>
          <w:lang w:val="es-CO"/>
        </w:rPr>
        <w:t>ener en cuenta que no están los datos por repeticiones sino el promedio</w:t>
      </w:r>
      <w:r>
        <w:rPr>
          <w:lang w:val="es-CO"/>
        </w:rPr>
        <w:t xml:space="preserve"> de las mismas.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33499"/>
    <w:rsid w:val="000365A7"/>
    <w:rsid w:val="00060C7B"/>
    <w:rsid w:val="000610D7"/>
    <w:rsid w:val="00065A6E"/>
    <w:rsid w:val="0006773C"/>
    <w:rsid w:val="00093738"/>
    <w:rsid w:val="00095FC9"/>
    <w:rsid w:val="000A7BA8"/>
    <w:rsid w:val="000F4D2C"/>
    <w:rsid w:val="001179C0"/>
    <w:rsid w:val="001208E2"/>
    <w:rsid w:val="001643F6"/>
    <w:rsid w:val="001D16A3"/>
    <w:rsid w:val="0022161F"/>
    <w:rsid w:val="0025655C"/>
    <w:rsid w:val="002E65E9"/>
    <w:rsid w:val="0032675C"/>
    <w:rsid w:val="00346B3D"/>
    <w:rsid w:val="003501F6"/>
    <w:rsid w:val="00387C1A"/>
    <w:rsid w:val="003A7184"/>
    <w:rsid w:val="003C7442"/>
    <w:rsid w:val="003F489D"/>
    <w:rsid w:val="00402C6D"/>
    <w:rsid w:val="004735DF"/>
    <w:rsid w:val="004B21A6"/>
    <w:rsid w:val="004B3C97"/>
    <w:rsid w:val="004B4B72"/>
    <w:rsid w:val="00520C77"/>
    <w:rsid w:val="0055029E"/>
    <w:rsid w:val="00552CEA"/>
    <w:rsid w:val="00557D16"/>
    <w:rsid w:val="00561375"/>
    <w:rsid w:val="005939BB"/>
    <w:rsid w:val="0059531A"/>
    <w:rsid w:val="005A214A"/>
    <w:rsid w:val="005A232E"/>
    <w:rsid w:val="005C4DBC"/>
    <w:rsid w:val="005F1485"/>
    <w:rsid w:val="0063139E"/>
    <w:rsid w:val="0064445A"/>
    <w:rsid w:val="00671CFD"/>
    <w:rsid w:val="006A7B02"/>
    <w:rsid w:val="006E3FDF"/>
    <w:rsid w:val="00727447"/>
    <w:rsid w:val="00731ABC"/>
    <w:rsid w:val="00753AC9"/>
    <w:rsid w:val="00757018"/>
    <w:rsid w:val="00773F21"/>
    <w:rsid w:val="0078166F"/>
    <w:rsid w:val="00781A1A"/>
    <w:rsid w:val="007B001E"/>
    <w:rsid w:val="007C3970"/>
    <w:rsid w:val="007E232A"/>
    <w:rsid w:val="007F75CC"/>
    <w:rsid w:val="00811EB1"/>
    <w:rsid w:val="0082443F"/>
    <w:rsid w:val="00826BAF"/>
    <w:rsid w:val="008C1FE4"/>
    <w:rsid w:val="008D7920"/>
    <w:rsid w:val="008F6CCD"/>
    <w:rsid w:val="009218A7"/>
    <w:rsid w:val="00946D90"/>
    <w:rsid w:val="009D0B5F"/>
    <w:rsid w:val="009D39D9"/>
    <w:rsid w:val="00A53275"/>
    <w:rsid w:val="00A93BF9"/>
    <w:rsid w:val="00AA3200"/>
    <w:rsid w:val="00AB7AA2"/>
    <w:rsid w:val="00AD7AD0"/>
    <w:rsid w:val="00AF1460"/>
    <w:rsid w:val="00AF3553"/>
    <w:rsid w:val="00AF7E3A"/>
    <w:rsid w:val="00B82C91"/>
    <w:rsid w:val="00BB1BEE"/>
    <w:rsid w:val="00BF7494"/>
    <w:rsid w:val="00C07BF6"/>
    <w:rsid w:val="00C10B0F"/>
    <w:rsid w:val="00C23E3C"/>
    <w:rsid w:val="00C809DD"/>
    <w:rsid w:val="00C80DD7"/>
    <w:rsid w:val="00CA066D"/>
    <w:rsid w:val="00CA6FCC"/>
    <w:rsid w:val="00CA76A6"/>
    <w:rsid w:val="00CC4415"/>
    <w:rsid w:val="00CD7E16"/>
    <w:rsid w:val="00CE28DB"/>
    <w:rsid w:val="00CF3FCD"/>
    <w:rsid w:val="00D36ECC"/>
    <w:rsid w:val="00D7334A"/>
    <w:rsid w:val="00D94CC4"/>
    <w:rsid w:val="00DB1727"/>
    <w:rsid w:val="00E354D2"/>
    <w:rsid w:val="00E36852"/>
    <w:rsid w:val="00ED06AE"/>
    <w:rsid w:val="00ED5BD9"/>
    <w:rsid w:val="00F17FA4"/>
    <w:rsid w:val="00F3742D"/>
    <w:rsid w:val="00F54E86"/>
    <w:rsid w:val="00F732F0"/>
    <w:rsid w:val="00F953E9"/>
    <w:rsid w:val="00FC0C2C"/>
    <w:rsid w:val="00FE5505"/>
    <w:rsid w:val="00FE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CA538-6EDD-4729-805A-9FD5E1F53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Pages>
  <Words>2541</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80</cp:revision>
  <dcterms:created xsi:type="dcterms:W3CDTF">2016-09-22T02:18:00Z</dcterms:created>
  <dcterms:modified xsi:type="dcterms:W3CDTF">2016-09-28T03:54:00Z</dcterms:modified>
</cp:coreProperties>
</file>