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0D3D" w:rsidRPr="00650D3D" w:rsidRDefault="00650D3D" w:rsidP="004419E2">
      <w:pPr>
        <w:pStyle w:val="Title"/>
        <w:rPr>
          <w:b/>
        </w:rPr>
      </w:pPr>
      <w:r w:rsidRPr="00650D3D">
        <w:rPr>
          <w:b/>
        </w:rPr>
        <w:t>Familia: Barrera o facilitador en el proceso de inclusión laboral de 3 poblaciones en edad productiva</w:t>
      </w:r>
    </w:p>
    <w:p w:rsidR="00650D3D" w:rsidRPr="00650D3D" w:rsidRDefault="00650D3D" w:rsidP="00650D3D"/>
    <w:p w:rsidR="00650D3D" w:rsidRPr="00650D3D" w:rsidRDefault="00650D3D" w:rsidP="00650D3D"/>
    <w:p w:rsidR="00774B79" w:rsidRPr="004419E2" w:rsidRDefault="004419E2" w:rsidP="004419E2">
      <w:pPr>
        <w:pStyle w:val="Title"/>
      </w:pPr>
      <w:r w:rsidRPr="004419E2">
        <w:t>Marco teórico</w:t>
      </w:r>
    </w:p>
    <w:p w:rsidR="004419E2" w:rsidRPr="004419E2" w:rsidRDefault="004419E2" w:rsidP="004419E2"/>
    <w:p w:rsidR="004419E2" w:rsidRDefault="005E38CF" w:rsidP="00650D3D">
      <w:pPr>
        <w:pStyle w:val="Heading1"/>
      </w:pPr>
      <w:r>
        <w:t xml:space="preserve">Escalamiento óptimo: </w:t>
      </w:r>
      <w:r w:rsidR="004419E2">
        <w:t>Anál</w:t>
      </w:r>
      <w:r w:rsidR="00650D3D">
        <w:t>isis de componentes principales categórico</w:t>
      </w:r>
    </w:p>
    <w:p w:rsidR="00650D3D" w:rsidRDefault="00650D3D" w:rsidP="00650D3D"/>
    <w:p w:rsidR="005E38CF" w:rsidRDefault="005E38CF" w:rsidP="00650D3D">
      <w:pPr>
        <w:jc w:val="both"/>
      </w:pPr>
      <w:r>
        <w:t>El objetivo del escalamiento óptimo es asignar cuantificaciones numéricas a las categorías de una variable cualitativa, esto para aplicar los métodos estadísticos tradicionales en la solución de un problema. En este sentido e</w:t>
      </w:r>
      <w:r w:rsidR="00650D3D">
        <w:t xml:space="preserve">l análisis de componentes principales categórico </w:t>
      </w:r>
      <w:r>
        <w:t>conocido</w:t>
      </w:r>
      <w:r w:rsidR="00650D3D">
        <w:t xml:space="preserve"> por el acrónimo CATPCA, del inglés CATegorical Principal Components Analysis</w:t>
      </w:r>
      <w:r>
        <w:t>, busca la</w:t>
      </w:r>
      <w:r w:rsidR="00650D3D">
        <w:t xml:space="preserve"> reducción de un conjunto original de variables en un conjunto más pequeño de componentes </w:t>
      </w:r>
      <w:r w:rsidR="00C47435">
        <w:t>independientes</w:t>
      </w:r>
      <w:r w:rsidR="00650D3D">
        <w:t xml:space="preserve"> que representen la mayor parte de la información encontrada en las variables originales</w:t>
      </w:r>
      <w:r w:rsidR="00C47435">
        <w:t>, esto a través de la cuantificación óptima de las variables cualitativas bien sean estas de tipo: nominal u ordinal</w:t>
      </w:r>
      <w:r w:rsidR="00650D3D">
        <w:t>.</w:t>
      </w:r>
    </w:p>
    <w:p w:rsidR="00650D3D" w:rsidRDefault="007F7665" w:rsidP="00936D9E">
      <w:pPr>
        <w:jc w:val="both"/>
      </w:pPr>
      <w:r>
        <w:t>El procedimiento opera de la siguiente forma:</w:t>
      </w:r>
    </w:p>
    <w:p w:rsidR="007F7665" w:rsidRDefault="00A00E8F" w:rsidP="00936D9E">
      <w:pPr>
        <w:pStyle w:val="ListParagraph"/>
        <w:numPr>
          <w:ilvl w:val="0"/>
          <w:numId w:val="4"/>
        </w:numPr>
        <w:jc w:val="both"/>
      </w:pPr>
      <w:r>
        <w:t xml:space="preserve">En primera medida se </w:t>
      </w:r>
      <w:r w:rsidR="00936D9E">
        <w:t>asignan las restricciones correspondientes, dadas por la escala de medición de cada una de las variables en la tabla de datos.</w:t>
      </w:r>
    </w:p>
    <w:p w:rsidR="00936D9E" w:rsidRDefault="00936D9E" w:rsidP="00936D9E">
      <w:pPr>
        <w:pStyle w:val="ListParagraph"/>
        <w:numPr>
          <w:ilvl w:val="0"/>
          <w:numId w:val="4"/>
        </w:numPr>
        <w:jc w:val="both"/>
      </w:pPr>
      <w:r>
        <w:t>A continuación, el método determina dos tipos de parámetros: parámetros de estimación del modelo del análisis de componentes principales y parámetros de cuantificación óptima.</w:t>
      </w:r>
      <w:r w:rsidR="00A730A3">
        <w:t xml:space="preserve"> De este modo los parámetros de cuantificación óptima se inicializan con valores aleatorios.</w:t>
      </w:r>
    </w:p>
    <w:p w:rsidR="00936D9E" w:rsidRDefault="00A730A3" w:rsidP="00936D9E">
      <w:pPr>
        <w:pStyle w:val="ListParagraph"/>
        <w:numPr>
          <w:ilvl w:val="0"/>
          <w:numId w:val="4"/>
        </w:numPr>
        <w:jc w:val="both"/>
      </w:pPr>
      <w:r>
        <w:t>Acto seguido el algoritmo ajusta un Análisis de componentes principales clásico (PCA) sobre los parámetros de cuantificación óptima iniciales, los cuales se van actualizando durante el proceso, reemplazando los parámetros viejos por los nuevos,  hasta conseguir la convergencia.</w:t>
      </w:r>
    </w:p>
    <w:p w:rsidR="00ED52BC" w:rsidRDefault="001916E9" w:rsidP="00650D3D">
      <w:r>
        <w:t xml:space="preserve">El fin de efectuar un CATPCA para la presente investigación consiste en </w:t>
      </w:r>
      <w:r w:rsidR="00C81932">
        <w:t>cuantificar de manera apropiada las variables categóricas que componen la base de datos con el propósito de identificar la influencia de las componentes de entorno sobre la inclusión laboral</w:t>
      </w:r>
      <w:r w:rsidR="009962F3">
        <w:t>, luego posterior a la cuantificación apropiada de las variables se procede a utilizar estas con el método PLS-PM explicado en el siguiente apartado</w:t>
      </w:r>
      <w:r w:rsidR="00C81932">
        <w:t>.</w:t>
      </w:r>
    </w:p>
    <w:p w:rsidR="001916E9" w:rsidRPr="00650D3D" w:rsidRDefault="001916E9" w:rsidP="00650D3D"/>
    <w:p w:rsidR="004419E2" w:rsidRDefault="00650D3D" w:rsidP="00650D3D">
      <w:pPr>
        <w:pStyle w:val="Heading1"/>
      </w:pPr>
      <w:r>
        <w:lastRenderedPageBreak/>
        <w:t>Partial Least Squares – Path Modeling (Mínimos cuadrados parciales – Modelación de rutas)</w:t>
      </w:r>
    </w:p>
    <w:p w:rsidR="00650D3D" w:rsidRDefault="00650D3D" w:rsidP="00650D3D"/>
    <w:p w:rsidR="00650D3D" w:rsidRPr="00650D3D" w:rsidRDefault="00650D3D" w:rsidP="00650D3D"/>
    <w:p w:rsidR="004419E2" w:rsidRPr="004419E2" w:rsidRDefault="004419E2" w:rsidP="004419E2"/>
    <w:p w:rsidR="004419E2" w:rsidRPr="004419E2" w:rsidRDefault="004419E2" w:rsidP="004419E2">
      <w:pPr>
        <w:pStyle w:val="Title"/>
      </w:pPr>
      <w:r w:rsidRPr="004419E2">
        <w:t>Metodología</w:t>
      </w:r>
    </w:p>
    <w:p w:rsidR="004419E2" w:rsidRPr="00CD3E0F" w:rsidRDefault="004419E2" w:rsidP="004419E2"/>
    <w:p w:rsidR="00650D3D" w:rsidRPr="00650D3D" w:rsidRDefault="00650D3D" w:rsidP="00650D3D">
      <w:r w:rsidRPr="00650D3D">
        <w:t xml:space="preserve">El proceso metodológico desarrollado para </w:t>
      </w:r>
      <w:r w:rsidR="00226136">
        <w:t>estudiar el efecto que tienen diferentes componentes de entorno sobre la inclusión laboral en los tres grupos poblaciones analizados (población con discapacidad cognitiva, auditiva-sensorial y población sin discapacidad)</w:t>
      </w:r>
      <w:r w:rsidRPr="00650D3D">
        <w:t>, abarcó las siguientes etapas:</w:t>
      </w:r>
    </w:p>
    <w:p w:rsidR="002C45D2" w:rsidRDefault="00650D3D" w:rsidP="002C45D2">
      <w:pPr>
        <w:pStyle w:val="ListParagraph"/>
        <w:numPr>
          <w:ilvl w:val="0"/>
          <w:numId w:val="2"/>
        </w:numPr>
      </w:pPr>
      <w:r w:rsidRPr="00650D3D">
        <w:t>Análisis descriptivo de datos.</w:t>
      </w:r>
    </w:p>
    <w:p w:rsidR="002C45D2" w:rsidRDefault="002C45D2" w:rsidP="002C45D2">
      <w:pPr>
        <w:pStyle w:val="ListParagraph"/>
        <w:numPr>
          <w:ilvl w:val="0"/>
          <w:numId w:val="2"/>
        </w:numPr>
      </w:pPr>
      <w:r w:rsidRPr="002C45D2">
        <w:t>Exploración de relaciones entre las variables (análisis de correlación).</w:t>
      </w:r>
    </w:p>
    <w:p w:rsidR="002C45D2" w:rsidRDefault="002C45D2" w:rsidP="002C45D2">
      <w:pPr>
        <w:pStyle w:val="ListParagraph"/>
        <w:numPr>
          <w:ilvl w:val="0"/>
          <w:numId w:val="2"/>
        </w:numPr>
      </w:pPr>
      <w:r>
        <w:t>Identificación de variables que definan las componentes de entorno orientadas hacia la inclusión labora en la población en estudio. Para este fin se especificaron los siguientes constructos:</w:t>
      </w:r>
    </w:p>
    <w:p w:rsidR="002C45D2" w:rsidRDefault="002C45D2" w:rsidP="002C45D2">
      <w:pPr>
        <w:pStyle w:val="ListParagraph"/>
        <w:ind w:left="1065"/>
      </w:pPr>
    </w:p>
    <w:p w:rsidR="002C45D2" w:rsidRDefault="002C45D2" w:rsidP="002C45D2">
      <w:pPr>
        <w:pStyle w:val="ListParagraph"/>
        <w:numPr>
          <w:ilvl w:val="0"/>
          <w:numId w:val="3"/>
        </w:numPr>
      </w:pPr>
      <w:r>
        <w:t>Componente ambiental (constructo de primer orden)</w:t>
      </w:r>
    </w:p>
    <w:p w:rsidR="002C45D2" w:rsidRDefault="002C45D2" w:rsidP="002C45D2">
      <w:pPr>
        <w:pStyle w:val="ListParagraph"/>
        <w:numPr>
          <w:ilvl w:val="0"/>
          <w:numId w:val="3"/>
        </w:numPr>
      </w:pPr>
      <w:r>
        <w:t>Componente de apoyos y servicios (constructo de primer orden)</w:t>
      </w:r>
    </w:p>
    <w:p w:rsidR="002C45D2" w:rsidRDefault="002C45D2" w:rsidP="002C45D2">
      <w:pPr>
        <w:pStyle w:val="ListParagraph"/>
        <w:numPr>
          <w:ilvl w:val="0"/>
          <w:numId w:val="3"/>
        </w:numPr>
      </w:pPr>
      <w:r>
        <w:t>Componente de calidad de vida (constructo de primer orden)</w:t>
      </w:r>
    </w:p>
    <w:p w:rsidR="002C45D2" w:rsidRDefault="002C45D2" w:rsidP="002C45D2">
      <w:pPr>
        <w:pStyle w:val="ListParagraph"/>
        <w:numPr>
          <w:ilvl w:val="0"/>
          <w:numId w:val="3"/>
        </w:numPr>
      </w:pPr>
      <w:r>
        <w:t>Inclusión laboral (constructo de segundo orden)</w:t>
      </w:r>
    </w:p>
    <w:p w:rsidR="00650D3D" w:rsidRPr="00650D3D" w:rsidRDefault="002C45D2" w:rsidP="002C45D2">
      <w:pPr>
        <w:pStyle w:val="ListParagraph"/>
        <w:numPr>
          <w:ilvl w:val="0"/>
          <w:numId w:val="2"/>
        </w:numPr>
      </w:pPr>
      <w:r>
        <w:t>Escalamiento óptimo de variables categóricas</w:t>
      </w:r>
    </w:p>
    <w:p w:rsidR="00650D3D" w:rsidRDefault="00650D3D" w:rsidP="004419E2">
      <w:pPr>
        <w:pStyle w:val="ListParagraph"/>
        <w:numPr>
          <w:ilvl w:val="0"/>
          <w:numId w:val="2"/>
        </w:numPr>
      </w:pPr>
      <w:r w:rsidRPr="00CD3E0F">
        <w:t xml:space="preserve">Ajuste </w:t>
      </w:r>
      <w:r w:rsidR="00FF55B1">
        <w:t xml:space="preserve">y evaluación </w:t>
      </w:r>
      <w:r w:rsidRPr="00CD3E0F">
        <w:t>del modelo estructural</w:t>
      </w:r>
      <w:r w:rsidR="002C45D2">
        <w:t xml:space="preserve"> PLS-PM</w:t>
      </w:r>
      <w:r w:rsidRPr="00CD3E0F">
        <w:t>.</w:t>
      </w:r>
    </w:p>
    <w:p w:rsidR="00FF55B1" w:rsidRDefault="00FF55B1" w:rsidP="00FF55B1"/>
    <w:p w:rsidR="002C45D2" w:rsidRPr="002C45D2" w:rsidRDefault="002C45D2" w:rsidP="004419E2">
      <w:pPr>
        <w:rPr>
          <w:b/>
        </w:rPr>
      </w:pPr>
      <w:r w:rsidRPr="002C45D2">
        <w:rPr>
          <w:b/>
        </w:rPr>
        <w:t>Fase 1. Análisis descriptivo de datos</w:t>
      </w:r>
    </w:p>
    <w:p w:rsidR="002C45D2" w:rsidRDefault="002C45D2" w:rsidP="004419E2">
      <w:r>
        <w:t xml:space="preserve">Previo al proceso de escalamiento óptimo de las variables categóricas se </w:t>
      </w:r>
      <w:r w:rsidR="00B80E38">
        <w:t>realizó un análisis descriptivo de las variables más importantes que caracterizan la composición de la muestra, utilizando estadísticas de resumen como medidas de tendencia central y variabilidad.</w:t>
      </w:r>
    </w:p>
    <w:p w:rsidR="00B80E38" w:rsidRDefault="00B80E38" w:rsidP="004419E2"/>
    <w:p w:rsidR="00B80E38" w:rsidRPr="00C37ADC" w:rsidRDefault="00B80E38" w:rsidP="004419E2">
      <w:pPr>
        <w:rPr>
          <w:b/>
        </w:rPr>
      </w:pPr>
      <w:r w:rsidRPr="00C37ADC">
        <w:rPr>
          <w:b/>
        </w:rPr>
        <w:t>Fase 2. Exploración de relaciones entre variables</w:t>
      </w:r>
    </w:p>
    <w:p w:rsidR="00B80E38" w:rsidRDefault="00C37ADC" w:rsidP="004419E2">
      <w:r w:rsidRPr="00C37ADC">
        <w:t>Como primer paso para identificar las posibles relaciones de dependencia entre los grupos de variables, se parte de la realización de un test de independencia Chi-cuadrado entre todos los pares de variables</w:t>
      </w:r>
      <w:r>
        <w:t>. Posteriormente haciendo uso de los coeficientes de correlación no lineales para variables categóricas se identificó la dirección de las relaciones previamente detectadas por el test de independencia Chi-cuadrado.</w:t>
      </w:r>
    </w:p>
    <w:p w:rsidR="00B80E38" w:rsidRDefault="00B80E38" w:rsidP="004419E2"/>
    <w:p w:rsidR="00C37ADC" w:rsidRPr="00C37ADC" w:rsidRDefault="00C37ADC" w:rsidP="004419E2">
      <w:pPr>
        <w:rPr>
          <w:b/>
        </w:rPr>
      </w:pPr>
      <w:r w:rsidRPr="00C37ADC">
        <w:rPr>
          <w:b/>
        </w:rPr>
        <w:lastRenderedPageBreak/>
        <w:t>Fase 3. Identificación de variables por componentes de entorno</w:t>
      </w:r>
    </w:p>
    <w:p w:rsidR="00C37ADC" w:rsidRDefault="00C37ADC" w:rsidP="00C37ADC">
      <w:pPr>
        <w:jc w:val="both"/>
      </w:pPr>
      <w:r>
        <w:t>Posterior al análisis de correlación donde se identificó la relación existente entre las variables medidas, se realiza una selección de las variables que presentan mayor importancia en la explicación de cada componente de entorno, esto para depurar el modelo de ítems que no midan lo que realmente se necesita medir.</w:t>
      </w:r>
    </w:p>
    <w:p w:rsidR="00C37ADC" w:rsidRDefault="00C37ADC" w:rsidP="00C37ADC">
      <w:pPr>
        <w:jc w:val="both"/>
      </w:pPr>
    </w:p>
    <w:p w:rsidR="00C37ADC" w:rsidRPr="00C37ADC" w:rsidRDefault="00C37ADC" w:rsidP="00C37ADC">
      <w:pPr>
        <w:jc w:val="both"/>
        <w:rPr>
          <w:b/>
        </w:rPr>
      </w:pPr>
      <w:r w:rsidRPr="00C37ADC">
        <w:rPr>
          <w:b/>
        </w:rPr>
        <w:t>Fase 4. Escalamiento óptimo de variables categóricas</w:t>
      </w:r>
    </w:p>
    <w:p w:rsidR="00C37ADC" w:rsidRDefault="00C37ADC" w:rsidP="00C37ADC">
      <w:pPr>
        <w:jc w:val="both"/>
      </w:pPr>
      <w:r>
        <w:t>A partir de la utilización del Análisis de componentes principales categórico se cuantificó de manera óptima las variables categóricas de la base de datos</w:t>
      </w:r>
      <w:r w:rsidR="001916E9">
        <w:t>. Esto por cada componente de entorno definida</w:t>
      </w:r>
      <w:r>
        <w:t>. Las variables cuantificadas son las que sirven de insumo para el modelo PLS-PM donde se busca estimar las componentes de entorno, entendiéndose estas como factores latentes no observables.</w:t>
      </w:r>
    </w:p>
    <w:p w:rsidR="00C37ADC" w:rsidRDefault="00C37ADC" w:rsidP="00C37ADC">
      <w:pPr>
        <w:jc w:val="both"/>
      </w:pPr>
    </w:p>
    <w:p w:rsidR="00C37ADC" w:rsidRPr="00C37ADC" w:rsidRDefault="00C37ADC" w:rsidP="00C37ADC">
      <w:pPr>
        <w:jc w:val="both"/>
        <w:rPr>
          <w:b/>
        </w:rPr>
      </w:pPr>
      <w:r w:rsidRPr="00C37ADC">
        <w:rPr>
          <w:b/>
        </w:rPr>
        <w:t>Fase 5. Ajuste</w:t>
      </w:r>
      <w:r w:rsidR="00FF55B1">
        <w:rPr>
          <w:b/>
        </w:rPr>
        <w:t xml:space="preserve"> y evaluación </w:t>
      </w:r>
      <w:r w:rsidRPr="00C37ADC">
        <w:rPr>
          <w:b/>
        </w:rPr>
        <w:t>del modelo PLS-PM</w:t>
      </w:r>
    </w:p>
    <w:p w:rsidR="00C37ADC" w:rsidRDefault="00C37ADC" w:rsidP="00C37ADC">
      <w:pPr>
        <w:jc w:val="both"/>
      </w:pPr>
      <w:r>
        <w:t>Acto seguido se ajustó el modelo PLS-PM, el cual en primera medida estima</w:t>
      </w:r>
      <w:r w:rsidR="00D94B97">
        <w:t xml:space="preserve"> </w:t>
      </w:r>
      <w:r w:rsidR="00337F19">
        <w:t xml:space="preserve">las componentes de entorno a partir de las variables con escalamiento </w:t>
      </w:r>
      <w:r w:rsidR="008356E0">
        <w:t>óptimo</w:t>
      </w:r>
      <w:r w:rsidR="00337F19">
        <w:t xml:space="preserve"> y posteriormente explora la relación entre las componentes de entorno y la inclusión laboral</w:t>
      </w:r>
      <w:r w:rsidR="008356E0">
        <w:t xml:space="preserve"> como se muestra en el siguiente diagrama de rutas.</w:t>
      </w:r>
    </w:p>
    <w:p w:rsidR="00337F19" w:rsidRDefault="00552F0E" w:rsidP="004419E2">
      <w:r>
        <w:rPr>
          <w:noProof/>
          <w:lang w:eastAsia="es-CO"/>
        </w:rPr>
        <w:drawing>
          <wp:inline distT="0" distB="0" distL="0" distR="0" wp14:anchorId="77D3AA87" wp14:editId="72F2E3CE">
            <wp:extent cx="5943600" cy="44062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406265"/>
                    </a:xfrm>
                    <a:prstGeom prst="rect">
                      <a:avLst/>
                    </a:prstGeom>
                  </pic:spPr>
                </pic:pic>
              </a:graphicData>
            </a:graphic>
          </wp:inline>
        </w:drawing>
      </w:r>
    </w:p>
    <w:p w:rsidR="002C45D2" w:rsidRDefault="008356E0" w:rsidP="008356E0">
      <w:pPr>
        <w:jc w:val="both"/>
      </w:pPr>
      <w:r>
        <w:lastRenderedPageBreak/>
        <w:t>La inclusión laboral se consideró como un constructo de segundo orden, es decir, que no posee ninguna variable observada que lo defina</w:t>
      </w:r>
      <w:r w:rsidR="00BF737E">
        <w:t xml:space="preserve"> y se determinó a partir de las componentes de entorno orientadas de forma adecuada</w:t>
      </w:r>
      <w:r>
        <w:t>.</w:t>
      </w:r>
    </w:p>
    <w:p w:rsidR="002C45D2" w:rsidRPr="00CD3E0F" w:rsidRDefault="002C45D2" w:rsidP="004419E2"/>
    <w:p w:rsidR="00650D3D" w:rsidRPr="0015317C" w:rsidRDefault="00650D3D" w:rsidP="00650D3D">
      <w:pPr>
        <w:pStyle w:val="Title"/>
      </w:pPr>
      <w:r w:rsidRPr="0015317C">
        <w:t>Resultados</w:t>
      </w:r>
    </w:p>
    <w:p w:rsidR="00650D3D" w:rsidRPr="0015317C" w:rsidRDefault="00650D3D" w:rsidP="004419E2"/>
    <w:p w:rsidR="0015317C" w:rsidRPr="0055471D" w:rsidRDefault="0015317C" w:rsidP="004419E2">
      <w:pPr>
        <w:rPr>
          <w:sz w:val="28"/>
        </w:rPr>
      </w:pPr>
      <w:r w:rsidRPr="0055471D">
        <w:rPr>
          <w:b/>
          <w:sz w:val="28"/>
        </w:rPr>
        <w:t>Análisis descriptivo de datos</w:t>
      </w:r>
    </w:p>
    <w:p w:rsidR="0015317C" w:rsidRDefault="0015317C" w:rsidP="003A0C90">
      <w:pPr>
        <w:jc w:val="both"/>
      </w:pPr>
      <w:r w:rsidRPr="0055471D">
        <w:rPr>
          <w:b/>
        </w:rPr>
        <w:t>Distribución porcentual del género</w:t>
      </w:r>
      <w:r>
        <w:t xml:space="preserve">. </w:t>
      </w:r>
      <w:r w:rsidR="003A0C90">
        <w:t>Conclusión</w:t>
      </w:r>
      <w:r>
        <w:t xml:space="preserve"> </w:t>
      </w:r>
      <w:r w:rsidR="003A0C90">
        <w:t>rápida</w:t>
      </w:r>
      <w:r>
        <w:t xml:space="preserve">: </w:t>
      </w:r>
      <w:r w:rsidR="003A0C90">
        <w:t>la mayor parte de la muestra</w:t>
      </w:r>
      <w:r w:rsidR="008F1DFB">
        <w:t xml:space="preserve"> (62%)</w:t>
      </w:r>
      <w:r w:rsidR="003A0C90">
        <w:t xml:space="preserve"> está compuesta por hombres.</w:t>
      </w:r>
    </w:p>
    <w:p w:rsidR="0015317C" w:rsidRDefault="0015317C" w:rsidP="0015317C">
      <w:pPr>
        <w:jc w:val="center"/>
      </w:pPr>
      <w:r>
        <w:rPr>
          <w:noProof/>
          <w:lang w:eastAsia="es-CO"/>
        </w:rPr>
        <w:drawing>
          <wp:inline distT="0" distB="0" distL="0" distR="0" wp14:anchorId="465034FB" wp14:editId="10805B48">
            <wp:extent cx="3257550" cy="4371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57550" cy="4371975"/>
                    </a:xfrm>
                    <a:prstGeom prst="rect">
                      <a:avLst/>
                    </a:prstGeom>
                  </pic:spPr>
                </pic:pic>
              </a:graphicData>
            </a:graphic>
          </wp:inline>
        </w:drawing>
      </w:r>
    </w:p>
    <w:tbl>
      <w:tblPr>
        <w:tblW w:w="3200" w:type="dxa"/>
        <w:jc w:val="center"/>
        <w:tblCellMar>
          <w:left w:w="70" w:type="dxa"/>
          <w:right w:w="70" w:type="dxa"/>
        </w:tblCellMar>
        <w:tblLook w:val="04A0" w:firstRow="1" w:lastRow="0" w:firstColumn="1" w:lastColumn="0" w:noHBand="0" w:noVBand="1"/>
      </w:tblPr>
      <w:tblGrid>
        <w:gridCol w:w="1061"/>
        <w:gridCol w:w="1180"/>
        <w:gridCol w:w="1106"/>
      </w:tblGrid>
      <w:tr w:rsidR="008F1DFB" w:rsidRPr="008F1DFB" w:rsidTr="008F1DFB">
        <w:trPr>
          <w:trHeight w:val="300"/>
          <w:jc w:val="center"/>
        </w:trPr>
        <w:tc>
          <w:tcPr>
            <w:tcW w:w="1060" w:type="dxa"/>
            <w:tcBorders>
              <w:top w:val="single" w:sz="4" w:space="0" w:color="auto"/>
              <w:left w:val="nil"/>
              <w:bottom w:val="single" w:sz="4" w:space="0" w:color="auto"/>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Sexo</w:t>
            </w:r>
          </w:p>
        </w:tc>
        <w:tc>
          <w:tcPr>
            <w:tcW w:w="1180" w:type="dxa"/>
            <w:tcBorders>
              <w:top w:val="single" w:sz="4" w:space="0" w:color="auto"/>
              <w:left w:val="nil"/>
              <w:bottom w:val="single" w:sz="4" w:space="0" w:color="auto"/>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Pr>
                <w:rFonts w:ascii="Calibri" w:eastAsia="Times New Roman" w:hAnsi="Calibri" w:cs="Times New Roman"/>
                <w:color w:val="000000"/>
                <w:lang w:eastAsia="es-CO"/>
              </w:rPr>
              <w:t>Conteo</w:t>
            </w:r>
          </w:p>
        </w:tc>
        <w:tc>
          <w:tcPr>
            <w:tcW w:w="960" w:type="dxa"/>
            <w:tcBorders>
              <w:top w:val="single" w:sz="4" w:space="0" w:color="auto"/>
              <w:left w:val="nil"/>
              <w:bottom w:val="single" w:sz="4" w:space="0" w:color="auto"/>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Pr>
                <w:rFonts w:ascii="Calibri" w:eastAsia="Times New Roman" w:hAnsi="Calibri" w:cs="Times New Roman"/>
                <w:color w:val="000000"/>
                <w:lang w:eastAsia="es-CO"/>
              </w:rPr>
              <w:t>Porcentaje</w:t>
            </w:r>
          </w:p>
        </w:tc>
      </w:tr>
      <w:tr w:rsidR="008F1DFB" w:rsidRPr="008F1DFB" w:rsidTr="008F1DFB">
        <w:trPr>
          <w:trHeight w:val="300"/>
          <w:jc w:val="center"/>
        </w:trPr>
        <w:tc>
          <w:tcPr>
            <w:tcW w:w="1060" w:type="dxa"/>
            <w:tcBorders>
              <w:top w:val="single" w:sz="4" w:space="0" w:color="auto"/>
              <w:left w:val="nil"/>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Masculino</w:t>
            </w:r>
          </w:p>
        </w:tc>
        <w:tc>
          <w:tcPr>
            <w:tcW w:w="1180" w:type="dxa"/>
            <w:tcBorders>
              <w:top w:val="single" w:sz="4" w:space="0" w:color="auto"/>
              <w:left w:val="nil"/>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56</w:t>
            </w:r>
          </w:p>
        </w:tc>
        <w:tc>
          <w:tcPr>
            <w:tcW w:w="960" w:type="dxa"/>
            <w:tcBorders>
              <w:top w:val="single" w:sz="4" w:space="0" w:color="auto"/>
              <w:left w:val="nil"/>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62%</w:t>
            </w:r>
          </w:p>
        </w:tc>
      </w:tr>
      <w:tr w:rsidR="008F1DFB" w:rsidRPr="008F1DFB" w:rsidTr="008F1DFB">
        <w:trPr>
          <w:trHeight w:val="300"/>
          <w:jc w:val="center"/>
        </w:trPr>
        <w:tc>
          <w:tcPr>
            <w:tcW w:w="1060" w:type="dxa"/>
            <w:tcBorders>
              <w:top w:val="nil"/>
              <w:left w:val="nil"/>
              <w:bottom w:val="single" w:sz="4" w:space="0" w:color="auto"/>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Femenino</w:t>
            </w:r>
          </w:p>
        </w:tc>
        <w:tc>
          <w:tcPr>
            <w:tcW w:w="1180" w:type="dxa"/>
            <w:tcBorders>
              <w:top w:val="nil"/>
              <w:left w:val="nil"/>
              <w:bottom w:val="single" w:sz="4" w:space="0" w:color="auto"/>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34</w:t>
            </w:r>
          </w:p>
        </w:tc>
        <w:tc>
          <w:tcPr>
            <w:tcW w:w="960" w:type="dxa"/>
            <w:tcBorders>
              <w:top w:val="nil"/>
              <w:left w:val="nil"/>
              <w:bottom w:val="single" w:sz="4" w:space="0" w:color="auto"/>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38%</w:t>
            </w:r>
          </w:p>
        </w:tc>
      </w:tr>
    </w:tbl>
    <w:p w:rsidR="008F1DFB" w:rsidRDefault="008F1DFB" w:rsidP="0015317C">
      <w:pPr>
        <w:jc w:val="center"/>
      </w:pPr>
    </w:p>
    <w:p w:rsidR="00B13B21" w:rsidRDefault="00C12142" w:rsidP="0091468C">
      <w:pPr>
        <w:jc w:val="both"/>
      </w:pPr>
      <w:r w:rsidRPr="0055471D">
        <w:rPr>
          <w:b/>
        </w:rPr>
        <w:lastRenderedPageBreak/>
        <w:t>Distribución de la edad</w:t>
      </w:r>
      <w:r>
        <w:t>. Conclusión rápida: en base a la tabla de estadísticas descriptivas la edad mínima es de 14 años mientras la máxima es de 45 años, por otro lado el promedio de edades oscila alrededor de los 23.4 años con una desviación estándar de 6.7 años.</w:t>
      </w:r>
    </w:p>
    <w:p w:rsidR="00C12142" w:rsidRDefault="00C12142" w:rsidP="00C12142">
      <w:pPr>
        <w:jc w:val="center"/>
      </w:pPr>
      <w:r>
        <w:rPr>
          <w:noProof/>
          <w:lang w:eastAsia="es-CO"/>
        </w:rPr>
        <w:drawing>
          <wp:inline distT="0" distB="0" distL="0" distR="0" wp14:anchorId="49BF769C" wp14:editId="7BB6E34E">
            <wp:extent cx="3736644" cy="3657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36644" cy="3657600"/>
                    </a:xfrm>
                    <a:prstGeom prst="rect">
                      <a:avLst/>
                    </a:prstGeom>
                  </pic:spPr>
                </pic:pic>
              </a:graphicData>
            </a:graphic>
          </wp:inline>
        </w:drawing>
      </w:r>
    </w:p>
    <w:tbl>
      <w:tblPr>
        <w:tblW w:w="4929" w:type="dxa"/>
        <w:jc w:val="center"/>
        <w:tblCellMar>
          <w:left w:w="70" w:type="dxa"/>
          <w:right w:w="70" w:type="dxa"/>
        </w:tblCellMar>
        <w:tblLook w:val="04A0" w:firstRow="1" w:lastRow="0" w:firstColumn="1" w:lastColumn="0" w:noHBand="0" w:noVBand="1"/>
      </w:tblPr>
      <w:tblGrid>
        <w:gridCol w:w="960"/>
        <w:gridCol w:w="960"/>
        <w:gridCol w:w="2049"/>
        <w:gridCol w:w="960"/>
      </w:tblGrid>
      <w:tr w:rsidR="008F1DFB" w:rsidRPr="008F1DFB" w:rsidTr="008F1DFB">
        <w:trPr>
          <w:trHeight w:val="300"/>
          <w:jc w:val="center"/>
        </w:trPr>
        <w:tc>
          <w:tcPr>
            <w:tcW w:w="960" w:type="dxa"/>
            <w:tcBorders>
              <w:top w:val="single" w:sz="4" w:space="0" w:color="auto"/>
              <w:left w:val="nil"/>
              <w:bottom w:val="single" w:sz="4" w:space="0" w:color="auto"/>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Mínimo</w:t>
            </w:r>
          </w:p>
        </w:tc>
        <w:tc>
          <w:tcPr>
            <w:tcW w:w="960" w:type="dxa"/>
            <w:tcBorders>
              <w:top w:val="single" w:sz="4" w:space="0" w:color="auto"/>
              <w:left w:val="nil"/>
              <w:bottom w:val="single" w:sz="4" w:space="0" w:color="auto"/>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Media</w:t>
            </w:r>
          </w:p>
        </w:tc>
        <w:tc>
          <w:tcPr>
            <w:tcW w:w="2049" w:type="dxa"/>
            <w:tcBorders>
              <w:top w:val="single" w:sz="4" w:space="0" w:color="auto"/>
              <w:left w:val="nil"/>
              <w:bottom w:val="single" w:sz="4" w:space="0" w:color="auto"/>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Desviación estándar</w:t>
            </w:r>
          </w:p>
        </w:tc>
        <w:tc>
          <w:tcPr>
            <w:tcW w:w="960" w:type="dxa"/>
            <w:tcBorders>
              <w:top w:val="single" w:sz="4" w:space="0" w:color="auto"/>
              <w:left w:val="nil"/>
              <w:bottom w:val="single" w:sz="4" w:space="0" w:color="auto"/>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Máximo</w:t>
            </w:r>
          </w:p>
        </w:tc>
      </w:tr>
      <w:tr w:rsidR="008F1DFB" w:rsidRPr="008F1DFB" w:rsidTr="008F1DFB">
        <w:trPr>
          <w:trHeight w:val="300"/>
          <w:jc w:val="center"/>
        </w:trPr>
        <w:tc>
          <w:tcPr>
            <w:tcW w:w="960" w:type="dxa"/>
            <w:tcBorders>
              <w:top w:val="single" w:sz="4" w:space="0" w:color="auto"/>
              <w:left w:val="nil"/>
              <w:bottom w:val="single" w:sz="4" w:space="0" w:color="auto"/>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14.53</w:t>
            </w:r>
          </w:p>
        </w:tc>
        <w:tc>
          <w:tcPr>
            <w:tcW w:w="960" w:type="dxa"/>
            <w:tcBorders>
              <w:top w:val="single" w:sz="4" w:space="0" w:color="auto"/>
              <w:left w:val="nil"/>
              <w:bottom w:val="single" w:sz="4" w:space="0" w:color="auto"/>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23.38</w:t>
            </w:r>
          </w:p>
        </w:tc>
        <w:tc>
          <w:tcPr>
            <w:tcW w:w="2049" w:type="dxa"/>
            <w:tcBorders>
              <w:top w:val="single" w:sz="4" w:space="0" w:color="auto"/>
              <w:left w:val="nil"/>
              <w:bottom w:val="single" w:sz="4" w:space="0" w:color="auto"/>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6.71</w:t>
            </w:r>
          </w:p>
        </w:tc>
        <w:tc>
          <w:tcPr>
            <w:tcW w:w="960" w:type="dxa"/>
            <w:tcBorders>
              <w:top w:val="single" w:sz="4" w:space="0" w:color="auto"/>
              <w:left w:val="nil"/>
              <w:bottom w:val="single" w:sz="4" w:space="0" w:color="auto"/>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45.71</w:t>
            </w:r>
          </w:p>
        </w:tc>
      </w:tr>
    </w:tbl>
    <w:p w:rsidR="008F1DFB" w:rsidRDefault="008F1DFB" w:rsidP="00C12142">
      <w:pPr>
        <w:jc w:val="center"/>
      </w:pPr>
    </w:p>
    <w:p w:rsidR="0015317C" w:rsidRPr="0015317C" w:rsidRDefault="0015317C" w:rsidP="0091468C">
      <w:pPr>
        <w:jc w:val="both"/>
      </w:pPr>
      <w:r w:rsidRPr="0055471D">
        <w:rPr>
          <w:b/>
        </w:rPr>
        <w:t>Distribución de la edad según el género</w:t>
      </w:r>
      <w:r>
        <w:t>. Conclusión rápida: similaridad en las edades de la población participante en el estudio</w:t>
      </w:r>
      <w:r w:rsidR="0091468C">
        <w:t>, aunque las mujeres exhiben una edad ligeramente mayor a la de los hombres</w:t>
      </w:r>
      <w:r>
        <w:t>. Ver tabla con estadísticas descriptivas.</w:t>
      </w:r>
    </w:p>
    <w:p w:rsidR="0015317C" w:rsidRDefault="0015317C" w:rsidP="0015317C">
      <w:pPr>
        <w:jc w:val="center"/>
      </w:pPr>
      <w:r>
        <w:rPr>
          <w:noProof/>
          <w:lang w:eastAsia="es-CO"/>
        </w:rPr>
        <w:lastRenderedPageBreak/>
        <w:drawing>
          <wp:inline distT="0" distB="0" distL="0" distR="0" wp14:anchorId="5B0E3B36" wp14:editId="1AACE95C">
            <wp:extent cx="3663789"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63789" cy="3657600"/>
                    </a:xfrm>
                    <a:prstGeom prst="rect">
                      <a:avLst/>
                    </a:prstGeom>
                  </pic:spPr>
                </pic:pic>
              </a:graphicData>
            </a:graphic>
          </wp:inline>
        </w:drawing>
      </w:r>
    </w:p>
    <w:tbl>
      <w:tblPr>
        <w:tblW w:w="5990" w:type="dxa"/>
        <w:jc w:val="center"/>
        <w:tblCellMar>
          <w:left w:w="70" w:type="dxa"/>
          <w:right w:w="70" w:type="dxa"/>
        </w:tblCellMar>
        <w:tblLook w:val="04A0" w:firstRow="1" w:lastRow="0" w:firstColumn="1" w:lastColumn="0" w:noHBand="0" w:noVBand="1"/>
      </w:tblPr>
      <w:tblGrid>
        <w:gridCol w:w="1061"/>
        <w:gridCol w:w="960"/>
        <w:gridCol w:w="960"/>
        <w:gridCol w:w="2049"/>
        <w:gridCol w:w="960"/>
      </w:tblGrid>
      <w:tr w:rsidR="008F1DFB" w:rsidRPr="008F1DFB" w:rsidTr="008F1DFB">
        <w:trPr>
          <w:trHeight w:val="300"/>
          <w:jc w:val="center"/>
        </w:trPr>
        <w:tc>
          <w:tcPr>
            <w:tcW w:w="1061" w:type="dxa"/>
            <w:tcBorders>
              <w:top w:val="single" w:sz="4" w:space="0" w:color="auto"/>
              <w:left w:val="nil"/>
              <w:bottom w:val="single" w:sz="4" w:space="0" w:color="auto"/>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Género</w:t>
            </w:r>
          </w:p>
        </w:tc>
        <w:tc>
          <w:tcPr>
            <w:tcW w:w="960" w:type="dxa"/>
            <w:tcBorders>
              <w:top w:val="single" w:sz="4" w:space="0" w:color="auto"/>
              <w:left w:val="nil"/>
              <w:bottom w:val="single" w:sz="4" w:space="0" w:color="auto"/>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Mínimo</w:t>
            </w:r>
          </w:p>
        </w:tc>
        <w:tc>
          <w:tcPr>
            <w:tcW w:w="960" w:type="dxa"/>
            <w:tcBorders>
              <w:top w:val="single" w:sz="4" w:space="0" w:color="auto"/>
              <w:left w:val="nil"/>
              <w:bottom w:val="single" w:sz="4" w:space="0" w:color="auto"/>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Media</w:t>
            </w:r>
          </w:p>
        </w:tc>
        <w:tc>
          <w:tcPr>
            <w:tcW w:w="2049" w:type="dxa"/>
            <w:tcBorders>
              <w:top w:val="single" w:sz="4" w:space="0" w:color="auto"/>
              <w:left w:val="nil"/>
              <w:bottom w:val="single" w:sz="4" w:space="0" w:color="auto"/>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Desviación estándar</w:t>
            </w:r>
          </w:p>
        </w:tc>
        <w:tc>
          <w:tcPr>
            <w:tcW w:w="960" w:type="dxa"/>
            <w:tcBorders>
              <w:top w:val="single" w:sz="4" w:space="0" w:color="auto"/>
              <w:left w:val="nil"/>
              <w:bottom w:val="single" w:sz="4" w:space="0" w:color="auto"/>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Máximo</w:t>
            </w:r>
          </w:p>
        </w:tc>
      </w:tr>
      <w:tr w:rsidR="008F1DFB" w:rsidRPr="008F1DFB" w:rsidTr="008F1DFB">
        <w:trPr>
          <w:trHeight w:val="300"/>
          <w:jc w:val="center"/>
        </w:trPr>
        <w:tc>
          <w:tcPr>
            <w:tcW w:w="1061" w:type="dxa"/>
            <w:tcBorders>
              <w:top w:val="single" w:sz="4" w:space="0" w:color="auto"/>
              <w:left w:val="nil"/>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Masculino</w:t>
            </w:r>
          </w:p>
        </w:tc>
        <w:tc>
          <w:tcPr>
            <w:tcW w:w="960" w:type="dxa"/>
            <w:tcBorders>
              <w:top w:val="single" w:sz="4" w:space="0" w:color="auto"/>
              <w:left w:val="nil"/>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14.53</w:t>
            </w:r>
          </w:p>
        </w:tc>
        <w:tc>
          <w:tcPr>
            <w:tcW w:w="960" w:type="dxa"/>
            <w:tcBorders>
              <w:top w:val="single" w:sz="4" w:space="0" w:color="auto"/>
              <w:left w:val="nil"/>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22.25</w:t>
            </w:r>
          </w:p>
        </w:tc>
        <w:tc>
          <w:tcPr>
            <w:tcW w:w="2049" w:type="dxa"/>
            <w:tcBorders>
              <w:top w:val="single" w:sz="4" w:space="0" w:color="auto"/>
              <w:left w:val="nil"/>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5.46</w:t>
            </w:r>
          </w:p>
        </w:tc>
        <w:tc>
          <w:tcPr>
            <w:tcW w:w="960" w:type="dxa"/>
            <w:tcBorders>
              <w:top w:val="single" w:sz="4" w:space="0" w:color="auto"/>
              <w:left w:val="nil"/>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45.45</w:t>
            </w:r>
          </w:p>
        </w:tc>
      </w:tr>
      <w:tr w:rsidR="008F1DFB" w:rsidRPr="008F1DFB" w:rsidTr="008F1DFB">
        <w:trPr>
          <w:trHeight w:val="300"/>
          <w:jc w:val="center"/>
        </w:trPr>
        <w:tc>
          <w:tcPr>
            <w:tcW w:w="1061" w:type="dxa"/>
            <w:tcBorders>
              <w:top w:val="nil"/>
              <w:left w:val="nil"/>
              <w:bottom w:val="single" w:sz="4" w:space="0" w:color="auto"/>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Femenino</w:t>
            </w:r>
          </w:p>
        </w:tc>
        <w:tc>
          <w:tcPr>
            <w:tcW w:w="960" w:type="dxa"/>
            <w:tcBorders>
              <w:top w:val="nil"/>
              <w:left w:val="nil"/>
              <w:bottom w:val="single" w:sz="4" w:space="0" w:color="auto"/>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15.08</w:t>
            </w:r>
          </w:p>
        </w:tc>
        <w:tc>
          <w:tcPr>
            <w:tcW w:w="960" w:type="dxa"/>
            <w:tcBorders>
              <w:top w:val="nil"/>
              <w:left w:val="nil"/>
              <w:bottom w:val="single" w:sz="4" w:space="0" w:color="auto"/>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25.25</w:t>
            </w:r>
          </w:p>
        </w:tc>
        <w:tc>
          <w:tcPr>
            <w:tcW w:w="2049" w:type="dxa"/>
            <w:tcBorders>
              <w:top w:val="nil"/>
              <w:left w:val="nil"/>
              <w:bottom w:val="single" w:sz="4" w:space="0" w:color="auto"/>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8.14</w:t>
            </w:r>
          </w:p>
        </w:tc>
        <w:tc>
          <w:tcPr>
            <w:tcW w:w="960" w:type="dxa"/>
            <w:tcBorders>
              <w:top w:val="nil"/>
              <w:left w:val="nil"/>
              <w:bottom w:val="single" w:sz="4" w:space="0" w:color="auto"/>
              <w:right w:val="nil"/>
            </w:tcBorders>
            <w:shd w:val="clear" w:color="auto" w:fill="auto"/>
            <w:noWrap/>
            <w:vAlign w:val="bottom"/>
            <w:hideMark/>
          </w:tcPr>
          <w:p w:rsidR="008F1DFB" w:rsidRPr="008F1DFB" w:rsidRDefault="008F1DFB" w:rsidP="008F1DFB">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45.71</w:t>
            </w:r>
          </w:p>
        </w:tc>
      </w:tr>
    </w:tbl>
    <w:p w:rsidR="00B13B21" w:rsidRDefault="00B13B21" w:rsidP="008F1DFB">
      <w:pPr>
        <w:jc w:val="center"/>
      </w:pPr>
    </w:p>
    <w:p w:rsidR="00B13B21" w:rsidRDefault="00A41328" w:rsidP="00B13B21">
      <w:pPr>
        <w:jc w:val="both"/>
      </w:pPr>
      <w:r w:rsidRPr="0055471D">
        <w:rPr>
          <w:b/>
        </w:rPr>
        <w:t>Distribución</w:t>
      </w:r>
      <w:r w:rsidR="00B13B21" w:rsidRPr="0055471D">
        <w:rPr>
          <w:b/>
        </w:rPr>
        <w:t xml:space="preserve"> del nivel educativo </w:t>
      </w:r>
      <w:r w:rsidRPr="0055471D">
        <w:rPr>
          <w:b/>
        </w:rPr>
        <w:t>más</w:t>
      </w:r>
      <w:r w:rsidR="00B13B21" w:rsidRPr="0055471D">
        <w:rPr>
          <w:b/>
        </w:rPr>
        <w:t xml:space="preserve"> alto alcanzado en función </w:t>
      </w:r>
      <w:r w:rsidRPr="0055471D">
        <w:rPr>
          <w:b/>
        </w:rPr>
        <w:t>de la condición del encuestado</w:t>
      </w:r>
      <w:r>
        <w:t>.</w:t>
      </w:r>
      <w:r w:rsidR="001916E9">
        <w:t xml:space="preserve"> Conclusión rápida: grupo sin condición de discapacidad alcanza el nivel educativo más alto (profesional), mientras el grupo con discapacidad cognitiva oscila entre ningún estudio y primaria (se tiene un caso donde alcanzó el bachillerato) y finalmente el grupo con discapacidad sensorial o auditiva tiene una mayor frecuencia en los niveles de primaria y bachillerato.</w:t>
      </w:r>
    </w:p>
    <w:p w:rsidR="004C3B28" w:rsidRDefault="004C3B28" w:rsidP="001916E9">
      <w:pPr>
        <w:jc w:val="center"/>
      </w:pPr>
      <w:r>
        <w:rPr>
          <w:noProof/>
          <w:lang w:eastAsia="es-CO"/>
        </w:rPr>
        <w:lastRenderedPageBreak/>
        <w:drawing>
          <wp:inline distT="0" distB="0" distL="0" distR="0" wp14:anchorId="50064FEF" wp14:editId="57AC893A">
            <wp:extent cx="4661012" cy="36576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61012" cy="3657600"/>
                    </a:xfrm>
                    <a:prstGeom prst="rect">
                      <a:avLst/>
                    </a:prstGeom>
                  </pic:spPr>
                </pic:pic>
              </a:graphicData>
            </a:graphic>
          </wp:inline>
        </w:drawing>
      </w:r>
    </w:p>
    <w:tbl>
      <w:tblPr>
        <w:tblW w:w="5412" w:type="dxa"/>
        <w:jc w:val="center"/>
        <w:tblCellMar>
          <w:left w:w="70" w:type="dxa"/>
          <w:right w:w="70" w:type="dxa"/>
        </w:tblCellMar>
        <w:tblLook w:val="04A0" w:firstRow="1" w:lastRow="0" w:firstColumn="1" w:lastColumn="0" w:noHBand="0" w:noVBand="1"/>
      </w:tblPr>
      <w:tblGrid>
        <w:gridCol w:w="1400"/>
        <w:gridCol w:w="1312"/>
        <w:gridCol w:w="1738"/>
        <w:gridCol w:w="1292"/>
      </w:tblGrid>
      <w:tr w:rsidR="0055471D" w:rsidRPr="0055471D" w:rsidTr="0055471D">
        <w:trPr>
          <w:trHeight w:val="300"/>
          <w:jc w:val="center"/>
        </w:trPr>
        <w:tc>
          <w:tcPr>
            <w:tcW w:w="1400" w:type="dxa"/>
            <w:tcBorders>
              <w:top w:val="single" w:sz="4" w:space="0" w:color="auto"/>
              <w:left w:val="nil"/>
              <w:bottom w:val="single" w:sz="4" w:space="0" w:color="auto"/>
              <w:right w:val="nil"/>
            </w:tcBorders>
            <w:shd w:val="clear" w:color="auto" w:fill="auto"/>
            <w:noWrap/>
            <w:vAlign w:val="bottom"/>
            <w:hideMark/>
          </w:tcPr>
          <w:p w:rsidR="0055471D" w:rsidRPr="0055471D" w:rsidRDefault="0055471D" w:rsidP="0055471D">
            <w:pPr>
              <w:spacing w:after="0" w:line="240" w:lineRule="auto"/>
              <w:jc w:val="center"/>
              <w:rPr>
                <w:rFonts w:ascii="Times New Roman" w:eastAsia="Times New Roman" w:hAnsi="Times New Roman" w:cs="Times New Roman"/>
                <w:sz w:val="24"/>
                <w:szCs w:val="24"/>
                <w:lang w:eastAsia="es-CO"/>
              </w:rPr>
            </w:pPr>
          </w:p>
        </w:tc>
        <w:tc>
          <w:tcPr>
            <w:tcW w:w="1202" w:type="dxa"/>
            <w:tcBorders>
              <w:top w:val="single" w:sz="4" w:space="0" w:color="auto"/>
              <w:left w:val="nil"/>
              <w:bottom w:val="single" w:sz="4" w:space="0" w:color="auto"/>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Discapacidad cognitiva</w:t>
            </w:r>
          </w:p>
        </w:tc>
        <w:tc>
          <w:tcPr>
            <w:tcW w:w="1628" w:type="dxa"/>
            <w:tcBorders>
              <w:top w:val="single" w:sz="4" w:space="0" w:color="auto"/>
              <w:left w:val="nil"/>
              <w:bottom w:val="single" w:sz="4" w:space="0" w:color="auto"/>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Discapacidad sensorial/auditiva</w:t>
            </w:r>
          </w:p>
        </w:tc>
        <w:tc>
          <w:tcPr>
            <w:tcW w:w="1182" w:type="dxa"/>
            <w:tcBorders>
              <w:top w:val="single" w:sz="4" w:space="0" w:color="auto"/>
              <w:left w:val="nil"/>
              <w:bottom w:val="single" w:sz="4" w:space="0" w:color="auto"/>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Sin discapacidad</w:t>
            </w:r>
          </w:p>
        </w:tc>
      </w:tr>
      <w:tr w:rsidR="0055471D" w:rsidRPr="0055471D" w:rsidTr="0055471D">
        <w:trPr>
          <w:trHeight w:val="300"/>
          <w:jc w:val="center"/>
        </w:trPr>
        <w:tc>
          <w:tcPr>
            <w:tcW w:w="1400" w:type="dxa"/>
            <w:tcBorders>
              <w:top w:val="single" w:sz="4" w:space="0" w:color="auto"/>
              <w:left w:val="nil"/>
              <w:bottom w:val="nil"/>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Ninguno</w:t>
            </w:r>
          </w:p>
        </w:tc>
        <w:tc>
          <w:tcPr>
            <w:tcW w:w="1202" w:type="dxa"/>
            <w:tcBorders>
              <w:top w:val="single" w:sz="4" w:space="0" w:color="auto"/>
              <w:left w:val="nil"/>
              <w:bottom w:val="nil"/>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11</w:t>
            </w:r>
          </w:p>
        </w:tc>
        <w:tc>
          <w:tcPr>
            <w:tcW w:w="1628" w:type="dxa"/>
            <w:tcBorders>
              <w:top w:val="single" w:sz="4" w:space="0" w:color="auto"/>
              <w:left w:val="nil"/>
              <w:bottom w:val="nil"/>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4</w:t>
            </w:r>
          </w:p>
        </w:tc>
        <w:tc>
          <w:tcPr>
            <w:tcW w:w="1182" w:type="dxa"/>
            <w:tcBorders>
              <w:top w:val="single" w:sz="4" w:space="0" w:color="auto"/>
              <w:left w:val="nil"/>
              <w:bottom w:val="nil"/>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0</w:t>
            </w:r>
          </w:p>
        </w:tc>
      </w:tr>
      <w:tr w:rsidR="0055471D" w:rsidRPr="0055471D" w:rsidTr="0055471D">
        <w:trPr>
          <w:trHeight w:val="300"/>
          <w:jc w:val="center"/>
        </w:trPr>
        <w:tc>
          <w:tcPr>
            <w:tcW w:w="1400" w:type="dxa"/>
            <w:tcBorders>
              <w:top w:val="nil"/>
              <w:left w:val="nil"/>
              <w:bottom w:val="nil"/>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Primaria</w:t>
            </w:r>
          </w:p>
        </w:tc>
        <w:tc>
          <w:tcPr>
            <w:tcW w:w="1202" w:type="dxa"/>
            <w:tcBorders>
              <w:top w:val="nil"/>
              <w:left w:val="nil"/>
              <w:bottom w:val="nil"/>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18</w:t>
            </w:r>
          </w:p>
        </w:tc>
        <w:tc>
          <w:tcPr>
            <w:tcW w:w="1628" w:type="dxa"/>
            <w:tcBorders>
              <w:top w:val="nil"/>
              <w:left w:val="nil"/>
              <w:bottom w:val="nil"/>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16</w:t>
            </w:r>
          </w:p>
        </w:tc>
        <w:tc>
          <w:tcPr>
            <w:tcW w:w="1182" w:type="dxa"/>
            <w:tcBorders>
              <w:top w:val="nil"/>
              <w:left w:val="nil"/>
              <w:bottom w:val="nil"/>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2</w:t>
            </w:r>
          </w:p>
        </w:tc>
      </w:tr>
      <w:tr w:rsidR="0055471D" w:rsidRPr="0055471D" w:rsidTr="0055471D">
        <w:trPr>
          <w:trHeight w:val="300"/>
          <w:jc w:val="center"/>
        </w:trPr>
        <w:tc>
          <w:tcPr>
            <w:tcW w:w="1400" w:type="dxa"/>
            <w:tcBorders>
              <w:top w:val="nil"/>
              <w:left w:val="nil"/>
              <w:bottom w:val="nil"/>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Bachillerato</w:t>
            </w:r>
          </w:p>
        </w:tc>
        <w:tc>
          <w:tcPr>
            <w:tcW w:w="1202" w:type="dxa"/>
            <w:tcBorders>
              <w:top w:val="nil"/>
              <w:left w:val="nil"/>
              <w:bottom w:val="nil"/>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1</w:t>
            </w:r>
          </w:p>
        </w:tc>
        <w:tc>
          <w:tcPr>
            <w:tcW w:w="1628" w:type="dxa"/>
            <w:tcBorders>
              <w:top w:val="nil"/>
              <w:left w:val="nil"/>
              <w:bottom w:val="nil"/>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10</w:t>
            </w:r>
          </w:p>
        </w:tc>
        <w:tc>
          <w:tcPr>
            <w:tcW w:w="1182" w:type="dxa"/>
            <w:tcBorders>
              <w:top w:val="nil"/>
              <w:left w:val="nil"/>
              <w:bottom w:val="nil"/>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11</w:t>
            </w:r>
          </w:p>
        </w:tc>
      </w:tr>
      <w:tr w:rsidR="0055471D" w:rsidRPr="0055471D" w:rsidTr="0055471D">
        <w:trPr>
          <w:trHeight w:val="300"/>
          <w:jc w:val="center"/>
        </w:trPr>
        <w:tc>
          <w:tcPr>
            <w:tcW w:w="1400" w:type="dxa"/>
            <w:tcBorders>
              <w:top w:val="nil"/>
              <w:left w:val="nil"/>
              <w:bottom w:val="nil"/>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Técnico</w:t>
            </w:r>
          </w:p>
        </w:tc>
        <w:tc>
          <w:tcPr>
            <w:tcW w:w="1202" w:type="dxa"/>
            <w:tcBorders>
              <w:top w:val="nil"/>
              <w:left w:val="nil"/>
              <w:bottom w:val="nil"/>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0</w:t>
            </w:r>
          </w:p>
        </w:tc>
        <w:tc>
          <w:tcPr>
            <w:tcW w:w="1628" w:type="dxa"/>
            <w:tcBorders>
              <w:top w:val="nil"/>
              <w:left w:val="nil"/>
              <w:bottom w:val="nil"/>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0</w:t>
            </w:r>
          </w:p>
        </w:tc>
        <w:tc>
          <w:tcPr>
            <w:tcW w:w="1182" w:type="dxa"/>
            <w:tcBorders>
              <w:top w:val="nil"/>
              <w:left w:val="nil"/>
              <w:bottom w:val="nil"/>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2</w:t>
            </w:r>
          </w:p>
        </w:tc>
      </w:tr>
      <w:tr w:rsidR="0055471D" w:rsidRPr="0055471D" w:rsidTr="0055471D">
        <w:trPr>
          <w:trHeight w:val="300"/>
          <w:jc w:val="center"/>
        </w:trPr>
        <w:tc>
          <w:tcPr>
            <w:tcW w:w="1400" w:type="dxa"/>
            <w:tcBorders>
              <w:top w:val="nil"/>
              <w:left w:val="nil"/>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Tecnología</w:t>
            </w:r>
          </w:p>
        </w:tc>
        <w:tc>
          <w:tcPr>
            <w:tcW w:w="1202" w:type="dxa"/>
            <w:tcBorders>
              <w:top w:val="nil"/>
              <w:left w:val="nil"/>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0</w:t>
            </w:r>
          </w:p>
        </w:tc>
        <w:tc>
          <w:tcPr>
            <w:tcW w:w="1628" w:type="dxa"/>
            <w:tcBorders>
              <w:top w:val="nil"/>
              <w:left w:val="nil"/>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0</w:t>
            </w:r>
          </w:p>
        </w:tc>
        <w:tc>
          <w:tcPr>
            <w:tcW w:w="1182" w:type="dxa"/>
            <w:tcBorders>
              <w:top w:val="nil"/>
              <w:left w:val="nil"/>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0</w:t>
            </w:r>
          </w:p>
        </w:tc>
      </w:tr>
      <w:tr w:rsidR="0055471D" w:rsidRPr="0055471D" w:rsidTr="0055471D">
        <w:trPr>
          <w:trHeight w:val="300"/>
          <w:jc w:val="center"/>
        </w:trPr>
        <w:tc>
          <w:tcPr>
            <w:tcW w:w="1400" w:type="dxa"/>
            <w:tcBorders>
              <w:top w:val="nil"/>
              <w:left w:val="nil"/>
              <w:bottom w:val="single" w:sz="4" w:space="0" w:color="auto"/>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Profesional</w:t>
            </w:r>
          </w:p>
        </w:tc>
        <w:tc>
          <w:tcPr>
            <w:tcW w:w="1202" w:type="dxa"/>
            <w:tcBorders>
              <w:top w:val="nil"/>
              <w:left w:val="nil"/>
              <w:bottom w:val="single" w:sz="4" w:space="0" w:color="auto"/>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0</w:t>
            </w:r>
          </w:p>
        </w:tc>
        <w:tc>
          <w:tcPr>
            <w:tcW w:w="1628" w:type="dxa"/>
            <w:tcBorders>
              <w:top w:val="nil"/>
              <w:left w:val="nil"/>
              <w:bottom w:val="single" w:sz="4" w:space="0" w:color="auto"/>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0</w:t>
            </w:r>
          </w:p>
        </w:tc>
        <w:tc>
          <w:tcPr>
            <w:tcW w:w="1182" w:type="dxa"/>
            <w:tcBorders>
              <w:top w:val="nil"/>
              <w:left w:val="nil"/>
              <w:bottom w:val="single" w:sz="4" w:space="0" w:color="auto"/>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15</w:t>
            </w:r>
          </w:p>
        </w:tc>
      </w:tr>
    </w:tbl>
    <w:p w:rsidR="00B13B21" w:rsidRDefault="00B13B21" w:rsidP="00B13B21">
      <w:pPr>
        <w:jc w:val="both"/>
      </w:pPr>
    </w:p>
    <w:p w:rsidR="00C12142" w:rsidRDefault="00C12142" w:rsidP="00B13B21">
      <w:pPr>
        <w:jc w:val="both"/>
      </w:pPr>
      <w:r w:rsidRPr="0055471D">
        <w:rPr>
          <w:b/>
        </w:rPr>
        <w:t>Estado civil</w:t>
      </w:r>
      <w:r>
        <w:t>. Conclusión rápida: el 96% de las personas nunca ha estado casada</w:t>
      </w:r>
    </w:p>
    <w:p w:rsidR="00C12142" w:rsidRDefault="00C12142" w:rsidP="00C12142">
      <w:pPr>
        <w:jc w:val="center"/>
      </w:pPr>
      <w:r>
        <w:rPr>
          <w:noProof/>
          <w:lang w:eastAsia="es-CO"/>
        </w:rPr>
        <w:lastRenderedPageBreak/>
        <w:drawing>
          <wp:inline distT="0" distB="0" distL="0" distR="0" wp14:anchorId="5C6908F0" wp14:editId="2986B9BB">
            <wp:extent cx="4461933"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61933" cy="3657600"/>
                    </a:xfrm>
                    <a:prstGeom prst="rect">
                      <a:avLst/>
                    </a:prstGeom>
                  </pic:spPr>
                </pic:pic>
              </a:graphicData>
            </a:graphic>
          </wp:inline>
        </w:drawing>
      </w:r>
    </w:p>
    <w:tbl>
      <w:tblPr>
        <w:tblW w:w="4485" w:type="dxa"/>
        <w:jc w:val="center"/>
        <w:tblCellMar>
          <w:left w:w="70" w:type="dxa"/>
          <w:right w:w="70" w:type="dxa"/>
        </w:tblCellMar>
        <w:tblLook w:val="04A0" w:firstRow="1" w:lastRow="0" w:firstColumn="1" w:lastColumn="0" w:noHBand="0" w:noVBand="1"/>
      </w:tblPr>
      <w:tblGrid>
        <w:gridCol w:w="2419"/>
        <w:gridCol w:w="960"/>
        <w:gridCol w:w="1106"/>
      </w:tblGrid>
      <w:tr w:rsidR="0055471D" w:rsidRPr="0055471D" w:rsidTr="0055471D">
        <w:trPr>
          <w:trHeight w:val="300"/>
          <w:jc w:val="center"/>
        </w:trPr>
        <w:tc>
          <w:tcPr>
            <w:tcW w:w="2419" w:type="dxa"/>
            <w:tcBorders>
              <w:top w:val="single" w:sz="4" w:space="0" w:color="auto"/>
              <w:left w:val="nil"/>
              <w:bottom w:val="single" w:sz="4" w:space="0" w:color="auto"/>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Estado civil</w:t>
            </w:r>
          </w:p>
        </w:tc>
        <w:tc>
          <w:tcPr>
            <w:tcW w:w="960" w:type="dxa"/>
            <w:tcBorders>
              <w:top w:val="single" w:sz="4" w:space="0" w:color="auto"/>
              <w:left w:val="nil"/>
              <w:bottom w:val="single" w:sz="4" w:space="0" w:color="auto"/>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Conteo</w:t>
            </w:r>
          </w:p>
        </w:tc>
        <w:tc>
          <w:tcPr>
            <w:tcW w:w="1106" w:type="dxa"/>
            <w:tcBorders>
              <w:top w:val="single" w:sz="4" w:space="0" w:color="auto"/>
              <w:left w:val="nil"/>
              <w:bottom w:val="single" w:sz="4" w:space="0" w:color="auto"/>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Porcentaje</w:t>
            </w:r>
          </w:p>
        </w:tc>
      </w:tr>
      <w:tr w:rsidR="0055471D" w:rsidRPr="0055471D" w:rsidTr="0055471D">
        <w:trPr>
          <w:trHeight w:val="300"/>
          <w:jc w:val="center"/>
        </w:trPr>
        <w:tc>
          <w:tcPr>
            <w:tcW w:w="2419" w:type="dxa"/>
            <w:tcBorders>
              <w:top w:val="single" w:sz="4" w:space="0" w:color="auto"/>
              <w:left w:val="nil"/>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Nunca ha estado casado</w:t>
            </w:r>
          </w:p>
        </w:tc>
        <w:tc>
          <w:tcPr>
            <w:tcW w:w="960" w:type="dxa"/>
            <w:tcBorders>
              <w:top w:val="single" w:sz="4" w:space="0" w:color="auto"/>
              <w:left w:val="nil"/>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86</w:t>
            </w:r>
          </w:p>
        </w:tc>
        <w:tc>
          <w:tcPr>
            <w:tcW w:w="1106" w:type="dxa"/>
            <w:tcBorders>
              <w:top w:val="single" w:sz="4" w:space="0" w:color="auto"/>
              <w:left w:val="nil"/>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96%</w:t>
            </w:r>
          </w:p>
        </w:tc>
      </w:tr>
      <w:tr w:rsidR="0055471D" w:rsidRPr="0055471D" w:rsidTr="0055471D">
        <w:trPr>
          <w:trHeight w:val="300"/>
          <w:jc w:val="center"/>
        </w:trPr>
        <w:tc>
          <w:tcPr>
            <w:tcW w:w="2419" w:type="dxa"/>
            <w:tcBorders>
              <w:top w:val="nil"/>
              <w:left w:val="nil"/>
              <w:bottom w:val="single" w:sz="4" w:space="0" w:color="auto"/>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Viviendo en pareja</w:t>
            </w:r>
          </w:p>
        </w:tc>
        <w:tc>
          <w:tcPr>
            <w:tcW w:w="960" w:type="dxa"/>
            <w:tcBorders>
              <w:top w:val="nil"/>
              <w:left w:val="nil"/>
              <w:bottom w:val="single" w:sz="4" w:space="0" w:color="auto"/>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4</w:t>
            </w:r>
          </w:p>
        </w:tc>
        <w:tc>
          <w:tcPr>
            <w:tcW w:w="1106" w:type="dxa"/>
            <w:tcBorders>
              <w:top w:val="nil"/>
              <w:left w:val="nil"/>
              <w:bottom w:val="single" w:sz="4" w:space="0" w:color="auto"/>
              <w:right w:val="nil"/>
            </w:tcBorders>
            <w:shd w:val="clear" w:color="auto" w:fill="auto"/>
            <w:noWrap/>
            <w:vAlign w:val="bottom"/>
            <w:hideMark/>
          </w:tcPr>
          <w:p w:rsidR="0055471D" w:rsidRPr="0055471D" w:rsidRDefault="0055471D" w:rsidP="0055471D">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4%</w:t>
            </w:r>
          </w:p>
        </w:tc>
      </w:tr>
    </w:tbl>
    <w:p w:rsidR="0055471D" w:rsidRDefault="0055471D" w:rsidP="00C12142">
      <w:pPr>
        <w:jc w:val="center"/>
      </w:pPr>
    </w:p>
    <w:p w:rsidR="00015D55" w:rsidRDefault="00807233" w:rsidP="00015D55">
      <w:pPr>
        <w:jc w:val="both"/>
      </w:pPr>
      <w:r>
        <w:t xml:space="preserve">Distribución de conteos por componente de </w:t>
      </w:r>
      <w:r w:rsidR="00471595">
        <w:t>entorno. Conclusión rápida:</w:t>
      </w:r>
    </w:p>
    <w:p w:rsidR="00471595" w:rsidRDefault="00471595" w:rsidP="00015D55">
      <w:pPr>
        <w:jc w:val="both"/>
      </w:pPr>
      <w:r>
        <w:t>En cuanto a factores ambientales los encuestados tienden a inclinarse por las categorías facilitadores ligeros a completos y de barrera ligera a la carencia de esta.</w:t>
      </w:r>
    </w:p>
    <w:p w:rsidR="0068346E" w:rsidRDefault="0068346E" w:rsidP="00732635">
      <w:pPr>
        <w:jc w:val="center"/>
      </w:pPr>
      <w:r>
        <w:rPr>
          <w:noProof/>
          <w:lang w:eastAsia="es-CO"/>
        </w:rPr>
        <w:drawing>
          <wp:inline distT="0" distB="0" distL="0" distR="0" wp14:anchorId="4F05C369" wp14:editId="58D780C6">
            <wp:extent cx="5943600" cy="13544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54455"/>
                    </a:xfrm>
                    <a:prstGeom prst="rect">
                      <a:avLst/>
                    </a:prstGeom>
                  </pic:spPr>
                </pic:pic>
              </a:graphicData>
            </a:graphic>
          </wp:inline>
        </w:drawing>
      </w:r>
    </w:p>
    <w:p w:rsidR="00471595" w:rsidRDefault="00471595" w:rsidP="00471595">
      <w:pPr>
        <w:jc w:val="both"/>
      </w:pPr>
      <w:r>
        <w:t>En los factores de apoyo y servicios los encuestados se inclinan fuertemente por las opciones de respuesta No y Si, ninguno</w:t>
      </w:r>
    </w:p>
    <w:p w:rsidR="00807233" w:rsidRDefault="00A307D7" w:rsidP="00732635">
      <w:pPr>
        <w:jc w:val="center"/>
      </w:pPr>
      <w:r>
        <w:rPr>
          <w:noProof/>
          <w:lang w:eastAsia="es-CO"/>
        </w:rPr>
        <w:lastRenderedPageBreak/>
        <w:drawing>
          <wp:inline distT="0" distB="0" distL="0" distR="0" wp14:anchorId="76DD214E" wp14:editId="731DAD6C">
            <wp:extent cx="5943600" cy="10045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004570"/>
                    </a:xfrm>
                    <a:prstGeom prst="rect">
                      <a:avLst/>
                    </a:prstGeom>
                  </pic:spPr>
                </pic:pic>
              </a:graphicData>
            </a:graphic>
          </wp:inline>
        </w:drawing>
      </w:r>
    </w:p>
    <w:p w:rsidR="00471595" w:rsidRDefault="00471595" w:rsidP="00471595">
      <w:pPr>
        <w:jc w:val="both"/>
      </w:pPr>
      <w:r>
        <w:t>En cuanto a la importancia de los factores de calidad de vida, los encuestados se inclinan por considerar muy importantes los componentes evaluados.</w:t>
      </w:r>
    </w:p>
    <w:p w:rsidR="00F9498D" w:rsidRDefault="00F9498D" w:rsidP="00732635">
      <w:pPr>
        <w:jc w:val="center"/>
      </w:pPr>
      <w:r>
        <w:rPr>
          <w:noProof/>
          <w:lang w:eastAsia="es-CO"/>
        </w:rPr>
        <w:drawing>
          <wp:inline distT="0" distB="0" distL="0" distR="0" wp14:anchorId="60F1FF1B" wp14:editId="3B717C77">
            <wp:extent cx="5943600" cy="9372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937260"/>
                    </a:xfrm>
                    <a:prstGeom prst="rect">
                      <a:avLst/>
                    </a:prstGeom>
                  </pic:spPr>
                </pic:pic>
              </a:graphicData>
            </a:graphic>
          </wp:inline>
        </w:drawing>
      </w:r>
    </w:p>
    <w:p w:rsidR="00471595" w:rsidRDefault="00471595" w:rsidP="00471595">
      <w:pPr>
        <w:jc w:val="both"/>
      </w:pPr>
      <w:r>
        <w:t>Por otro lado, en la satisfacción predominan las categorías neutro a satisfecho, pero se observan comportamiento diferenciales en algunas variables (revisar código de las variables).</w:t>
      </w:r>
      <w:bookmarkStart w:id="0" w:name="_GoBack"/>
      <w:bookmarkEnd w:id="0"/>
    </w:p>
    <w:p w:rsidR="00F9498D" w:rsidRDefault="007F6F90" w:rsidP="00732635">
      <w:pPr>
        <w:jc w:val="center"/>
      </w:pPr>
      <w:r>
        <w:rPr>
          <w:noProof/>
          <w:lang w:eastAsia="es-CO"/>
        </w:rPr>
        <w:drawing>
          <wp:inline distT="0" distB="0" distL="0" distR="0" wp14:anchorId="3DA19D17" wp14:editId="3DD41D94">
            <wp:extent cx="5943600" cy="9652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965200"/>
                    </a:xfrm>
                    <a:prstGeom prst="rect">
                      <a:avLst/>
                    </a:prstGeom>
                  </pic:spPr>
                </pic:pic>
              </a:graphicData>
            </a:graphic>
          </wp:inline>
        </w:drawing>
      </w:r>
    </w:p>
    <w:p w:rsidR="00807233" w:rsidRDefault="00807233" w:rsidP="00015D55">
      <w:pPr>
        <w:jc w:val="both"/>
      </w:pPr>
    </w:p>
    <w:p w:rsidR="003D3CAA" w:rsidRDefault="003D3CAA" w:rsidP="003D3CAA">
      <w:pPr>
        <w:jc w:val="both"/>
        <w:rPr>
          <w:b/>
          <w:sz w:val="28"/>
        </w:rPr>
      </w:pPr>
      <w:r w:rsidRPr="0055471D">
        <w:rPr>
          <w:b/>
          <w:sz w:val="28"/>
        </w:rPr>
        <w:t xml:space="preserve">Análisis </w:t>
      </w:r>
      <w:r>
        <w:rPr>
          <w:b/>
          <w:sz w:val="28"/>
        </w:rPr>
        <w:t>de correlación</w:t>
      </w:r>
    </w:p>
    <w:p w:rsidR="00B739E4" w:rsidRDefault="00B739E4" w:rsidP="003D3CAA">
      <w:pPr>
        <w:jc w:val="both"/>
      </w:pPr>
      <w:r>
        <w:t>Resultados del test Chi-cuadrado de independencia</w:t>
      </w:r>
      <w:r w:rsidR="006C4D3B">
        <w:t>. Conclusión rápida: Del total de variables existe algún tipo de asociación entre el 53% de todos los posibles pares de variables. Lo que indica una fuerte asociación entre ellas</w:t>
      </w:r>
      <w:r w:rsidR="001D2427">
        <w:t>, lo cual da pie para los siguientes análisis</w:t>
      </w:r>
      <w:r w:rsidR="006C4D3B">
        <w:t>.</w:t>
      </w:r>
      <w:r w:rsidR="001D2427">
        <w:t xml:space="preserve"> El color rojo del </w:t>
      </w:r>
      <w:proofErr w:type="spellStart"/>
      <w:r w:rsidR="001D2427">
        <w:t>heatmap</w:t>
      </w:r>
      <w:proofErr w:type="spellEnd"/>
      <w:r w:rsidR="001D2427">
        <w:t xml:space="preserve"> (mapa de calor) indica la existencia de una relación estadísticamente significativa entre el par de variables analizadas. Mientras el color azul indica la independencia entre dos variables.</w:t>
      </w:r>
    </w:p>
    <w:p w:rsidR="006C4D3B" w:rsidRDefault="006C4D3B" w:rsidP="006C4D3B">
      <w:pPr>
        <w:jc w:val="center"/>
      </w:pPr>
      <w:r>
        <w:rPr>
          <w:noProof/>
          <w:lang w:eastAsia="es-CO"/>
        </w:rPr>
        <w:lastRenderedPageBreak/>
        <w:drawing>
          <wp:inline distT="0" distB="0" distL="0" distR="0" wp14:anchorId="4B2F4E41" wp14:editId="115467CB">
            <wp:extent cx="5943600" cy="60312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031230"/>
                    </a:xfrm>
                    <a:prstGeom prst="rect">
                      <a:avLst/>
                    </a:prstGeom>
                  </pic:spPr>
                </pic:pic>
              </a:graphicData>
            </a:graphic>
          </wp:inline>
        </w:drawing>
      </w:r>
    </w:p>
    <w:p w:rsidR="006C4D3B" w:rsidRPr="00B739E4" w:rsidRDefault="006C4D3B" w:rsidP="003D3CAA">
      <w:pPr>
        <w:jc w:val="both"/>
      </w:pPr>
    </w:p>
    <w:sectPr w:rsidR="006C4D3B" w:rsidRPr="00B739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DB6304"/>
    <w:multiLevelType w:val="hybridMultilevel"/>
    <w:tmpl w:val="E0F83D4E"/>
    <w:lvl w:ilvl="0" w:tplc="C14E515E">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13359C2"/>
    <w:multiLevelType w:val="hybridMultilevel"/>
    <w:tmpl w:val="2012D7FE"/>
    <w:lvl w:ilvl="0" w:tplc="04090005">
      <w:start w:val="1"/>
      <w:numFmt w:val="bullet"/>
      <w:lvlText w:val=""/>
      <w:lvlJc w:val="left"/>
      <w:pPr>
        <w:ind w:left="1785" w:hanging="360"/>
      </w:pPr>
      <w:rPr>
        <w:rFonts w:ascii="Wingdings" w:hAnsi="Wingdings" w:hint="default"/>
      </w:rPr>
    </w:lvl>
    <w:lvl w:ilvl="1" w:tplc="240A0003" w:tentative="1">
      <w:start w:val="1"/>
      <w:numFmt w:val="bullet"/>
      <w:lvlText w:val="o"/>
      <w:lvlJc w:val="left"/>
      <w:pPr>
        <w:ind w:left="2505" w:hanging="360"/>
      </w:pPr>
      <w:rPr>
        <w:rFonts w:ascii="Courier New" w:hAnsi="Courier New" w:cs="Courier New" w:hint="default"/>
      </w:rPr>
    </w:lvl>
    <w:lvl w:ilvl="2" w:tplc="240A0005" w:tentative="1">
      <w:start w:val="1"/>
      <w:numFmt w:val="bullet"/>
      <w:lvlText w:val=""/>
      <w:lvlJc w:val="left"/>
      <w:pPr>
        <w:ind w:left="3225" w:hanging="360"/>
      </w:pPr>
      <w:rPr>
        <w:rFonts w:ascii="Wingdings" w:hAnsi="Wingdings" w:hint="default"/>
      </w:rPr>
    </w:lvl>
    <w:lvl w:ilvl="3" w:tplc="240A0001" w:tentative="1">
      <w:start w:val="1"/>
      <w:numFmt w:val="bullet"/>
      <w:lvlText w:val=""/>
      <w:lvlJc w:val="left"/>
      <w:pPr>
        <w:ind w:left="3945" w:hanging="360"/>
      </w:pPr>
      <w:rPr>
        <w:rFonts w:ascii="Symbol" w:hAnsi="Symbol" w:hint="default"/>
      </w:rPr>
    </w:lvl>
    <w:lvl w:ilvl="4" w:tplc="240A0003" w:tentative="1">
      <w:start w:val="1"/>
      <w:numFmt w:val="bullet"/>
      <w:lvlText w:val="o"/>
      <w:lvlJc w:val="left"/>
      <w:pPr>
        <w:ind w:left="4665" w:hanging="360"/>
      </w:pPr>
      <w:rPr>
        <w:rFonts w:ascii="Courier New" w:hAnsi="Courier New" w:cs="Courier New" w:hint="default"/>
      </w:rPr>
    </w:lvl>
    <w:lvl w:ilvl="5" w:tplc="240A0005" w:tentative="1">
      <w:start w:val="1"/>
      <w:numFmt w:val="bullet"/>
      <w:lvlText w:val=""/>
      <w:lvlJc w:val="left"/>
      <w:pPr>
        <w:ind w:left="5385" w:hanging="360"/>
      </w:pPr>
      <w:rPr>
        <w:rFonts w:ascii="Wingdings" w:hAnsi="Wingdings" w:hint="default"/>
      </w:rPr>
    </w:lvl>
    <w:lvl w:ilvl="6" w:tplc="240A0001" w:tentative="1">
      <w:start w:val="1"/>
      <w:numFmt w:val="bullet"/>
      <w:lvlText w:val=""/>
      <w:lvlJc w:val="left"/>
      <w:pPr>
        <w:ind w:left="6105" w:hanging="360"/>
      </w:pPr>
      <w:rPr>
        <w:rFonts w:ascii="Symbol" w:hAnsi="Symbol" w:hint="default"/>
      </w:rPr>
    </w:lvl>
    <w:lvl w:ilvl="7" w:tplc="240A0003" w:tentative="1">
      <w:start w:val="1"/>
      <w:numFmt w:val="bullet"/>
      <w:lvlText w:val="o"/>
      <w:lvlJc w:val="left"/>
      <w:pPr>
        <w:ind w:left="6825" w:hanging="360"/>
      </w:pPr>
      <w:rPr>
        <w:rFonts w:ascii="Courier New" w:hAnsi="Courier New" w:cs="Courier New" w:hint="default"/>
      </w:rPr>
    </w:lvl>
    <w:lvl w:ilvl="8" w:tplc="240A0005" w:tentative="1">
      <w:start w:val="1"/>
      <w:numFmt w:val="bullet"/>
      <w:lvlText w:val=""/>
      <w:lvlJc w:val="left"/>
      <w:pPr>
        <w:ind w:left="7545" w:hanging="360"/>
      </w:pPr>
      <w:rPr>
        <w:rFonts w:ascii="Wingdings" w:hAnsi="Wingdings" w:hint="default"/>
      </w:rPr>
    </w:lvl>
  </w:abstractNum>
  <w:abstractNum w:abstractNumId="2" w15:restartNumberingAfterBreak="0">
    <w:nsid w:val="69180E7B"/>
    <w:multiLevelType w:val="hybridMultilevel"/>
    <w:tmpl w:val="7AFCB0FE"/>
    <w:lvl w:ilvl="0" w:tplc="0409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0CB7DC1"/>
    <w:multiLevelType w:val="hybridMultilevel"/>
    <w:tmpl w:val="42BCAE6A"/>
    <w:lvl w:ilvl="0" w:tplc="0409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9E2"/>
    <w:rsid w:val="00015D55"/>
    <w:rsid w:val="0015317C"/>
    <w:rsid w:val="001916E9"/>
    <w:rsid w:val="001D2427"/>
    <w:rsid w:val="00226136"/>
    <w:rsid w:val="002B6184"/>
    <w:rsid w:val="002C45D2"/>
    <w:rsid w:val="00337F19"/>
    <w:rsid w:val="003A0C90"/>
    <w:rsid w:val="003A43AE"/>
    <w:rsid w:val="003D3CAA"/>
    <w:rsid w:val="004419E2"/>
    <w:rsid w:val="00471595"/>
    <w:rsid w:val="004C3B28"/>
    <w:rsid w:val="00552F0E"/>
    <w:rsid w:val="0055471D"/>
    <w:rsid w:val="00557B76"/>
    <w:rsid w:val="005A3B6D"/>
    <w:rsid w:val="005E38CF"/>
    <w:rsid w:val="00650D3D"/>
    <w:rsid w:val="0068346E"/>
    <w:rsid w:val="006C4D3B"/>
    <w:rsid w:val="00732635"/>
    <w:rsid w:val="007F6F90"/>
    <w:rsid w:val="007F7665"/>
    <w:rsid w:val="00807233"/>
    <w:rsid w:val="00827EDA"/>
    <w:rsid w:val="008356E0"/>
    <w:rsid w:val="008F1DFB"/>
    <w:rsid w:val="0091468C"/>
    <w:rsid w:val="00922786"/>
    <w:rsid w:val="00936D9E"/>
    <w:rsid w:val="009962F3"/>
    <w:rsid w:val="00A00E8F"/>
    <w:rsid w:val="00A307D7"/>
    <w:rsid w:val="00A41328"/>
    <w:rsid w:val="00A730A3"/>
    <w:rsid w:val="00AB4AE9"/>
    <w:rsid w:val="00B13B21"/>
    <w:rsid w:val="00B739E4"/>
    <w:rsid w:val="00B80E38"/>
    <w:rsid w:val="00BF737E"/>
    <w:rsid w:val="00C12142"/>
    <w:rsid w:val="00C37ADC"/>
    <w:rsid w:val="00C401AC"/>
    <w:rsid w:val="00C47435"/>
    <w:rsid w:val="00C81932"/>
    <w:rsid w:val="00CB76BD"/>
    <w:rsid w:val="00CD3E0F"/>
    <w:rsid w:val="00D94B97"/>
    <w:rsid w:val="00ED52BC"/>
    <w:rsid w:val="00F9498D"/>
    <w:rsid w:val="00FF55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4DDAB4-ED32-4E63-93B4-CA76E2B3C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0D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19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19E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50D3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261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7960878">
      <w:bodyDiv w:val="1"/>
      <w:marLeft w:val="0"/>
      <w:marRight w:val="0"/>
      <w:marTop w:val="0"/>
      <w:marBottom w:val="0"/>
      <w:divBdr>
        <w:top w:val="none" w:sz="0" w:space="0" w:color="auto"/>
        <w:left w:val="none" w:sz="0" w:space="0" w:color="auto"/>
        <w:bottom w:val="none" w:sz="0" w:space="0" w:color="auto"/>
        <w:right w:val="none" w:sz="0" w:space="0" w:color="auto"/>
      </w:divBdr>
    </w:div>
    <w:div w:id="481429611">
      <w:bodyDiv w:val="1"/>
      <w:marLeft w:val="0"/>
      <w:marRight w:val="0"/>
      <w:marTop w:val="0"/>
      <w:marBottom w:val="0"/>
      <w:divBdr>
        <w:top w:val="none" w:sz="0" w:space="0" w:color="auto"/>
        <w:left w:val="none" w:sz="0" w:space="0" w:color="auto"/>
        <w:bottom w:val="none" w:sz="0" w:space="0" w:color="auto"/>
        <w:right w:val="none" w:sz="0" w:space="0" w:color="auto"/>
      </w:divBdr>
    </w:div>
    <w:div w:id="966397618">
      <w:bodyDiv w:val="1"/>
      <w:marLeft w:val="0"/>
      <w:marRight w:val="0"/>
      <w:marTop w:val="0"/>
      <w:marBottom w:val="0"/>
      <w:divBdr>
        <w:top w:val="none" w:sz="0" w:space="0" w:color="auto"/>
        <w:left w:val="none" w:sz="0" w:space="0" w:color="auto"/>
        <w:bottom w:val="none" w:sz="0" w:space="0" w:color="auto"/>
        <w:right w:val="none" w:sz="0" w:space="0" w:color="auto"/>
      </w:divBdr>
    </w:div>
    <w:div w:id="1096556039">
      <w:bodyDiv w:val="1"/>
      <w:marLeft w:val="0"/>
      <w:marRight w:val="0"/>
      <w:marTop w:val="0"/>
      <w:marBottom w:val="0"/>
      <w:divBdr>
        <w:top w:val="none" w:sz="0" w:space="0" w:color="auto"/>
        <w:left w:val="none" w:sz="0" w:space="0" w:color="auto"/>
        <w:bottom w:val="none" w:sz="0" w:space="0" w:color="auto"/>
        <w:right w:val="none" w:sz="0" w:space="0" w:color="auto"/>
      </w:divBdr>
    </w:div>
    <w:div w:id="2045248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10</Pages>
  <Words>1255</Words>
  <Characters>6906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Achicanoy Estrella, Harold Armando (CIAT)</dc:creator>
  <cp:keywords/>
  <dc:description/>
  <cp:lastModifiedBy>Achicanoy Estrella, Harold Armando (CIAT)</cp:lastModifiedBy>
  <cp:revision>42</cp:revision>
  <dcterms:created xsi:type="dcterms:W3CDTF">2016-06-09T00:20:00Z</dcterms:created>
  <dcterms:modified xsi:type="dcterms:W3CDTF">2016-06-11T03:27:00Z</dcterms:modified>
</cp:coreProperties>
</file>