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9A9" w:rsidRPr="0015317C" w:rsidRDefault="000F29A9" w:rsidP="000F29A9">
      <w:pPr>
        <w:pStyle w:val="Title"/>
      </w:pPr>
      <w:r w:rsidRPr="0015317C">
        <w:t>Resultados</w:t>
      </w:r>
    </w:p>
    <w:p w:rsidR="000F29A9" w:rsidRPr="0015317C" w:rsidRDefault="000F29A9" w:rsidP="000F29A9"/>
    <w:p w:rsidR="000F29A9" w:rsidRPr="0055471D" w:rsidRDefault="000F29A9" w:rsidP="000F29A9">
      <w:pPr>
        <w:rPr>
          <w:sz w:val="28"/>
        </w:rPr>
      </w:pPr>
      <w:r w:rsidRPr="0055471D">
        <w:rPr>
          <w:b/>
          <w:sz w:val="28"/>
        </w:rPr>
        <w:t>Análisis descriptivo de datos</w:t>
      </w:r>
    </w:p>
    <w:p w:rsidR="000F29A9" w:rsidRDefault="000F29A9" w:rsidP="000F29A9">
      <w:pPr>
        <w:jc w:val="both"/>
      </w:pPr>
      <w:r w:rsidRPr="0055471D">
        <w:rPr>
          <w:b/>
        </w:rPr>
        <w:t>Distribución porcentual del género</w:t>
      </w:r>
      <w:r>
        <w:t>. Conclusión rápida: la mayor parte de la muestra (62%) está compuesta por hombres.</w:t>
      </w:r>
    </w:p>
    <w:p w:rsidR="000F29A9" w:rsidRDefault="000F29A9" w:rsidP="000F29A9">
      <w:pPr>
        <w:jc w:val="center"/>
      </w:pPr>
      <w:r>
        <w:rPr>
          <w:noProof/>
          <w:lang w:eastAsia="es-CO"/>
        </w:rPr>
        <w:drawing>
          <wp:inline distT="0" distB="0" distL="0" distR="0" wp14:anchorId="7B4289C6" wp14:editId="42AC6A2A">
            <wp:extent cx="325755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57550" cy="4371975"/>
                    </a:xfrm>
                    <a:prstGeom prst="rect">
                      <a:avLst/>
                    </a:prstGeom>
                  </pic:spPr>
                </pic:pic>
              </a:graphicData>
            </a:graphic>
          </wp:inline>
        </w:drawing>
      </w:r>
    </w:p>
    <w:tbl>
      <w:tblPr>
        <w:tblW w:w="3200" w:type="dxa"/>
        <w:jc w:val="center"/>
        <w:tblCellMar>
          <w:left w:w="70" w:type="dxa"/>
          <w:right w:w="70" w:type="dxa"/>
        </w:tblCellMar>
        <w:tblLook w:val="04A0" w:firstRow="1" w:lastRow="0" w:firstColumn="1" w:lastColumn="0" w:noHBand="0" w:noVBand="1"/>
      </w:tblPr>
      <w:tblGrid>
        <w:gridCol w:w="1061"/>
        <w:gridCol w:w="1180"/>
        <w:gridCol w:w="1106"/>
      </w:tblGrid>
      <w:tr w:rsidR="000F29A9" w:rsidRPr="008F1DFB" w:rsidTr="00057F4E">
        <w:trPr>
          <w:trHeight w:val="300"/>
          <w:jc w:val="center"/>
        </w:trPr>
        <w:tc>
          <w:tcPr>
            <w:tcW w:w="1060"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Sexo</w:t>
            </w:r>
          </w:p>
        </w:tc>
        <w:tc>
          <w:tcPr>
            <w:tcW w:w="1180"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Conteo</w:t>
            </w:r>
          </w:p>
        </w:tc>
        <w:tc>
          <w:tcPr>
            <w:tcW w:w="960"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Porcentaje</w:t>
            </w:r>
          </w:p>
        </w:tc>
      </w:tr>
      <w:tr w:rsidR="000F29A9" w:rsidRPr="008F1DFB" w:rsidTr="00057F4E">
        <w:trPr>
          <w:trHeight w:val="300"/>
          <w:jc w:val="center"/>
        </w:trPr>
        <w:tc>
          <w:tcPr>
            <w:tcW w:w="1060" w:type="dxa"/>
            <w:tcBorders>
              <w:top w:val="single" w:sz="4" w:space="0" w:color="auto"/>
              <w:left w:val="nil"/>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1180" w:type="dxa"/>
            <w:tcBorders>
              <w:top w:val="single" w:sz="4" w:space="0" w:color="auto"/>
              <w:left w:val="nil"/>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56</w:t>
            </w:r>
          </w:p>
        </w:tc>
        <w:tc>
          <w:tcPr>
            <w:tcW w:w="960" w:type="dxa"/>
            <w:tcBorders>
              <w:top w:val="single" w:sz="4" w:space="0" w:color="auto"/>
              <w:left w:val="nil"/>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62%</w:t>
            </w:r>
          </w:p>
        </w:tc>
      </w:tr>
      <w:tr w:rsidR="000F29A9" w:rsidRPr="008F1DFB" w:rsidTr="00057F4E">
        <w:trPr>
          <w:trHeight w:val="300"/>
          <w:jc w:val="center"/>
        </w:trPr>
        <w:tc>
          <w:tcPr>
            <w:tcW w:w="1060" w:type="dxa"/>
            <w:tcBorders>
              <w:top w:val="nil"/>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1180" w:type="dxa"/>
            <w:tcBorders>
              <w:top w:val="nil"/>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34</w:t>
            </w:r>
          </w:p>
        </w:tc>
        <w:tc>
          <w:tcPr>
            <w:tcW w:w="960" w:type="dxa"/>
            <w:tcBorders>
              <w:top w:val="nil"/>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38%</w:t>
            </w:r>
          </w:p>
        </w:tc>
      </w:tr>
    </w:tbl>
    <w:p w:rsidR="000F29A9" w:rsidRDefault="000F29A9" w:rsidP="000F29A9">
      <w:pPr>
        <w:jc w:val="center"/>
      </w:pPr>
    </w:p>
    <w:p w:rsidR="000F29A9" w:rsidRDefault="000F29A9" w:rsidP="000F29A9">
      <w:pPr>
        <w:jc w:val="both"/>
      </w:pPr>
      <w:r w:rsidRPr="0055471D">
        <w:rPr>
          <w:b/>
        </w:rPr>
        <w:t>Distribución de la edad</w:t>
      </w:r>
      <w:r>
        <w:t>. Conclusión rápida: en base a la tabla de estadísticas descriptivas la edad mínima es de 14 años mientras la máxima es de 45 años, por otro lado el promedio de edades oscila alrededor de los 23.4 años con una desviación estándar de 6.7 años.</w:t>
      </w:r>
    </w:p>
    <w:p w:rsidR="000F29A9" w:rsidRDefault="000F29A9" w:rsidP="000F29A9">
      <w:pPr>
        <w:jc w:val="center"/>
      </w:pPr>
      <w:r>
        <w:rPr>
          <w:noProof/>
          <w:lang w:eastAsia="es-CO"/>
        </w:rPr>
        <w:lastRenderedPageBreak/>
        <w:drawing>
          <wp:inline distT="0" distB="0" distL="0" distR="0" wp14:anchorId="6B71A333" wp14:editId="018EC27C">
            <wp:extent cx="3736644"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6644" cy="3657600"/>
                    </a:xfrm>
                    <a:prstGeom prst="rect">
                      <a:avLst/>
                    </a:prstGeom>
                  </pic:spPr>
                </pic:pic>
              </a:graphicData>
            </a:graphic>
          </wp:inline>
        </w:drawing>
      </w:r>
    </w:p>
    <w:tbl>
      <w:tblPr>
        <w:tblW w:w="4929" w:type="dxa"/>
        <w:jc w:val="center"/>
        <w:tblCellMar>
          <w:left w:w="70" w:type="dxa"/>
          <w:right w:w="70" w:type="dxa"/>
        </w:tblCellMar>
        <w:tblLook w:val="04A0" w:firstRow="1" w:lastRow="0" w:firstColumn="1" w:lastColumn="0" w:noHBand="0" w:noVBand="1"/>
      </w:tblPr>
      <w:tblGrid>
        <w:gridCol w:w="960"/>
        <w:gridCol w:w="960"/>
        <w:gridCol w:w="2049"/>
        <w:gridCol w:w="960"/>
      </w:tblGrid>
      <w:tr w:rsidR="000F29A9" w:rsidRPr="008F1DFB" w:rsidTr="00057F4E">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0F29A9" w:rsidRPr="008F1DFB" w:rsidTr="00057F4E">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23.38</w:t>
            </w:r>
          </w:p>
        </w:tc>
        <w:tc>
          <w:tcPr>
            <w:tcW w:w="2049"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6.71</w:t>
            </w:r>
          </w:p>
        </w:tc>
        <w:tc>
          <w:tcPr>
            <w:tcW w:w="960"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0F29A9" w:rsidRDefault="000F29A9" w:rsidP="000F29A9">
      <w:pPr>
        <w:jc w:val="center"/>
      </w:pPr>
    </w:p>
    <w:p w:rsidR="000F29A9" w:rsidRPr="0015317C" w:rsidRDefault="000F29A9" w:rsidP="000F29A9">
      <w:pPr>
        <w:jc w:val="both"/>
      </w:pPr>
      <w:r w:rsidRPr="0055471D">
        <w:rPr>
          <w:b/>
        </w:rPr>
        <w:t>Distribución de la edad según el género</w:t>
      </w:r>
      <w:r>
        <w:t xml:space="preserve">. Conclusión rápida: </w:t>
      </w:r>
      <w:proofErr w:type="spellStart"/>
      <w:r>
        <w:t>similaridad</w:t>
      </w:r>
      <w:proofErr w:type="spellEnd"/>
      <w:r>
        <w:t xml:space="preserve"> en las edades de la población participante en el estudio, aunque las mujeres exhiben una edad ligeramente mayor a la de los hombres. Ver tabla con estadísticas descriptivas.</w:t>
      </w:r>
    </w:p>
    <w:p w:rsidR="000F29A9" w:rsidRDefault="000F29A9" w:rsidP="000F29A9">
      <w:pPr>
        <w:jc w:val="center"/>
      </w:pPr>
      <w:r>
        <w:rPr>
          <w:noProof/>
          <w:lang w:eastAsia="es-CO"/>
        </w:rPr>
        <w:lastRenderedPageBreak/>
        <w:drawing>
          <wp:inline distT="0" distB="0" distL="0" distR="0" wp14:anchorId="5CC7B256" wp14:editId="74117C49">
            <wp:extent cx="3663789"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3789" cy="3657600"/>
                    </a:xfrm>
                    <a:prstGeom prst="rect">
                      <a:avLst/>
                    </a:prstGeom>
                  </pic:spPr>
                </pic:pic>
              </a:graphicData>
            </a:graphic>
          </wp:inline>
        </w:drawing>
      </w:r>
    </w:p>
    <w:tbl>
      <w:tblPr>
        <w:tblW w:w="5990" w:type="dxa"/>
        <w:jc w:val="center"/>
        <w:tblCellMar>
          <w:left w:w="70" w:type="dxa"/>
          <w:right w:w="70" w:type="dxa"/>
        </w:tblCellMar>
        <w:tblLook w:val="04A0" w:firstRow="1" w:lastRow="0" w:firstColumn="1" w:lastColumn="0" w:noHBand="0" w:noVBand="1"/>
      </w:tblPr>
      <w:tblGrid>
        <w:gridCol w:w="1061"/>
        <w:gridCol w:w="960"/>
        <w:gridCol w:w="960"/>
        <w:gridCol w:w="2049"/>
        <w:gridCol w:w="960"/>
      </w:tblGrid>
      <w:tr w:rsidR="000F29A9" w:rsidRPr="008F1DFB" w:rsidTr="00057F4E">
        <w:trPr>
          <w:trHeight w:val="300"/>
          <w:jc w:val="center"/>
        </w:trPr>
        <w:tc>
          <w:tcPr>
            <w:tcW w:w="1061"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Género</w:t>
            </w:r>
          </w:p>
        </w:tc>
        <w:tc>
          <w:tcPr>
            <w:tcW w:w="960"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0F29A9" w:rsidRPr="008F1DFB" w:rsidTr="00057F4E">
        <w:trPr>
          <w:trHeight w:val="300"/>
          <w:jc w:val="center"/>
        </w:trPr>
        <w:tc>
          <w:tcPr>
            <w:tcW w:w="1061" w:type="dxa"/>
            <w:tcBorders>
              <w:top w:val="single" w:sz="4" w:space="0" w:color="auto"/>
              <w:left w:val="nil"/>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960" w:type="dxa"/>
            <w:tcBorders>
              <w:top w:val="single" w:sz="4" w:space="0" w:color="auto"/>
              <w:left w:val="nil"/>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22.25</w:t>
            </w:r>
          </w:p>
        </w:tc>
        <w:tc>
          <w:tcPr>
            <w:tcW w:w="2049" w:type="dxa"/>
            <w:tcBorders>
              <w:top w:val="single" w:sz="4" w:space="0" w:color="auto"/>
              <w:left w:val="nil"/>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5.46</w:t>
            </w:r>
          </w:p>
        </w:tc>
        <w:tc>
          <w:tcPr>
            <w:tcW w:w="960" w:type="dxa"/>
            <w:tcBorders>
              <w:top w:val="single" w:sz="4" w:space="0" w:color="auto"/>
              <w:left w:val="nil"/>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45.45</w:t>
            </w:r>
          </w:p>
        </w:tc>
      </w:tr>
      <w:tr w:rsidR="000F29A9" w:rsidRPr="008F1DFB" w:rsidTr="00057F4E">
        <w:trPr>
          <w:trHeight w:val="300"/>
          <w:jc w:val="center"/>
        </w:trPr>
        <w:tc>
          <w:tcPr>
            <w:tcW w:w="1061" w:type="dxa"/>
            <w:tcBorders>
              <w:top w:val="nil"/>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960" w:type="dxa"/>
            <w:tcBorders>
              <w:top w:val="nil"/>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15.08</w:t>
            </w:r>
          </w:p>
        </w:tc>
        <w:tc>
          <w:tcPr>
            <w:tcW w:w="960" w:type="dxa"/>
            <w:tcBorders>
              <w:top w:val="nil"/>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25.25</w:t>
            </w:r>
          </w:p>
        </w:tc>
        <w:tc>
          <w:tcPr>
            <w:tcW w:w="2049" w:type="dxa"/>
            <w:tcBorders>
              <w:top w:val="nil"/>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8.14</w:t>
            </w:r>
          </w:p>
        </w:tc>
        <w:tc>
          <w:tcPr>
            <w:tcW w:w="960" w:type="dxa"/>
            <w:tcBorders>
              <w:top w:val="nil"/>
              <w:left w:val="nil"/>
              <w:bottom w:val="single" w:sz="4" w:space="0" w:color="auto"/>
              <w:right w:val="nil"/>
            </w:tcBorders>
            <w:shd w:val="clear" w:color="auto" w:fill="auto"/>
            <w:noWrap/>
            <w:vAlign w:val="bottom"/>
            <w:hideMark/>
          </w:tcPr>
          <w:p w:rsidR="000F29A9" w:rsidRPr="008F1DFB" w:rsidRDefault="000F29A9" w:rsidP="00057F4E">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0F29A9" w:rsidRDefault="000F29A9" w:rsidP="000F29A9">
      <w:pPr>
        <w:jc w:val="center"/>
      </w:pPr>
    </w:p>
    <w:p w:rsidR="000F29A9" w:rsidRDefault="000F29A9" w:rsidP="000F29A9">
      <w:pPr>
        <w:jc w:val="both"/>
      </w:pPr>
      <w:r w:rsidRPr="0055471D">
        <w:rPr>
          <w:b/>
        </w:rPr>
        <w:t>Distribución del nivel educativo más alto alcanzado en función de la condición del encuestado</w:t>
      </w:r>
      <w:r>
        <w:t>. Conclusión rápida: grupo sin condición de discapacidad alcanza el nivel educativo más alto (profesional), mientras el grupo con discapacidad cognitiva oscila entre ningún estudio y primaria (se tiene un caso donde alcanzó el bachillerato) y finalmente el grupo con discapacidad sensorial o auditiva tiene una mayor frecuencia en los niveles de primaria y bachillerato.</w:t>
      </w:r>
    </w:p>
    <w:p w:rsidR="000F29A9" w:rsidRDefault="000F29A9" w:rsidP="000F29A9">
      <w:pPr>
        <w:jc w:val="center"/>
      </w:pPr>
      <w:r>
        <w:rPr>
          <w:noProof/>
          <w:lang w:eastAsia="es-CO"/>
        </w:rPr>
        <w:lastRenderedPageBreak/>
        <w:drawing>
          <wp:inline distT="0" distB="0" distL="0" distR="0" wp14:anchorId="5DD9E92A" wp14:editId="0BD2D8C9">
            <wp:extent cx="4661012" cy="3657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1012" cy="3657600"/>
                    </a:xfrm>
                    <a:prstGeom prst="rect">
                      <a:avLst/>
                    </a:prstGeom>
                  </pic:spPr>
                </pic:pic>
              </a:graphicData>
            </a:graphic>
          </wp:inline>
        </w:drawing>
      </w:r>
    </w:p>
    <w:tbl>
      <w:tblPr>
        <w:tblW w:w="5412" w:type="dxa"/>
        <w:jc w:val="center"/>
        <w:tblCellMar>
          <w:left w:w="70" w:type="dxa"/>
          <w:right w:w="70" w:type="dxa"/>
        </w:tblCellMar>
        <w:tblLook w:val="04A0" w:firstRow="1" w:lastRow="0" w:firstColumn="1" w:lastColumn="0" w:noHBand="0" w:noVBand="1"/>
      </w:tblPr>
      <w:tblGrid>
        <w:gridCol w:w="1400"/>
        <w:gridCol w:w="1312"/>
        <w:gridCol w:w="1738"/>
        <w:gridCol w:w="1292"/>
      </w:tblGrid>
      <w:tr w:rsidR="000F29A9" w:rsidRPr="0055471D" w:rsidTr="00057F4E">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Times New Roman" w:eastAsia="Times New Roman" w:hAnsi="Times New Roman" w:cs="Times New Roman"/>
                <w:sz w:val="24"/>
                <w:szCs w:val="24"/>
                <w:lang w:eastAsia="es-CO"/>
              </w:rPr>
            </w:pPr>
          </w:p>
        </w:tc>
        <w:tc>
          <w:tcPr>
            <w:tcW w:w="1202" w:type="dxa"/>
            <w:tcBorders>
              <w:top w:val="single" w:sz="4" w:space="0" w:color="auto"/>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cognitiva</w:t>
            </w:r>
          </w:p>
        </w:tc>
        <w:tc>
          <w:tcPr>
            <w:tcW w:w="1628" w:type="dxa"/>
            <w:tcBorders>
              <w:top w:val="single" w:sz="4" w:space="0" w:color="auto"/>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sensorial/auditiva</w:t>
            </w:r>
          </w:p>
        </w:tc>
        <w:tc>
          <w:tcPr>
            <w:tcW w:w="1182" w:type="dxa"/>
            <w:tcBorders>
              <w:top w:val="single" w:sz="4" w:space="0" w:color="auto"/>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Sin discapacidad</w:t>
            </w:r>
          </w:p>
        </w:tc>
      </w:tr>
      <w:tr w:rsidR="000F29A9" w:rsidRPr="0055471D" w:rsidTr="00057F4E">
        <w:trPr>
          <w:trHeight w:val="300"/>
          <w:jc w:val="center"/>
        </w:trPr>
        <w:tc>
          <w:tcPr>
            <w:tcW w:w="1400" w:type="dxa"/>
            <w:tcBorders>
              <w:top w:val="single" w:sz="4" w:space="0" w:color="auto"/>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Ninguno</w:t>
            </w:r>
          </w:p>
        </w:tc>
        <w:tc>
          <w:tcPr>
            <w:tcW w:w="1202" w:type="dxa"/>
            <w:tcBorders>
              <w:top w:val="single" w:sz="4" w:space="0" w:color="auto"/>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c>
          <w:tcPr>
            <w:tcW w:w="1628" w:type="dxa"/>
            <w:tcBorders>
              <w:top w:val="single" w:sz="4" w:space="0" w:color="auto"/>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82" w:type="dxa"/>
            <w:tcBorders>
              <w:top w:val="single" w:sz="4" w:space="0" w:color="auto"/>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0F29A9" w:rsidRPr="0055471D" w:rsidTr="00057F4E">
        <w:trPr>
          <w:trHeight w:val="300"/>
          <w:jc w:val="center"/>
        </w:trPr>
        <w:tc>
          <w:tcPr>
            <w:tcW w:w="1400" w:type="dxa"/>
            <w:tcBorders>
              <w:top w:val="nil"/>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Primaria</w:t>
            </w:r>
          </w:p>
        </w:tc>
        <w:tc>
          <w:tcPr>
            <w:tcW w:w="1202" w:type="dxa"/>
            <w:tcBorders>
              <w:top w:val="nil"/>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18</w:t>
            </w:r>
          </w:p>
        </w:tc>
        <w:tc>
          <w:tcPr>
            <w:tcW w:w="1628" w:type="dxa"/>
            <w:tcBorders>
              <w:top w:val="nil"/>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16</w:t>
            </w:r>
          </w:p>
        </w:tc>
        <w:tc>
          <w:tcPr>
            <w:tcW w:w="1182" w:type="dxa"/>
            <w:tcBorders>
              <w:top w:val="nil"/>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0F29A9" w:rsidRPr="0055471D" w:rsidTr="00057F4E">
        <w:trPr>
          <w:trHeight w:val="300"/>
          <w:jc w:val="center"/>
        </w:trPr>
        <w:tc>
          <w:tcPr>
            <w:tcW w:w="1400" w:type="dxa"/>
            <w:tcBorders>
              <w:top w:val="nil"/>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Bachillerato</w:t>
            </w:r>
          </w:p>
        </w:tc>
        <w:tc>
          <w:tcPr>
            <w:tcW w:w="1202" w:type="dxa"/>
            <w:tcBorders>
              <w:top w:val="nil"/>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w:t>
            </w:r>
          </w:p>
        </w:tc>
        <w:tc>
          <w:tcPr>
            <w:tcW w:w="1628" w:type="dxa"/>
            <w:tcBorders>
              <w:top w:val="nil"/>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10</w:t>
            </w:r>
          </w:p>
        </w:tc>
        <w:tc>
          <w:tcPr>
            <w:tcW w:w="1182" w:type="dxa"/>
            <w:tcBorders>
              <w:top w:val="nil"/>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r>
      <w:tr w:rsidR="000F29A9" w:rsidRPr="0055471D" w:rsidTr="00057F4E">
        <w:trPr>
          <w:trHeight w:val="300"/>
          <w:jc w:val="center"/>
        </w:trPr>
        <w:tc>
          <w:tcPr>
            <w:tcW w:w="1400" w:type="dxa"/>
            <w:tcBorders>
              <w:top w:val="nil"/>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Técnico</w:t>
            </w:r>
          </w:p>
        </w:tc>
        <w:tc>
          <w:tcPr>
            <w:tcW w:w="1202" w:type="dxa"/>
            <w:tcBorders>
              <w:top w:val="nil"/>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0F29A9" w:rsidRPr="0055471D" w:rsidTr="00057F4E">
        <w:trPr>
          <w:trHeight w:val="300"/>
          <w:jc w:val="center"/>
        </w:trPr>
        <w:tc>
          <w:tcPr>
            <w:tcW w:w="1400" w:type="dxa"/>
            <w:tcBorders>
              <w:top w:val="nil"/>
              <w:left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Tecnología</w:t>
            </w:r>
          </w:p>
        </w:tc>
        <w:tc>
          <w:tcPr>
            <w:tcW w:w="1202" w:type="dxa"/>
            <w:tcBorders>
              <w:top w:val="nil"/>
              <w:left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0F29A9" w:rsidRPr="0055471D" w:rsidTr="00057F4E">
        <w:trPr>
          <w:trHeight w:val="300"/>
          <w:jc w:val="center"/>
        </w:trPr>
        <w:tc>
          <w:tcPr>
            <w:tcW w:w="1400" w:type="dxa"/>
            <w:tcBorders>
              <w:top w:val="nil"/>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Profesional</w:t>
            </w:r>
          </w:p>
        </w:tc>
        <w:tc>
          <w:tcPr>
            <w:tcW w:w="1202" w:type="dxa"/>
            <w:tcBorders>
              <w:top w:val="nil"/>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15</w:t>
            </w:r>
          </w:p>
        </w:tc>
      </w:tr>
    </w:tbl>
    <w:p w:rsidR="000F29A9" w:rsidRDefault="000F29A9" w:rsidP="000F29A9">
      <w:pPr>
        <w:jc w:val="both"/>
      </w:pPr>
    </w:p>
    <w:p w:rsidR="000F29A9" w:rsidRDefault="000F29A9" w:rsidP="000F29A9">
      <w:pPr>
        <w:jc w:val="both"/>
      </w:pPr>
      <w:r w:rsidRPr="0055471D">
        <w:rPr>
          <w:b/>
        </w:rPr>
        <w:t>Estado civil</w:t>
      </w:r>
      <w:r>
        <w:t>. Conclusión rápida: el 96% de las personas nunca ha estado casada</w:t>
      </w:r>
    </w:p>
    <w:p w:rsidR="000F29A9" w:rsidRDefault="000F29A9" w:rsidP="000F29A9">
      <w:pPr>
        <w:jc w:val="center"/>
      </w:pPr>
      <w:r>
        <w:rPr>
          <w:noProof/>
          <w:lang w:eastAsia="es-CO"/>
        </w:rPr>
        <w:lastRenderedPageBreak/>
        <w:drawing>
          <wp:inline distT="0" distB="0" distL="0" distR="0" wp14:anchorId="32D35968" wp14:editId="7119C212">
            <wp:extent cx="4461933"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1933" cy="3657600"/>
                    </a:xfrm>
                    <a:prstGeom prst="rect">
                      <a:avLst/>
                    </a:prstGeom>
                  </pic:spPr>
                </pic:pic>
              </a:graphicData>
            </a:graphic>
          </wp:inline>
        </w:drawing>
      </w:r>
    </w:p>
    <w:tbl>
      <w:tblPr>
        <w:tblW w:w="4485" w:type="dxa"/>
        <w:jc w:val="center"/>
        <w:tblCellMar>
          <w:left w:w="70" w:type="dxa"/>
          <w:right w:w="70" w:type="dxa"/>
        </w:tblCellMar>
        <w:tblLook w:val="04A0" w:firstRow="1" w:lastRow="0" w:firstColumn="1" w:lastColumn="0" w:noHBand="0" w:noVBand="1"/>
      </w:tblPr>
      <w:tblGrid>
        <w:gridCol w:w="2419"/>
        <w:gridCol w:w="960"/>
        <w:gridCol w:w="1106"/>
      </w:tblGrid>
      <w:tr w:rsidR="000F29A9" w:rsidRPr="0055471D" w:rsidTr="00057F4E">
        <w:trPr>
          <w:trHeight w:val="300"/>
          <w:jc w:val="center"/>
        </w:trPr>
        <w:tc>
          <w:tcPr>
            <w:tcW w:w="2419" w:type="dxa"/>
            <w:tcBorders>
              <w:top w:val="single" w:sz="4" w:space="0" w:color="auto"/>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Estado civil</w:t>
            </w:r>
          </w:p>
        </w:tc>
        <w:tc>
          <w:tcPr>
            <w:tcW w:w="960" w:type="dxa"/>
            <w:tcBorders>
              <w:top w:val="single" w:sz="4" w:space="0" w:color="auto"/>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Conteo</w:t>
            </w:r>
          </w:p>
        </w:tc>
        <w:tc>
          <w:tcPr>
            <w:tcW w:w="1106" w:type="dxa"/>
            <w:tcBorders>
              <w:top w:val="single" w:sz="4" w:space="0" w:color="auto"/>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Porcentaje</w:t>
            </w:r>
          </w:p>
        </w:tc>
      </w:tr>
      <w:tr w:rsidR="000F29A9" w:rsidRPr="0055471D" w:rsidTr="00057F4E">
        <w:trPr>
          <w:trHeight w:val="300"/>
          <w:jc w:val="center"/>
        </w:trPr>
        <w:tc>
          <w:tcPr>
            <w:tcW w:w="2419" w:type="dxa"/>
            <w:tcBorders>
              <w:top w:val="single" w:sz="4" w:space="0" w:color="auto"/>
              <w:left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Nunca ha estado casado</w:t>
            </w:r>
          </w:p>
        </w:tc>
        <w:tc>
          <w:tcPr>
            <w:tcW w:w="960" w:type="dxa"/>
            <w:tcBorders>
              <w:top w:val="single" w:sz="4" w:space="0" w:color="auto"/>
              <w:left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86</w:t>
            </w:r>
          </w:p>
        </w:tc>
        <w:tc>
          <w:tcPr>
            <w:tcW w:w="1106" w:type="dxa"/>
            <w:tcBorders>
              <w:top w:val="single" w:sz="4" w:space="0" w:color="auto"/>
              <w:left w:val="nil"/>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96%</w:t>
            </w:r>
          </w:p>
        </w:tc>
      </w:tr>
      <w:tr w:rsidR="000F29A9" w:rsidRPr="0055471D" w:rsidTr="00057F4E">
        <w:trPr>
          <w:trHeight w:val="300"/>
          <w:jc w:val="center"/>
        </w:trPr>
        <w:tc>
          <w:tcPr>
            <w:tcW w:w="2419" w:type="dxa"/>
            <w:tcBorders>
              <w:top w:val="nil"/>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Viviendo en pareja</w:t>
            </w:r>
          </w:p>
        </w:tc>
        <w:tc>
          <w:tcPr>
            <w:tcW w:w="960" w:type="dxa"/>
            <w:tcBorders>
              <w:top w:val="nil"/>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06" w:type="dxa"/>
            <w:tcBorders>
              <w:top w:val="nil"/>
              <w:left w:val="nil"/>
              <w:bottom w:val="single" w:sz="4" w:space="0" w:color="auto"/>
              <w:right w:val="nil"/>
            </w:tcBorders>
            <w:shd w:val="clear" w:color="auto" w:fill="auto"/>
            <w:noWrap/>
            <w:vAlign w:val="bottom"/>
            <w:hideMark/>
          </w:tcPr>
          <w:p w:rsidR="000F29A9" w:rsidRPr="0055471D" w:rsidRDefault="000F29A9" w:rsidP="00057F4E">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r>
    </w:tbl>
    <w:p w:rsidR="000F29A9" w:rsidRDefault="000F29A9" w:rsidP="000F29A9">
      <w:pPr>
        <w:jc w:val="center"/>
      </w:pPr>
    </w:p>
    <w:p w:rsidR="000F29A9" w:rsidRDefault="000F29A9" w:rsidP="000F29A9">
      <w:pPr>
        <w:jc w:val="both"/>
      </w:pPr>
      <w:r>
        <w:t>Distribución de conteos por componente de entorno. Conclusión rápida:</w:t>
      </w:r>
    </w:p>
    <w:p w:rsidR="000F29A9" w:rsidRDefault="000F29A9" w:rsidP="000F29A9">
      <w:pPr>
        <w:jc w:val="both"/>
      </w:pPr>
      <w:r>
        <w:t>En cuanto a factores ambientales los encuestados tienden a inclinarse por las categorías facilitadores ligeros a completos y de barrera ligera a la carencia de esta.</w:t>
      </w:r>
    </w:p>
    <w:p w:rsidR="000F29A9" w:rsidRDefault="000F29A9" w:rsidP="000F29A9">
      <w:pPr>
        <w:jc w:val="center"/>
      </w:pPr>
      <w:r>
        <w:rPr>
          <w:noProof/>
          <w:lang w:eastAsia="es-CO"/>
        </w:rPr>
        <w:drawing>
          <wp:inline distT="0" distB="0" distL="0" distR="0" wp14:anchorId="04371DD6" wp14:editId="5180406E">
            <wp:extent cx="5943600" cy="1354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4455"/>
                    </a:xfrm>
                    <a:prstGeom prst="rect">
                      <a:avLst/>
                    </a:prstGeom>
                  </pic:spPr>
                </pic:pic>
              </a:graphicData>
            </a:graphic>
          </wp:inline>
        </w:drawing>
      </w:r>
    </w:p>
    <w:p w:rsidR="000F29A9" w:rsidRDefault="000F29A9" w:rsidP="000F29A9">
      <w:pPr>
        <w:jc w:val="both"/>
      </w:pPr>
      <w:r>
        <w:t>En los factores de apoyo y servicios los encuestados se inclinan fuertemente por las opciones de respuesta No y Si, ninguno</w:t>
      </w:r>
    </w:p>
    <w:p w:rsidR="000F29A9" w:rsidRDefault="000F29A9" w:rsidP="000F29A9">
      <w:pPr>
        <w:jc w:val="center"/>
      </w:pPr>
      <w:r>
        <w:rPr>
          <w:noProof/>
          <w:lang w:eastAsia="es-CO"/>
        </w:rPr>
        <w:lastRenderedPageBreak/>
        <w:drawing>
          <wp:inline distT="0" distB="0" distL="0" distR="0" wp14:anchorId="4034A3D0" wp14:editId="3E7D32F6">
            <wp:extent cx="5943600" cy="1004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04570"/>
                    </a:xfrm>
                    <a:prstGeom prst="rect">
                      <a:avLst/>
                    </a:prstGeom>
                  </pic:spPr>
                </pic:pic>
              </a:graphicData>
            </a:graphic>
          </wp:inline>
        </w:drawing>
      </w:r>
    </w:p>
    <w:p w:rsidR="000F29A9" w:rsidRDefault="000F29A9" w:rsidP="000F29A9">
      <w:pPr>
        <w:jc w:val="both"/>
      </w:pPr>
      <w:r>
        <w:t>En cuanto a la importancia de los factores de calidad de vida, los encuestados se inclinan por considerar muy importantes los componentes evaluados.</w:t>
      </w:r>
    </w:p>
    <w:p w:rsidR="000F29A9" w:rsidRDefault="000F29A9" w:rsidP="000F29A9">
      <w:pPr>
        <w:jc w:val="center"/>
      </w:pPr>
      <w:r>
        <w:rPr>
          <w:noProof/>
          <w:lang w:eastAsia="es-CO"/>
        </w:rPr>
        <w:drawing>
          <wp:inline distT="0" distB="0" distL="0" distR="0" wp14:anchorId="6418DD62" wp14:editId="28F1E686">
            <wp:extent cx="5943600" cy="937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37260"/>
                    </a:xfrm>
                    <a:prstGeom prst="rect">
                      <a:avLst/>
                    </a:prstGeom>
                  </pic:spPr>
                </pic:pic>
              </a:graphicData>
            </a:graphic>
          </wp:inline>
        </w:drawing>
      </w:r>
    </w:p>
    <w:p w:rsidR="000F29A9" w:rsidRDefault="000F29A9" w:rsidP="000F29A9">
      <w:pPr>
        <w:jc w:val="both"/>
      </w:pPr>
      <w:r>
        <w:t>Por otro lado, en la satisfacción predominan las categorías neutro a satisfecho, pero se observan comportamiento diferenciales en algunas variables (revisar código de las variables).</w:t>
      </w:r>
    </w:p>
    <w:p w:rsidR="000F29A9" w:rsidRDefault="000F29A9" w:rsidP="000F29A9">
      <w:pPr>
        <w:jc w:val="center"/>
      </w:pPr>
      <w:r>
        <w:rPr>
          <w:noProof/>
          <w:lang w:eastAsia="es-CO"/>
        </w:rPr>
        <w:drawing>
          <wp:inline distT="0" distB="0" distL="0" distR="0" wp14:anchorId="63256810" wp14:editId="2D160F4C">
            <wp:extent cx="5943600" cy="965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5200"/>
                    </a:xfrm>
                    <a:prstGeom prst="rect">
                      <a:avLst/>
                    </a:prstGeom>
                  </pic:spPr>
                </pic:pic>
              </a:graphicData>
            </a:graphic>
          </wp:inline>
        </w:drawing>
      </w:r>
    </w:p>
    <w:p w:rsidR="000F29A9" w:rsidRDefault="000F29A9" w:rsidP="000F29A9">
      <w:pPr>
        <w:jc w:val="both"/>
      </w:pPr>
    </w:p>
    <w:p w:rsidR="000F29A9" w:rsidRDefault="000F29A9" w:rsidP="000F29A9">
      <w:pPr>
        <w:jc w:val="both"/>
        <w:rPr>
          <w:b/>
          <w:sz w:val="28"/>
        </w:rPr>
      </w:pPr>
      <w:r w:rsidRPr="0055471D">
        <w:rPr>
          <w:b/>
          <w:sz w:val="28"/>
        </w:rPr>
        <w:t xml:space="preserve">Análisis </w:t>
      </w:r>
      <w:r>
        <w:rPr>
          <w:b/>
          <w:sz w:val="28"/>
        </w:rPr>
        <w:t>de correlación</w:t>
      </w:r>
    </w:p>
    <w:p w:rsidR="000F29A9" w:rsidRDefault="000F29A9" w:rsidP="000F29A9">
      <w:pPr>
        <w:jc w:val="both"/>
      </w:pPr>
      <w:r>
        <w:t xml:space="preserve">Resultados del test Chi-cuadrado de independencia. Conclusión rápida: Del total de variables existe algún tipo de asociación entre el 53% de todos los posibles pares de variables. Lo que indica una fuerte asociación entre ellas, lo cual da pie para los siguientes análisis. El color rojo del </w:t>
      </w:r>
      <w:proofErr w:type="spellStart"/>
      <w:r>
        <w:t>heatmap</w:t>
      </w:r>
      <w:proofErr w:type="spellEnd"/>
      <w:r>
        <w:t xml:space="preserve"> (mapa de calor) indica la existencia de una relación estadísticamente significativa entre el par de variables analizadas. Mientras el color azul indica la independencia entre dos variables.</w:t>
      </w:r>
    </w:p>
    <w:p w:rsidR="000F29A9" w:rsidRDefault="000F29A9" w:rsidP="000F29A9">
      <w:pPr>
        <w:jc w:val="center"/>
      </w:pPr>
      <w:r>
        <w:rPr>
          <w:noProof/>
          <w:lang w:eastAsia="es-CO"/>
        </w:rPr>
        <w:lastRenderedPageBreak/>
        <w:drawing>
          <wp:inline distT="0" distB="0" distL="0" distR="0" wp14:anchorId="42559626" wp14:editId="686E0AD7">
            <wp:extent cx="5943600" cy="6031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31230"/>
                    </a:xfrm>
                    <a:prstGeom prst="rect">
                      <a:avLst/>
                    </a:prstGeom>
                  </pic:spPr>
                </pic:pic>
              </a:graphicData>
            </a:graphic>
          </wp:inline>
        </w:drawing>
      </w:r>
    </w:p>
    <w:p w:rsidR="000F29A9" w:rsidRPr="00B739E4" w:rsidRDefault="000F29A9" w:rsidP="000F29A9">
      <w:pPr>
        <w:jc w:val="both"/>
      </w:pPr>
    </w:p>
    <w:p w:rsidR="00774B79" w:rsidRDefault="000F29A9">
      <w:bookmarkStart w:id="0" w:name="_GoBack"/>
      <w:bookmarkEnd w:id="0"/>
    </w:p>
    <w:sectPr w:rsidR="00774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9A9"/>
    <w:rsid w:val="000F29A9"/>
    <w:rsid w:val="003A43AE"/>
    <w:rsid w:val="00827E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A2A5C-3DD2-4E0A-B14B-F743EC75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9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9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455</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1</cp:revision>
  <dcterms:created xsi:type="dcterms:W3CDTF">2016-06-11T03:30:00Z</dcterms:created>
  <dcterms:modified xsi:type="dcterms:W3CDTF">2016-06-11T03:31:00Z</dcterms:modified>
</cp:coreProperties>
</file>