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8B517F" w:rsidRDefault="008B517F" w:rsidP="00F62609">
      <w:pPr>
        <w:pStyle w:val="Heading1"/>
        <w:jc w:val="center"/>
        <w:rPr>
          <w:b/>
          <w:sz w:val="40"/>
          <w:lang w:val="es-ES"/>
        </w:rPr>
      </w:pPr>
    </w:p>
    <w:p w:rsidR="001445ED" w:rsidRPr="00F62609" w:rsidRDefault="00F37435" w:rsidP="00F62609">
      <w:pPr>
        <w:pStyle w:val="Heading1"/>
        <w:jc w:val="center"/>
        <w:rPr>
          <w:b/>
          <w:sz w:val="40"/>
          <w:lang w:val="es-ES"/>
        </w:rPr>
      </w:pPr>
      <w:bookmarkStart w:id="0" w:name="_Toc512458912"/>
      <w:r w:rsidRPr="00F62609">
        <w:rPr>
          <w:b/>
          <w:sz w:val="40"/>
          <w:lang w:val="es-ES"/>
        </w:rPr>
        <w:t>Prácticas de gestión de conocimiento en organizaciones innovadoras de Colombia</w:t>
      </w:r>
      <w:bookmarkEnd w:id="0"/>
    </w:p>
    <w:p w:rsidR="000F610B" w:rsidRPr="00F62609" w:rsidRDefault="000F610B" w:rsidP="00F62609">
      <w:pPr>
        <w:pStyle w:val="Heading1"/>
        <w:jc w:val="center"/>
        <w:rPr>
          <w:b/>
          <w:sz w:val="40"/>
          <w:lang w:val="es-ES"/>
        </w:rPr>
      </w:pPr>
    </w:p>
    <w:p w:rsidR="000F610B" w:rsidRDefault="000F610B" w:rsidP="00F62609">
      <w:pPr>
        <w:pStyle w:val="Heading1"/>
        <w:jc w:val="center"/>
        <w:rPr>
          <w:b/>
          <w:sz w:val="40"/>
          <w:lang w:val="es-ES"/>
        </w:rPr>
      </w:pPr>
      <w:bookmarkStart w:id="1" w:name="_Toc512458913"/>
      <w:r w:rsidRPr="00F62609">
        <w:rPr>
          <w:b/>
          <w:sz w:val="40"/>
          <w:lang w:val="es-ES"/>
        </w:rPr>
        <w:t>Análisis de datos</w:t>
      </w:r>
      <w:bookmarkEnd w:id="1"/>
    </w:p>
    <w:p w:rsidR="008B517F" w:rsidRDefault="008B517F" w:rsidP="008B517F">
      <w:pPr>
        <w:rPr>
          <w:lang w:val="es-ES"/>
        </w:rPr>
      </w:pPr>
    </w:p>
    <w:p w:rsidR="008B517F" w:rsidRDefault="008B517F" w:rsidP="008B517F">
      <w:pPr>
        <w:rPr>
          <w:lang w:val="es-ES"/>
        </w:rPr>
      </w:pPr>
    </w:p>
    <w:p w:rsidR="008B517F" w:rsidRPr="008B517F" w:rsidRDefault="008B517F" w:rsidP="008B517F">
      <w:pPr>
        <w:rPr>
          <w:lang w:val="es-ES"/>
        </w:rPr>
      </w:pPr>
    </w:p>
    <w:p w:rsidR="00F37435" w:rsidRDefault="00F37435" w:rsidP="00F37435">
      <w:pPr>
        <w:jc w:val="center"/>
        <w:rPr>
          <w:lang w:val="es-ES"/>
        </w:rPr>
      </w:pPr>
    </w:p>
    <w:p w:rsidR="00F37435" w:rsidRDefault="00F37435" w:rsidP="00F37435">
      <w:pPr>
        <w:jc w:val="center"/>
        <w:rPr>
          <w:lang w:val="es-ES"/>
        </w:rPr>
      </w:pPr>
      <w:r>
        <w:rPr>
          <w:lang w:val="es-ES"/>
        </w:rPr>
        <w:t>Presentado por: Harold Armando Achicanoy Estrella, Estadístico</w:t>
      </w:r>
    </w:p>
    <w:p w:rsidR="00F37435" w:rsidRDefault="00F37435" w:rsidP="00F37435">
      <w:pPr>
        <w:jc w:val="center"/>
        <w:rPr>
          <w:lang w:val="es-ES"/>
        </w:rPr>
      </w:pPr>
    </w:p>
    <w:p w:rsidR="00F37435" w:rsidRDefault="00F37435" w:rsidP="00F37435">
      <w:pPr>
        <w:jc w:val="center"/>
        <w:rPr>
          <w:lang w:val="es-ES"/>
        </w:rPr>
      </w:pPr>
      <w:r>
        <w:rPr>
          <w:lang w:val="es-ES"/>
        </w:rPr>
        <w:t>Abril de 2018</w:t>
      </w:r>
    </w:p>
    <w:p w:rsidR="00F37435" w:rsidRDefault="00F37435"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sdt>
      <w:sdtPr>
        <w:rPr>
          <w:rFonts w:asciiTheme="minorHAnsi" w:eastAsiaTheme="minorHAnsi" w:hAnsiTheme="minorHAnsi" w:cstheme="minorBidi"/>
          <w:b w:val="0"/>
          <w:bCs w:val="0"/>
          <w:color w:val="auto"/>
          <w:sz w:val="24"/>
          <w:szCs w:val="24"/>
        </w:rPr>
        <w:id w:val="1707761145"/>
        <w:docPartObj>
          <w:docPartGallery w:val="Table of Contents"/>
          <w:docPartUnique/>
        </w:docPartObj>
      </w:sdtPr>
      <w:sdtEndPr>
        <w:rPr>
          <w:noProof/>
        </w:rPr>
      </w:sdtEndPr>
      <w:sdtContent>
        <w:p w:rsidR="00C112BA" w:rsidRDefault="00C112BA" w:rsidP="00C112BA">
          <w:pPr>
            <w:pStyle w:val="TOCHeading"/>
            <w:rPr>
              <w:sz w:val="40"/>
            </w:rPr>
          </w:pPr>
          <w:r w:rsidRPr="008B517F">
            <w:rPr>
              <w:sz w:val="40"/>
            </w:rPr>
            <w:t>Tabla de contenido</w:t>
          </w:r>
        </w:p>
        <w:p w:rsidR="008B517F" w:rsidRDefault="008B517F" w:rsidP="008B517F"/>
        <w:p w:rsidR="008B517F" w:rsidRPr="008B517F" w:rsidRDefault="008B517F" w:rsidP="008B517F"/>
        <w:p w:rsidR="004A7D4D" w:rsidRDefault="00C112B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2458912" w:history="1">
            <w:r w:rsidR="004A7D4D" w:rsidRPr="007B2FD5">
              <w:rPr>
                <w:rStyle w:val="Hyperlink"/>
                <w:noProof/>
                <w:lang w:val="es-ES"/>
              </w:rPr>
              <w:t>Prácticas de gestión de conocimiento en organizaciones innovadoras de Colombia</w:t>
            </w:r>
            <w:r w:rsidR="004A7D4D">
              <w:rPr>
                <w:noProof/>
                <w:webHidden/>
              </w:rPr>
              <w:tab/>
            </w:r>
            <w:r w:rsidR="004A7D4D">
              <w:rPr>
                <w:noProof/>
                <w:webHidden/>
              </w:rPr>
              <w:fldChar w:fldCharType="begin"/>
            </w:r>
            <w:r w:rsidR="004A7D4D">
              <w:rPr>
                <w:noProof/>
                <w:webHidden/>
              </w:rPr>
              <w:instrText xml:space="preserve"> PAGEREF _Toc512458912 \h </w:instrText>
            </w:r>
            <w:r w:rsidR="004A7D4D">
              <w:rPr>
                <w:noProof/>
                <w:webHidden/>
              </w:rPr>
            </w:r>
            <w:r w:rsidR="004A7D4D">
              <w:rPr>
                <w:noProof/>
                <w:webHidden/>
              </w:rPr>
              <w:fldChar w:fldCharType="separate"/>
            </w:r>
            <w:r w:rsidR="004A7D4D">
              <w:rPr>
                <w:noProof/>
                <w:webHidden/>
              </w:rPr>
              <w:t>1</w:t>
            </w:r>
            <w:r w:rsidR="004A7D4D">
              <w:rPr>
                <w:noProof/>
                <w:webHidden/>
              </w:rPr>
              <w:fldChar w:fldCharType="end"/>
            </w:r>
          </w:hyperlink>
        </w:p>
        <w:p w:rsidR="004A7D4D" w:rsidRDefault="004A7D4D">
          <w:pPr>
            <w:pStyle w:val="TOC1"/>
            <w:tabs>
              <w:tab w:val="right" w:leader="dot" w:pos="9350"/>
            </w:tabs>
            <w:rPr>
              <w:rFonts w:eastAsiaTheme="minorEastAsia" w:cstheme="minorBidi"/>
              <w:b w:val="0"/>
              <w:bCs w:val="0"/>
              <w:i w:val="0"/>
              <w:iCs w:val="0"/>
              <w:noProof/>
            </w:rPr>
          </w:pPr>
          <w:hyperlink w:anchor="_Toc512458913" w:history="1">
            <w:r w:rsidRPr="007B2FD5">
              <w:rPr>
                <w:rStyle w:val="Hyperlink"/>
                <w:noProof/>
                <w:lang w:val="es-ES"/>
              </w:rPr>
              <w:t>Análisis de datos</w:t>
            </w:r>
            <w:r>
              <w:rPr>
                <w:noProof/>
                <w:webHidden/>
              </w:rPr>
              <w:tab/>
            </w:r>
            <w:r>
              <w:rPr>
                <w:noProof/>
                <w:webHidden/>
              </w:rPr>
              <w:fldChar w:fldCharType="begin"/>
            </w:r>
            <w:r>
              <w:rPr>
                <w:noProof/>
                <w:webHidden/>
              </w:rPr>
              <w:instrText xml:space="preserve"> PAGEREF _Toc512458913 \h </w:instrText>
            </w:r>
            <w:r>
              <w:rPr>
                <w:noProof/>
                <w:webHidden/>
              </w:rPr>
            </w:r>
            <w:r>
              <w:rPr>
                <w:noProof/>
                <w:webHidden/>
              </w:rPr>
              <w:fldChar w:fldCharType="separate"/>
            </w:r>
            <w:r>
              <w:rPr>
                <w:noProof/>
                <w:webHidden/>
              </w:rPr>
              <w:t>1</w:t>
            </w:r>
            <w:r>
              <w:rPr>
                <w:noProof/>
                <w:webHidden/>
              </w:rPr>
              <w:fldChar w:fldCharType="end"/>
            </w:r>
          </w:hyperlink>
        </w:p>
        <w:p w:rsidR="004A7D4D" w:rsidRDefault="004A7D4D">
          <w:pPr>
            <w:pStyle w:val="TOC2"/>
            <w:tabs>
              <w:tab w:val="right" w:leader="dot" w:pos="9350"/>
            </w:tabs>
            <w:rPr>
              <w:rFonts w:eastAsiaTheme="minorEastAsia" w:cstheme="minorBidi"/>
              <w:b w:val="0"/>
              <w:bCs w:val="0"/>
              <w:noProof/>
              <w:sz w:val="24"/>
              <w:szCs w:val="24"/>
            </w:rPr>
          </w:pPr>
          <w:hyperlink w:anchor="_Toc512458914" w:history="1">
            <w:r w:rsidRPr="007B2FD5">
              <w:rPr>
                <w:rStyle w:val="Hyperlink"/>
                <w:noProof/>
                <w:lang w:val="es-ES"/>
              </w:rPr>
              <w:t>Introducción</w:t>
            </w:r>
            <w:r>
              <w:rPr>
                <w:noProof/>
                <w:webHidden/>
              </w:rPr>
              <w:tab/>
            </w:r>
            <w:r>
              <w:rPr>
                <w:noProof/>
                <w:webHidden/>
              </w:rPr>
              <w:fldChar w:fldCharType="begin"/>
            </w:r>
            <w:r>
              <w:rPr>
                <w:noProof/>
                <w:webHidden/>
              </w:rPr>
              <w:instrText xml:space="preserve"> PAGEREF _Toc512458914 \h </w:instrText>
            </w:r>
            <w:r>
              <w:rPr>
                <w:noProof/>
                <w:webHidden/>
              </w:rPr>
            </w:r>
            <w:r>
              <w:rPr>
                <w:noProof/>
                <w:webHidden/>
              </w:rPr>
              <w:fldChar w:fldCharType="separate"/>
            </w:r>
            <w:r>
              <w:rPr>
                <w:noProof/>
                <w:webHidden/>
              </w:rPr>
              <w:t>3</w:t>
            </w:r>
            <w:r>
              <w:rPr>
                <w:noProof/>
                <w:webHidden/>
              </w:rPr>
              <w:fldChar w:fldCharType="end"/>
            </w:r>
          </w:hyperlink>
        </w:p>
        <w:p w:rsidR="004A7D4D" w:rsidRDefault="004A7D4D">
          <w:pPr>
            <w:pStyle w:val="TOC2"/>
            <w:tabs>
              <w:tab w:val="right" w:leader="dot" w:pos="9350"/>
            </w:tabs>
            <w:rPr>
              <w:rFonts w:eastAsiaTheme="minorEastAsia" w:cstheme="minorBidi"/>
              <w:b w:val="0"/>
              <w:bCs w:val="0"/>
              <w:noProof/>
              <w:sz w:val="24"/>
              <w:szCs w:val="24"/>
            </w:rPr>
          </w:pPr>
          <w:hyperlink w:anchor="_Toc512458915" w:history="1">
            <w:r w:rsidRPr="007B2FD5">
              <w:rPr>
                <w:rStyle w:val="Hyperlink"/>
                <w:noProof/>
                <w:lang w:val="es-ES"/>
              </w:rPr>
              <w:t>Análisis descriptivo de datos</w:t>
            </w:r>
            <w:r>
              <w:rPr>
                <w:noProof/>
                <w:webHidden/>
              </w:rPr>
              <w:tab/>
            </w:r>
            <w:r>
              <w:rPr>
                <w:noProof/>
                <w:webHidden/>
              </w:rPr>
              <w:fldChar w:fldCharType="begin"/>
            </w:r>
            <w:r>
              <w:rPr>
                <w:noProof/>
                <w:webHidden/>
              </w:rPr>
              <w:instrText xml:space="preserve"> PAGEREF _Toc512458915 \h </w:instrText>
            </w:r>
            <w:r>
              <w:rPr>
                <w:noProof/>
                <w:webHidden/>
              </w:rPr>
            </w:r>
            <w:r>
              <w:rPr>
                <w:noProof/>
                <w:webHidden/>
              </w:rPr>
              <w:fldChar w:fldCharType="separate"/>
            </w:r>
            <w:r>
              <w:rPr>
                <w:noProof/>
                <w:webHidden/>
              </w:rPr>
              <w:t>4</w:t>
            </w:r>
            <w:r>
              <w:rPr>
                <w:noProof/>
                <w:webHidden/>
              </w:rPr>
              <w:fldChar w:fldCharType="end"/>
            </w:r>
          </w:hyperlink>
        </w:p>
        <w:p w:rsidR="004A7D4D" w:rsidRDefault="004A7D4D">
          <w:pPr>
            <w:pStyle w:val="TOC2"/>
            <w:tabs>
              <w:tab w:val="right" w:leader="dot" w:pos="9350"/>
            </w:tabs>
            <w:rPr>
              <w:rFonts w:eastAsiaTheme="minorEastAsia" w:cstheme="minorBidi"/>
              <w:b w:val="0"/>
              <w:bCs w:val="0"/>
              <w:noProof/>
              <w:sz w:val="24"/>
              <w:szCs w:val="24"/>
            </w:rPr>
          </w:pPr>
          <w:hyperlink w:anchor="_Toc512458916" w:history="1">
            <w:r w:rsidRPr="007B2FD5">
              <w:rPr>
                <w:rStyle w:val="Hyperlink"/>
                <w:noProof/>
                <w:lang w:val="es-ES"/>
              </w:rPr>
              <w:t>Análisis de asociación</w:t>
            </w:r>
            <w:r>
              <w:rPr>
                <w:noProof/>
                <w:webHidden/>
              </w:rPr>
              <w:tab/>
            </w:r>
            <w:r>
              <w:rPr>
                <w:noProof/>
                <w:webHidden/>
              </w:rPr>
              <w:fldChar w:fldCharType="begin"/>
            </w:r>
            <w:r>
              <w:rPr>
                <w:noProof/>
                <w:webHidden/>
              </w:rPr>
              <w:instrText xml:space="preserve"> PAGEREF _Toc512458916 \h </w:instrText>
            </w:r>
            <w:r>
              <w:rPr>
                <w:noProof/>
                <w:webHidden/>
              </w:rPr>
            </w:r>
            <w:r>
              <w:rPr>
                <w:noProof/>
                <w:webHidden/>
              </w:rPr>
              <w:fldChar w:fldCharType="separate"/>
            </w:r>
            <w:r>
              <w:rPr>
                <w:noProof/>
                <w:webHidden/>
              </w:rPr>
              <w:t>7</w:t>
            </w:r>
            <w:r>
              <w:rPr>
                <w:noProof/>
                <w:webHidden/>
              </w:rPr>
              <w:fldChar w:fldCharType="end"/>
            </w:r>
          </w:hyperlink>
        </w:p>
        <w:p w:rsidR="004A7D4D" w:rsidRDefault="004A7D4D">
          <w:pPr>
            <w:pStyle w:val="TOC2"/>
            <w:tabs>
              <w:tab w:val="right" w:leader="dot" w:pos="9350"/>
            </w:tabs>
            <w:rPr>
              <w:rFonts w:eastAsiaTheme="minorEastAsia" w:cstheme="minorBidi"/>
              <w:b w:val="0"/>
              <w:bCs w:val="0"/>
              <w:noProof/>
              <w:sz w:val="24"/>
              <w:szCs w:val="24"/>
            </w:rPr>
          </w:pPr>
          <w:hyperlink w:anchor="_Toc512458917" w:history="1">
            <w:r w:rsidRPr="007B2FD5">
              <w:rPr>
                <w:rStyle w:val="Hyperlink"/>
                <w:noProof/>
                <w:lang w:val="es-ES"/>
              </w:rPr>
              <w:t>Análisis multivariado</w:t>
            </w:r>
            <w:r>
              <w:rPr>
                <w:noProof/>
                <w:webHidden/>
              </w:rPr>
              <w:tab/>
            </w:r>
            <w:r>
              <w:rPr>
                <w:noProof/>
                <w:webHidden/>
              </w:rPr>
              <w:fldChar w:fldCharType="begin"/>
            </w:r>
            <w:r>
              <w:rPr>
                <w:noProof/>
                <w:webHidden/>
              </w:rPr>
              <w:instrText xml:space="preserve"> PAGEREF _Toc512458917 \h </w:instrText>
            </w:r>
            <w:r>
              <w:rPr>
                <w:noProof/>
                <w:webHidden/>
              </w:rPr>
            </w:r>
            <w:r>
              <w:rPr>
                <w:noProof/>
                <w:webHidden/>
              </w:rPr>
              <w:fldChar w:fldCharType="separate"/>
            </w:r>
            <w:r>
              <w:rPr>
                <w:noProof/>
                <w:webHidden/>
              </w:rPr>
              <w:t>8</w:t>
            </w:r>
            <w:r>
              <w:rPr>
                <w:noProof/>
                <w:webHidden/>
              </w:rPr>
              <w:fldChar w:fldCharType="end"/>
            </w:r>
          </w:hyperlink>
        </w:p>
        <w:p w:rsidR="004A7D4D" w:rsidRDefault="004A7D4D">
          <w:pPr>
            <w:pStyle w:val="TOC2"/>
            <w:tabs>
              <w:tab w:val="right" w:leader="dot" w:pos="9350"/>
            </w:tabs>
            <w:rPr>
              <w:rFonts w:eastAsiaTheme="minorEastAsia" w:cstheme="minorBidi"/>
              <w:b w:val="0"/>
              <w:bCs w:val="0"/>
              <w:noProof/>
              <w:sz w:val="24"/>
              <w:szCs w:val="24"/>
            </w:rPr>
          </w:pPr>
          <w:hyperlink w:anchor="_Toc512458918" w:history="1">
            <w:r w:rsidRPr="007B2FD5">
              <w:rPr>
                <w:rStyle w:val="Hyperlink"/>
                <w:noProof/>
                <w:lang w:val="es-ES"/>
              </w:rPr>
              <w:t>Conclusiones</w:t>
            </w:r>
            <w:r>
              <w:rPr>
                <w:noProof/>
                <w:webHidden/>
              </w:rPr>
              <w:tab/>
            </w:r>
            <w:r>
              <w:rPr>
                <w:noProof/>
                <w:webHidden/>
              </w:rPr>
              <w:fldChar w:fldCharType="begin"/>
            </w:r>
            <w:r>
              <w:rPr>
                <w:noProof/>
                <w:webHidden/>
              </w:rPr>
              <w:instrText xml:space="preserve"> PAGEREF _Toc512458918 \h </w:instrText>
            </w:r>
            <w:r>
              <w:rPr>
                <w:noProof/>
                <w:webHidden/>
              </w:rPr>
            </w:r>
            <w:r>
              <w:rPr>
                <w:noProof/>
                <w:webHidden/>
              </w:rPr>
              <w:fldChar w:fldCharType="separate"/>
            </w:r>
            <w:r>
              <w:rPr>
                <w:noProof/>
                <w:webHidden/>
              </w:rPr>
              <w:t>17</w:t>
            </w:r>
            <w:r>
              <w:rPr>
                <w:noProof/>
                <w:webHidden/>
              </w:rPr>
              <w:fldChar w:fldCharType="end"/>
            </w:r>
          </w:hyperlink>
        </w:p>
        <w:p w:rsidR="00C112BA" w:rsidRDefault="00C112BA">
          <w:r>
            <w:rPr>
              <w:b/>
              <w:bCs/>
              <w:noProof/>
            </w:rPr>
            <w:fldChar w:fldCharType="end"/>
          </w:r>
        </w:p>
      </w:sdtContent>
    </w:sdt>
    <w:p w:rsidR="00F37435" w:rsidRDefault="00F37435" w:rsidP="00C112BA">
      <w:pPr>
        <w:jc w:val="both"/>
        <w:rPr>
          <w:lang w:val="es-ES"/>
        </w:rPr>
      </w:pPr>
    </w:p>
    <w:p w:rsidR="00F37435" w:rsidRDefault="00F37435"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8B517F" w:rsidRDefault="008B517F" w:rsidP="00C112BA">
      <w:pPr>
        <w:jc w:val="both"/>
        <w:rPr>
          <w:lang w:val="es-ES"/>
        </w:rPr>
      </w:pPr>
    </w:p>
    <w:p w:rsidR="00F37435" w:rsidRPr="008B517F" w:rsidRDefault="00F37435" w:rsidP="00F62609">
      <w:pPr>
        <w:pStyle w:val="Heading2"/>
        <w:rPr>
          <w:b/>
          <w:sz w:val="40"/>
          <w:lang w:val="es-ES"/>
        </w:rPr>
      </w:pPr>
      <w:bookmarkStart w:id="2" w:name="_Toc512458914"/>
      <w:r w:rsidRPr="008B517F">
        <w:rPr>
          <w:b/>
          <w:sz w:val="40"/>
          <w:lang w:val="es-ES"/>
        </w:rPr>
        <w:lastRenderedPageBreak/>
        <w:t>Introducción</w:t>
      </w:r>
      <w:bookmarkEnd w:id="2"/>
    </w:p>
    <w:p w:rsidR="00F37435" w:rsidRDefault="00F37435" w:rsidP="00F37435">
      <w:pPr>
        <w:jc w:val="both"/>
        <w:rPr>
          <w:lang w:val="es-ES"/>
        </w:rPr>
      </w:pPr>
    </w:p>
    <w:p w:rsidR="00E66454" w:rsidRDefault="00A76040" w:rsidP="00F37435">
      <w:pPr>
        <w:jc w:val="both"/>
        <w:rPr>
          <w:lang w:val="es-ES"/>
        </w:rPr>
      </w:pPr>
      <w:r>
        <w:rPr>
          <w:lang w:val="es-ES"/>
        </w:rPr>
        <w:t>El objetivo general consiste en analizar las prácticas de gestión del conocimiento en organizaciones innovadoras en el año 2015.</w:t>
      </w:r>
      <w:r w:rsidR="000F610B">
        <w:rPr>
          <w:lang w:val="es-ES"/>
        </w:rPr>
        <w:t xml:space="preserve"> </w:t>
      </w:r>
      <w:r w:rsidR="00F30B8D">
        <w:rPr>
          <w:lang w:val="es-ES"/>
        </w:rPr>
        <w:t xml:space="preserve">La población analizada corresponde a las </w:t>
      </w:r>
      <w:r w:rsidR="00F30B8D" w:rsidRPr="00F30B8D">
        <w:rPr>
          <w:lang w:val="es-ES"/>
        </w:rPr>
        <w:t>organizaciones innovadoras catalogadas por Colciencias en el año 2015</w:t>
      </w:r>
      <w:r w:rsidR="00F30B8D">
        <w:rPr>
          <w:lang w:val="es-ES"/>
        </w:rPr>
        <w:t>, tomando una muestra de 51 empresas en diferentes ciudades del país</w:t>
      </w:r>
      <w:r w:rsidR="00E66454">
        <w:rPr>
          <w:lang w:val="es-ES"/>
        </w:rPr>
        <w:t>,</w:t>
      </w:r>
      <w:r w:rsidR="00A25F9F">
        <w:rPr>
          <w:lang w:val="es-ES"/>
        </w:rPr>
        <w:t xml:space="preserve"> donde la mayor representatividad está dada por las principales ciudades con </w:t>
      </w:r>
      <w:r w:rsidR="00F30B8D">
        <w:rPr>
          <w:lang w:val="es-ES"/>
        </w:rPr>
        <w:t>Bogotá</w:t>
      </w:r>
      <w:r w:rsidR="00A25F9F">
        <w:rPr>
          <w:lang w:val="es-ES"/>
        </w:rPr>
        <w:t xml:space="preserve"> (29.4%)</w:t>
      </w:r>
      <w:r w:rsidR="00F30B8D">
        <w:rPr>
          <w:lang w:val="es-ES"/>
        </w:rPr>
        <w:t>, Cali</w:t>
      </w:r>
      <w:r w:rsidR="00F811C5">
        <w:rPr>
          <w:lang w:val="es-ES"/>
        </w:rPr>
        <w:t xml:space="preserve"> (29.4%)</w:t>
      </w:r>
      <w:r w:rsidR="00F30B8D">
        <w:rPr>
          <w:lang w:val="es-ES"/>
        </w:rPr>
        <w:t xml:space="preserve"> y Medellín</w:t>
      </w:r>
      <w:r w:rsidR="00F811C5">
        <w:rPr>
          <w:lang w:val="es-ES"/>
        </w:rPr>
        <w:t xml:space="preserve"> (15.7</w:t>
      </w:r>
      <w:r w:rsidR="00210DC8">
        <w:rPr>
          <w:lang w:val="es-ES"/>
        </w:rPr>
        <w:t>%</w:t>
      </w:r>
      <w:r w:rsidR="00F811C5">
        <w:rPr>
          <w:lang w:val="es-ES"/>
        </w:rPr>
        <w:t>)</w:t>
      </w:r>
      <w:r w:rsidR="00F30B8D">
        <w:rPr>
          <w:lang w:val="es-ES"/>
        </w:rPr>
        <w:t xml:space="preserve">. </w:t>
      </w:r>
      <w:r w:rsidR="0045672C">
        <w:rPr>
          <w:lang w:val="es-ES"/>
        </w:rPr>
        <w:t>Los principales sectores económicos donde se clasifican estas organizaciones son el secundario (producción de bienes, manufactura, construcción) con 60</w:t>
      </w:r>
      <w:r w:rsidR="00E66454">
        <w:rPr>
          <w:lang w:val="es-ES"/>
        </w:rPr>
        <w:t>.8</w:t>
      </w:r>
      <w:r w:rsidR="0045672C">
        <w:rPr>
          <w:lang w:val="es-ES"/>
        </w:rPr>
        <w:t>%</w:t>
      </w:r>
      <w:r w:rsidR="00E66454">
        <w:rPr>
          <w:lang w:val="es-ES"/>
        </w:rPr>
        <w:t xml:space="preserve"> de la muestra</w:t>
      </w:r>
      <w:r w:rsidR="0045672C">
        <w:rPr>
          <w:lang w:val="es-ES"/>
        </w:rPr>
        <w:t>, terciario (servicios, comercio</w:t>
      </w:r>
      <w:r w:rsidR="00E66454">
        <w:rPr>
          <w:lang w:val="es-ES"/>
        </w:rPr>
        <w:t>, bancos, educación, cultura) 33.3</w:t>
      </w:r>
      <w:r w:rsidR="0045672C">
        <w:rPr>
          <w:lang w:val="es-ES"/>
        </w:rPr>
        <w:t>% y primario (producci</w:t>
      </w:r>
      <w:r w:rsidR="00E66454">
        <w:rPr>
          <w:lang w:val="es-ES"/>
        </w:rPr>
        <w:t>ón básica) 5.9%.</w:t>
      </w:r>
      <w:r w:rsidR="00C16AEB">
        <w:rPr>
          <w:lang w:val="es-ES"/>
        </w:rPr>
        <w:t xml:space="preserve"> Ver Tabla 1.</w:t>
      </w:r>
    </w:p>
    <w:p w:rsidR="00E66454" w:rsidRDefault="00E66454" w:rsidP="00F37435">
      <w:pPr>
        <w:jc w:val="both"/>
        <w:rPr>
          <w:lang w:val="es-ES"/>
        </w:rPr>
      </w:pPr>
    </w:p>
    <w:p w:rsidR="005979DE" w:rsidRPr="005979DE" w:rsidRDefault="005979DE" w:rsidP="005979DE">
      <w:pPr>
        <w:pStyle w:val="Caption"/>
        <w:keepNext/>
        <w:jc w:val="center"/>
        <w:rPr>
          <w:lang w:val="es-ES"/>
        </w:rPr>
      </w:pPr>
      <w:r>
        <w:rPr>
          <w:lang w:val="es-ES"/>
        </w:rPr>
        <w:t>Tabla</w:t>
      </w:r>
      <w:r w:rsidRPr="005979DE">
        <w:rPr>
          <w:lang w:val="es-ES"/>
        </w:rPr>
        <w:t xml:space="preserve"> </w:t>
      </w:r>
      <w:r>
        <w:fldChar w:fldCharType="begin"/>
      </w:r>
      <w:r w:rsidRPr="005979DE">
        <w:rPr>
          <w:lang w:val="es-ES"/>
        </w:rPr>
        <w:instrText xml:space="preserve"> SEQ Table \* ARABIC </w:instrText>
      </w:r>
      <w:r>
        <w:fldChar w:fldCharType="separate"/>
      </w:r>
      <w:r w:rsidRPr="005979DE">
        <w:rPr>
          <w:noProof/>
          <w:lang w:val="es-ES"/>
        </w:rPr>
        <w:t>1</w:t>
      </w:r>
      <w:r>
        <w:fldChar w:fldCharType="end"/>
      </w:r>
      <w:r w:rsidRPr="005979DE">
        <w:rPr>
          <w:lang w:val="es-ES"/>
        </w:rPr>
        <w:t>. Frecuencias relativas por ciudad y sector económico</w:t>
      </w:r>
    </w:p>
    <w:tbl>
      <w:tblPr>
        <w:tblW w:w="8320" w:type="dxa"/>
        <w:jc w:val="center"/>
        <w:tblLook w:val="04A0" w:firstRow="1" w:lastRow="0" w:firstColumn="1" w:lastColumn="0" w:noHBand="0" w:noVBand="1"/>
      </w:tblPr>
      <w:tblGrid>
        <w:gridCol w:w="3020"/>
        <w:gridCol w:w="1225"/>
        <w:gridCol w:w="1517"/>
        <w:gridCol w:w="1258"/>
        <w:gridCol w:w="1300"/>
      </w:tblGrid>
      <w:tr w:rsidR="00E66454" w:rsidRPr="00E66454" w:rsidTr="005979DE">
        <w:trPr>
          <w:trHeight w:val="320"/>
          <w:jc w:val="center"/>
        </w:trPr>
        <w:tc>
          <w:tcPr>
            <w:tcW w:w="3020" w:type="dxa"/>
            <w:vMerge w:val="restart"/>
            <w:tcBorders>
              <w:top w:val="nil"/>
              <w:left w:val="nil"/>
              <w:bottom w:val="single" w:sz="4" w:space="0" w:color="000000"/>
              <w:right w:val="nil"/>
            </w:tcBorders>
            <w:shd w:val="clear" w:color="auto" w:fill="auto"/>
            <w:noWrap/>
            <w:vAlign w:val="center"/>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CIUDAD</w:t>
            </w:r>
          </w:p>
        </w:tc>
        <w:tc>
          <w:tcPr>
            <w:tcW w:w="4000" w:type="dxa"/>
            <w:gridSpan w:val="3"/>
            <w:tcBorders>
              <w:top w:val="nil"/>
              <w:left w:val="nil"/>
              <w:bottom w:val="nil"/>
              <w:right w:val="nil"/>
            </w:tcBorders>
            <w:shd w:val="clear" w:color="auto" w:fill="auto"/>
            <w:noWrap/>
            <w:vAlign w:val="bottom"/>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SECTOR ECONÓMICO</w:t>
            </w:r>
          </w:p>
        </w:tc>
        <w:tc>
          <w:tcPr>
            <w:tcW w:w="1300" w:type="dxa"/>
            <w:vMerge w:val="restart"/>
            <w:tcBorders>
              <w:top w:val="nil"/>
              <w:left w:val="nil"/>
              <w:bottom w:val="single" w:sz="4" w:space="0" w:color="000000"/>
              <w:right w:val="nil"/>
            </w:tcBorders>
            <w:shd w:val="clear" w:color="auto" w:fill="auto"/>
            <w:noWrap/>
            <w:vAlign w:val="center"/>
            <w:hideMark/>
          </w:tcPr>
          <w:p w:rsidR="00E66454" w:rsidRPr="00E66454" w:rsidRDefault="00E66454" w:rsidP="00E66454">
            <w:pPr>
              <w:jc w:val="center"/>
              <w:rPr>
                <w:rFonts w:ascii="Calibri" w:eastAsia="Times New Roman" w:hAnsi="Calibri" w:cs="Calibri"/>
                <w:b/>
                <w:bCs/>
                <w:color w:val="000000"/>
              </w:rPr>
            </w:pPr>
            <w:r w:rsidRPr="00E66454">
              <w:rPr>
                <w:rFonts w:ascii="Calibri" w:eastAsia="Times New Roman" w:hAnsi="Calibri" w:cs="Calibri"/>
                <w:b/>
                <w:bCs/>
                <w:color w:val="000000"/>
              </w:rPr>
              <w:t>TOTAL</w:t>
            </w:r>
          </w:p>
        </w:tc>
      </w:tr>
      <w:tr w:rsidR="00E66454" w:rsidRPr="00E66454" w:rsidTr="005979DE">
        <w:trPr>
          <w:trHeight w:val="320"/>
          <w:jc w:val="center"/>
        </w:trPr>
        <w:tc>
          <w:tcPr>
            <w:tcW w:w="3020" w:type="dxa"/>
            <w:vMerge/>
            <w:tcBorders>
              <w:top w:val="nil"/>
              <w:left w:val="nil"/>
              <w:bottom w:val="single" w:sz="4" w:space="0" w:color="000000"/>
              <w:right w:val="nil"/>
            </w:tcBorders>
            <w:vAlign w:val="center"/>
            <w:hideMark/>
          </w:tcPr>
          <w:p w:rsidR="00E66454" w:rsidRPr="00E66454" w:rsidRDefault="00E66454" w:rsidP="00E66454">
            <w:pPr>
              <w:rPr>
                <w:rFonts w:ascii="Calibri" w:eastAsia="Times New Roman" w:hAnsi="Calibri" w:cs="Calibri"/>
                <w:b/>
                <w:bCs/>
                <w:color w:val="000000"/>
              </w:rPr>
            </w:pPr>
          </w:p>
        </w:tc>
        <w:tc>
          <w:tcPr>
            <w:tcW w:w="1225"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PRIMARIO</w:t>
            </w:r>
          </w:p>
        </w:tc>
        <w:tc>
          <w:tcPr>
            <w:tcW w:w="1517"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SECUNDARIO</w:t>
            </w:r>
          </w:p>
        </w:tc>
        <w:tc>
          <w:tcPr>
            <w:tcW w:w="1258" w:type="dxa"/>
            <w:tcBorders>
              <w:top w:val="nil"/>
              <w:left w:val="nil"/>
              <w:bottom w:val="single" w:sz="4" w:space="0" w:color="auto"/>
              <w:right w:val="nil"/>
            </w:tcBorders>
            <w:shd w:val="clear" w:color="auto" w:fill="auto"/>
            <w:noWrap/>
            <w:vAlign w:val="bottom"/>
            <w:hideMark/>
          </w:tcPr>
          <w:p w:rsidR="00E66454" w:rsidRPr="00E66454" w:rsidRDefault="00210DC8" w:rsidP="00E66454">
            <w:pPr>
              <w:rPr>
                <w:rFonts w:ascii="Calibri" w:eastAsia="Times New Roman" w:hAnsi="Calibri" w:cs="Calibri"/>
                <w:color w:val="000000"/>
              </w:rPr>
            </w:pPr>
            <w:r>
              <w:rPr>
                <w:rFonts w:ascii="Calibri" w:eastAsia="Times New Roman" w:hAnsi="Calibri" w:cs="Calibri"/>
                <w:color w:val="000000"/>
              </w:rPr>
              <w:t>TERCIARIO</w:t>
            </w:r>
          </w:p>
        </w:tc>
        <w:tc>
          <w:tcPr>
            <w:tcW w:w="1300" w:type="dxa"/>
            <w:vMerge/>
            <w:tcBorders>
              <w:top w:val="nil"/>
              <w:left w:val="nil"/>
              <w:bottom w:val="single" w:sz="4" w:space="0" w:color="000000"/>
              <w:right w:val="nil"/>
            </w:tcBorders>
            <w:vAlign w:val="center"/>
            <w:hideMark/>
          </w:tcPr>
          <w:p w:rsidR="00E66454" w:rsidRPr="00E66454" w:rsidRDefault="00E66454" w:rsidP="00E66454">
            <w:pPr>
              <w:rPr>
                <w:rFonts w:ascii="Calibri" w:eastAsia="Times New Roman" w:hAnsi="Calibri" w:cs="Calibri"/>
                <w:b/>
                <w:bCs/>
                <w:color w:val="000000"/>
              </w:rPr>
            </w:pP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ARMENIA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BALBOA - ANSERMA NUEVO</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BARRANCABERMEJA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BARRANQUILLA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BELLO</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BOGOTA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15.7%</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13.7%</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29.4%</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CALI</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17.6%</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9.8%</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29.4%</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CARTAGENA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ITAGUI</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MANIZALES</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MEDELLIN</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7.8%</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7.8%</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15.7%</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PAIPA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PALMIRA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3.9%</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3.9%</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SANTA MARTA</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single" w:sz="4" w:space="0" w:color="auto"/>
              <w:right w:val="nil"/>
            </w:tcBorders>
            <w:shd w:val="clear" w:color="auto" w:fill="auto"/>
            <w:noWrap/>
            <w:vAlign w:val="bottom"/>
            <w:hideMark/>
          </w:tcPr>
          <w:p w:rsidR="00E66454" w:rsidRPr="00E66454" w:rsidRDefault="00E66454" w:rsidP="00E66454">
            <w:pPr>
              <w:rPr>
                <w:rFonts w:ascii="Calibri" w:eastAsia="Times New Roman" w:hAnsi="Calibri" w:cs="Calibri"/>
                <w:color w:val="000000"/>
              </w:rPr>
            </w:pPr>
            <w:r w:rsidRPr="00E66454">
              <w:rPr>
                <w:rFonts w:ascii="Calibri" w:eastAsia="Times New Roman" w:hAnsi="Calibri" w:cs="Calibri"/>
                <w:color w:val="000000"/>
              </w:rPr>
              <w:t>YUMBO</w:t>
            </w:r>
          </w:p>
        </w:tc>
        <w:tc>
          <w:tcPr>
            <w:tcW w:w="1225"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517"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c>
          <w:tcPr>
            <w:tcW w:w="1258"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0%</w:t>
            </w:r>
          </w:p>
        </w:tc>
        <w:tc>
          <w:tcPr>
            <w:tcW w:w="1300" w:type="dxa"/>
            <w:tcBorders>
              <w:top w:val="nil"/>
              <w:left w:val="nil"/>
              <w:bottom w:val="single" w:sz="4" w:space="0" w:color="auto"/>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2.0%</w:t>
            </w:r>
          </w:p>
        </w:tc>
      </w:tr>
      <w:tr w:rsidR="00E66454" w:rsidRPr="00E66454" w:rsidTr="005979DE">
        <w:trPr>
          <w:trHeight w:val="320"/>
          <w:jc w:val="center"/>
        </w:trPr>
        <w:tc>
          <w:tcPr>
            <w:tcW w:w="3020" w:type="dxa"/>
            <w:tcBorders>
              <w:top w:val="nil"/>
              <w:left w:val="nil"/>
              <w:bottom w:val="nil"/>
              <w:right w:val="nil"/>
            </w:tcBorders>
            <w:shd w:val="clear" w:color="auto" w:fill="auto"/>
            <w:noWrap/>
            <w:vAlign w:val="bottom"/>
            <w:hideMark/>
          </w:tcPr>
          <w:p w:rsidR="00E66454" w:rsidRPr="00E66454" w:rsidRDefault="00E66454" w:rsidP="00E66454">
            <w:pPr>
              <w:rPr>
                <w:rFonts w:ascii="Calibri" w:eastAsia="Times New Roman" w:hAnsi="Calibri" w:cs="Calibri"/>
                <w:b/>
                <w:bCs/>
                <w:color w:val="000000"/>
              </w:rPr>
            </w:pPr>
            <w:r w:rsidRPr="00E66454">
              <w:rPr>
                <w:rFonts w:ascii="Calibri" w:eastAsia="Times New Roman" w:hAnsi="Calibri" w:cs="Calibri"/>
                <w:b/>
                <w:bCs/>
                <w:color w:val="000000"/>
              </w:rPr>
              <w:t>TOTAL</w:t>
            </w:r>
          </w:p>
        </w:tc>
        <w:tc>
          <w:tcPr>
            <w:tcW w:w="1225"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5.9%</w:t>
            </w:r>
          </w:p>
        </w:tc>
        <w:tc>
          <w:tcPr>
            <w:tcW w:w="1517"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60.8%</w:t>
            </w:r>
          </w:p>
        </w:tc>
        <w:tc>
          <w:tcPr>
            <w:tcW w:w="1258"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33.3%</w:t>
            </w:r>
          </w:p>
        </w:tc>
        <w:tc>
          <w:tcPr>
            <w:tcW w:w="1300" w:type="dxa"/>
            <w:tcBorders>
              <w:top w:val="nil"/>
              <w:left w:val="nil"/>
              <w:bottom w:val="nil"/>
              <w:right w:val="nil"/>
            </w:tcBorders>
            <w:shd w:val="clear" w:color="auto" w:fill="auto"/>
            <w:noWrap/>
            <w:vAlign w:val="bottom"/>
            <w:hideMark/>
          </w:tcPr>
          <w:p w:rsidR="00E66454" w:rsidRPr="00E66454" w:rsidRDefault="00E66454" w:rsidP="00E66454">
            <w:pPr>
              <w:jc w:val="right"/>
              <w:rPr>
                <w:rFonts w:ascii="Calibri" w:eastAsia="Times New Roman" w:hAnsi="Calibri" w:cs="Calibri"/>
                <w:color w:val="000000"/>
              </w:rPr>
            </w:pPr>
            <w:r w:rsidRPr="00E66454">
              <w:rPr>
                <w:rFonts w:ascii="Calibri" w:eastAsia="Times New Roman" w:hAnsi="Calibri" w:cs="Calibri"/>
                <w:color w:val="000000"/>
              </w:rPr>
              <w:t>100%</w:t>
            </w:r>
          </w:p>
        </w:tc>
      </w:tr>
    </w:tbl>
    <w:p w:rsidR="00E66454" w:rsidRDefault="00E66454" w:rsidP="00F37435">
      <w:pPr>
        <w:jc w:val="both"/>
        <w:rPr>
          <w:lang w:val="es-ES"/>
        </w:rPr>
      </w:pPr>
    </w:p>
    <w:p w:rsidR="0045672C" w:rsidRDefault="0045672C" w:rsidP="00F37435">
      <w:pPr>
        <w:jc w:val="both"/>
        <w:rPr>
          <w:lang w:val="es-ES"/>
        </w:rPr>
      </w:pPr>
    </w:p>
    <w:p w:rsidR="0045672C" w:rsidRDefault="0045672C" w:rsidP="00F37435">
      <w:pPr>
        <w:jc w:val="both"/>
        <w:rPr>
          <w:lang w:val="es-ES"/>
        </w:rPr>
      </w:pPr>
      <w:r>
        <w:rPr>
          <w:lang w:val="es-ES"/>
        </w:rPr>
        <w:t xml:space="preserve">A esta población se le aplicó un cuestionario destinado a medir las prácticas de gestión del conocimiento </w:t>
      </w:r>
      <w:r w:rsidR="000F610B">
        <w:rPr>
          <w:lang w:val="es-ES"/>
        </w:rPr>
        <w:t xml:space="preserve">que </w:t>
      </w:r>
      <w:r>
        <w:rPr>
          <w:lang w:val="es-ES"/>
        </w:rPr>
        <w:t>se divide en 4 módulos. Las temáticas evaluadas por estos módulos fueron: conocimientos, organización, gestión y tecnología.</w:t>
      </w:r>
      <w:r w:rsidR="000F610B">
        <w:rPr>
          <w:lang w:val="es-ES"/>
        </w:rPr>
        <w:t xml:space="preserve"> </w:t>
      </w:r>
      <w:r>
        <w:rPr>
          <w:lang w:val="es-ES"/>
        </w:rPr>
        <w:t xml:space="preserve">El módulo de conocimientos consta de </w:t>
      </w:r>
      <w:r w:rsidR="000F610B">
        <w:rPr>
          <w:lang w:val="es-ES"/>
        </w:rPr>
        <w:t>13</w:t>
      </w:r>
      <w:r>
        <w:rPr>
          <w:lang w:val="es-ES"/>
        </w:rPr>
        <w:t xml:space="preserve"> pr</w:t>
      </w:r>
      <w:r w:rsidR="00CC7FB2">
        <w:rPr>
          <w:lang w:val="es-ES"/>
        </w:rPr>
        <w:t>eguntas</w:t>
      </w:r>
      <w:r w:rsidR="000F610B">
        <w:rPr>
          <w:lang w:val="es-ES"/>
        </w:rPr>
        <w:t xml:space="preserve"> e</w:t>
      </w:r>
      <w:r w:rsidR="00CC7FB2">
        <w:rPr>
          <w:lang w:val="es-ES"/>
        </w:rPr>
        <w:t>n las cuales se mid</w:t>
      </w:r>
      <w:r w:rsidR="00B41C12">
        <w:rPr>
          <w:lang w:val="es-ES"/>
        </w:rPr>
        <w:t>ieron</w:t>
      </w:r>
      <w:r w:rsidR="00CC7FB2">
        <w:rPr>
          <w:lang w:val="es-ES"/>
        </w:rPr>
        <w:t xml:space="preserve"> las formas de adquisición de conocimiento internas o externas a la </w:t>
      </w:r>
      <w:r w:rsidR="00C86538">
        <w:rPr>
          <w:lang w:val="es-ES"/>
        </w:rPr>
        <w:t>organización,</w:t>
      </w:r>
      <w:r w:rsidR="000F610B">
        <w:rPr>
          <w:lang w:val="es-ES"/>
        </w:rPr>
        <w:t xml:space="preserve"> </w:t>
      </w:r>
      <w:r w:rsidR="00CC7FB2">
        <w:rPr>
          <w:lang w:val="es-ES"/>
        </w:rPr>
        <w:t>transferencia, almacenamiento, beneficio</w:t>
      </w:r>
      <w:r w:rsidR="00A25F9F">
        <w:rPr>
          <w:lang w:val="es-ES"/>
        </w:rPr>
        <w:t xml:space="preserve"> y</w:t>
      </w:r>
      <w:r w:rsidR="00CC7FB2">
        <w:rPr>
          <w:lang w:val="es-ES"/>
        </w:rPr>
        <w:t xml:space="preserve"> protección del conocimiento generado.</w:t>
      </w:r>
    </w:p>
    <w:p w:rsidR="00CC7FB2" w:rsidRDefault="00CC7FB2" w:rsidP="00F37435">
      <w:pPr>
        <w:jc w:val="both"/>
        <w:rPr>
          <w:lang w:val="es-ES"/>
        </w:rPr>
      </w:pPr>
    </w:p>
    <w:p w:rsidR="0045672C" w:rsidRDefault="0045672C" w:rsidP="0045672C">
      <w:pPr>
        <w:jc w:val="both"/>
        <w:rPr>
          <w:lang w:val="es-ES"/>
        </w:rPr>
      </w:pPr>
      <w:r>
        <w:rPr>
          <w:lang w:val="es-ES"/>
        </w:rPr>
        <w:t xml:space="preserve">El módulo de organización consta de </w:t>
      </w:r>
      <w:r w:rsidR="004E0B4B">
        <w:rPr>
          <w:lang w:val="es-ES"/>
        </w:rPr>
        <w:t xml:space="preserve">31 </w:t>
      </w:r>
      <w:r>
        <w:rPr>
          <w:lang w:val="es-ES"/>
        </w:rPr>
        <w:t>preguntas</w:t>
      </w:r>
      <w:r w:rsidR="000C4491">
        <w:rPr>
          <w:lang w:val="es-ES"/>
        </w:rPr>
        <w:t xml:space="preserve"> relacionadas con </w:t>
      </w:r>
      <w:r w:rsidR="00847990">
        <w:rPr>
          <w:lang w:val="es-ES"/>
        </w:rPr>
        <w:t xml:space="preserve">las prácticas de gestión del conocimiento en las </w:t>
      </w:r>
      <w:r w:rsidR="000C4491">
        <w:rPr>
          <w:lang w:val="es-ES"/>
        </w:rPr>
        <w:t>organizaciones,</w:t>
      </w:r>
      <w:r w:rsidR="00847990">
        <w:rPr>
          <w:lang w:val="es-ES"/>
        </w:rPr>
        <w:t xml:space="preserve"> </w:t>
      </w:r>
      <w:r w:rsidR="000C4491">
        <w:rPr>
          <w:lang w:val="es-ES"/>
        </w:rPr>
        <w:t xml:space="preserve">así </w:t>
      </w:r>
      <w:r w:rsidR="00847990">
        <w:rPr>
          <w:lang w:val="es-ES"/>
        </w:rPr>
        <w:t xml:space="preserve">como su implementación en </w:t>
      </w:r>
      <w:r w:rsidR="00200203">
        <w:rPr>
          <w:lang w:val="es-ES"/>
        </w:rPr>
        <w:t>los</w:t>
      </w:r>
      <w:r w:rsidR="00847990">
        <w:rPr>
          <w:lang w:val="es-ES"/>
        </w:rPr>
        <w:t xml:space="preserve"> plan</w:t>
      </w:r>
      <w:r w:rsidR="00200203">
        <w:rPr>
          <w:lang w:val="es-ES"/>
        </w:rPr>
        <w:t>es</w:t>
      </w:r>
      <w:r w:rsidR="00847990">
        <w:rPr>
          <w:lang w:val="es-ES"/>
        </w:rPr>
        <w:t xml:space="preserve"> estratégico</w:t>
      </w:r>
      <w:r w:rsidR="00200203">
        <w:rPr>
          <w:lang w:val="es-ES"/>
        </w:rPr>
        <w:t>s</w:t>
      </w:r>
      <w:r w:rsidR="00847990">
        <w:rPr>
          <w:lang w:val="es-ES"/>
        </w:rPr>
        <w:t xml:space="preserve">, </w:t>
      </w:r>
      <w:r w:rsidR="00200203">
        <w:rPr>
          <w:lang w:val="es-ES"/>
        </w:rPr>
        <w:t xml:space="preserve">nivel </w:t>
      </w:r>
      <w:r w:rsidR="00200203">
        <w:rPr>
          <w:lang w:val="es-ES"/>
        </w:rPr>
        <w:lastRenderedPageBreak/>
        <w:t xml:space="preserve">de conocimiento en prácticas de gestión del conocimiento por el </w:t>
      </w:r>
      <w:r w:rsidR="00847990">
        <w:rPr>
          <w:lang w:val="es-ES"/>
        </w:rPr>
        <w:t xml:space="preserve">personal </w:t>
      </w:r>
      <w:r w:rsidR="00200203">
        <w:rPr>
          <w:lang w:val="es-ES"/>
        </w:rPr>
        <w:t>de la empresa</w:t>
      </w:r>
      <w:r w:rsidR="00847990">
        <w:rPr>
          <w:lang w:val="es-ES"/>
        </w:rPr>
        <w:t>, cambios en pro de implementar dichas prácticas</w:t>
      </w:r>
      <w:r w:rsidR="000C4491">
        <w:rPr>
          <w:lang w:val="es-ES"/>
        </w:rPr>
        <w:t xml:space="preserve">, </w:t>
      </w:r>
      <w:r w:rsidR="00200203">
        <w:rPr>
          <w:lang w:val="es-ES"/>
        </w:rPr>
        <w:t xml:space="preserve">facilidades de </w:t>
      </w:r>
      <w:r w:rsidR="000C4491">
        <w:rPr>
          <w:lang w:val="es-ES"/>
        </w:rPr>
        <w:t>c</w:t>
      </w:r>
      <w:r w:rsidR="00847990">
        <w:rPr>
          <w:lang w:val="es-ES"/>
        </w:rPr>
        <w:t>apacitación</w:t>
      </w:r>
      <w:r w:rsidR="000C4491">
        <w:rPr>
          <w:lang w:val="es-ES"/>
        </w:rPr>
        <w:t xml:space="preserve"> de</w:t>
      </w:r>
      <w:r w:rsidR="00200203">
        <w:rPr>
          <w:lang w:val="es-ES"/>
        </w:rPr>
        <w:t>l</w:t>
      </w:r>
      <w:r w:rsidR="000C4491">
        <w:rPr>
          <w:lang w:val="es-ES"/>
        </w:rPr>
        <w:t xml:space="preserve"> personal</w:t>
      </w:r>
      <w:r w:rsidR="00847990">
        <w:rPr>
          <w:lang w:val="es-ES"/>
        </w:rPr>
        <w:t>, espacios, incentivos</w:t>
      </w:r>
      <w:r w:rsidR="000C4491">
        <w:rPr>
          <w:lang w:val="es-ES"/>
        </w:rPr>
        <w:t xml:space="preserve"> y medios de</w:t>
      </w:r>
      <w:r w:rsidR="00847990">
        <w:rPr>
          <w:lang w:val="es-ES"/>
        </w:rPr>
        <w:t xml:space="preserve"> comunicación.</w:t>
      </w:r>
    </w:p>
    <w:p w:rsidR="00847990" w:rsidRDefault="00847990" w:rsidP="0045672C">
      <w:pPr>
        <w:jc w:val="both"/>
        <w:rPr>
          <w:lang w:val="es-ES"/>
        </w:rPr>
      </w:pPr>
    </w:p>
    <w:p w:rsidR="00BB72FF" w:rsidRDefault="005730A3" w:rsidP="00BB72FF">
      <w:pPr>
        <w:jc w:val="both"/>
        <w:rPr>
          <w:lang w:val="es-ES"/>
        </w:rPr>
      </w:pPr>
      <w:r>
        <w:rPr>
          <w:lang w:val="es-ES"/>
        </w:rPr>
        <w:t>Por otro lado</w:t>
      </w:r>
      <w:r w:rsidR="006A7EC9">
        <w:rPr>
          <w:lang w:val="es-ES"/>
        </w:rPr>
        <w:t>,</w:t>
      </w:r>
      <w:r>
        <w:rPr>
          <w:lang w:val="es-ES"/>
        </w:rPr>
        <w:t xml:space="preserve"> e</w:t>
      </w:r>
      <w:r w:rsidR="0045672C">
        <w:rPr>
          <w:lang w:val="es-ES"/>
        </w:rPr>
        <w:t>l módulo de gestión consta de</w:t>
      </w:r>
      <w:r>
        <w:rPr>
          <w:lang w:val="es-ES"/>
        </w:rPr>
        <w:t xml:space="preserve"> 7</w:t>
      </w:r>
      <w:r w:rsidR="0045672C">
        <w:rPr>
          <w:lang w:val="es-ES"/>
        </w:rPr>
        <w:t xml:space="preserve"> preguntas</w:t>
      </w:r>
      <w:r w:rsidR="006A7EC9">
        <w:rPr>
          <w:lang w:val="es-ES"/>
        </w:rPr>
        <w:t>. Aquí</w:t>
      </w:r>
      <w:r w:rsidR="0045672C">
        <w:rPr>
          <w:lang w:val="es-ES"/>
        </w:rPr>
        <w:t xml:space="preserve"> se mide</w:t>
      </w:r>
      <w:r w:rsidR="006A7EC9">
        <w:rPr>
          <w:lang w:val="es-ES"/>
        </w:rPr>
        <w:t xml:space="preserve"> la</w:t>
      </w:r>
      <w:r w:rsidR="0045672C">
        <w:rPr>
          <w:lang w:val="es-ES"/>
        </w:rPr>
        <w:t xml:space="preserve"> </w:t>
      </w:r>
      <w:r w:rsidR="00431324">
        <w:rPr>
          <w:lang w:val="es-ES"/>
        </w:rPr>
        <w:t>producción</w:t>
      </w:r>
      <w:r w:rsidR="0073332B">
        <w:rPr>
          <w:lang w:val="es-ES"/>
        </w:rPr>
        <w:t xml:space="preserve"> y </w:t>
      </w:r>
      <w:r w:rsidR="00431324">
        <w:rPr>
          <w:lang w:val="es-ES"/>
        </w:rPr>
        <w:t>adquisición de conocimiento</w:t>
      </w:r>
      <w:r w:rsidR="003046D1">
        <w:rPr>
          <w:lang w:val="es-ES"/>
        </w:rPr>
        <w:t xml:space="preserve"> y</w:t>
      </w:r>
      <w:r w:rsidR="00431324">
        <w:rPr>
          <w:lang w:val="es-ES"/>
        </w:rPr>
        <w:t xml:space="preserve"> uso de recursos</w:t>
      </w:r>
      <w:r w:rsidR="003046D1">
        <w:rPr>
          <w:lang w:val="es-ES"/>
        </w:rPr>
        <w:t xml:space="preserve"> destinados a la gestión del conocimiento</w:t>
      </w:r>
      <w:r w:rsidR="00431324">
        <w:rPr>
          <w:lang w:val="es-ES"/>
        </w:rPr>
        <w:t>.</w:t>
      </w:r>
      <w:r>
        <w:rPr>
          <w:lang w:val="es-ES"/>
        </w:rPr>
        <w:t xml:space="preserve"> </w:t>
      </w:r>
      <w:r w:rsidR="003046D1">
        <w:rPr>
          <w:lang w:val="es-ES"/>
        </w:rPr>
        <w:t>F</w:t>
      </w:r>
      <w:r>
        <w:rPr>
          <w:lang w:val="es-ES"/>
        </w:rPr>
        <w:t>inalmente</w:t>
      </w:r>
      <w:r w:rsidR="003046D1">
        <w:rPr>
          <w:lang w:val="es-ES"/>
        </w:rPr>
        <w:t>,</w:t>
      </w:r>
      <w:r>
        <w:rPr>
          <w:lang w:val="es-ES"/>
        </w:rPr>
        <w:t xml:space="preserve"> e</w:t>
      </w:r>
      <w:r w:rsidR="0045672C">
        <w:rPr>
          <w:lang w:val="es-ES"/>
        </w:rPr>
        <w:t xml:space="preserve">l módulo de tecnología consta de </w:t>
      </w:r>
      <w:r w:rsidR="003046D1">
        <w:rPr>
          <w:lang w:val="es-ES"/>
        </w:rPr>
        <w:t>15</w:t>
      </w:r>
      <w:r w:rsidR="0045672C">
        <w:rPr>
          <w:lang w:val="es-ES"/>
        </w:rPr>
        <w:t xml:space="preserve"> preguntas</w:t>
      </w:r>
      <w:r w:rsidR="003046D1">
        <w:rPr>
          <w:lang w:val="es-ES"/>
        </w:rPr>
        <w:t xml:space="preserve"> relacionadas con</w:t>
      </w:r>
      <w:r w:rsidR="0045672C">
        <w:rPr>
          <w:lang w:val="es-ES"/>
        </w:rPr>
        <w:t xml:space="preserve"> </w:t>
      </w:r>
      <w:r w:rsidR="00830AA4">
        <w:rPr>
          <w:lang w:val="es-ES"/>
        </w:rPr>
        <w:t>el uso de recursos tecnológicos y capacitación por parte de los empleados en la organización</w:t>
      </w:r>
      <w:r w:rsidR="003046D1">
        <w:rPr>
          <w:lang w:val="es-ES"/>
        </w:rPr>
        <w:t xml:space="preserve"> en asuntos relacionados con la tecnología y su uso en las prácticas de gestión del conocimiento</w:t>
      </w:r>
      <w:r w:rsidR="00830AA4">
        <w:rPr>
          <w:lang w:val="es-ES"/>
        </w:rPr>
        <w:t>.</w:t>
      </w:r>
    </w:p>
    <w:p w:rsidR="00BB72FF" w:rsidRDefault="00BB72FF" w:rsidP="00F37435">
      <w:pPr>
        <w:jc w:val="both"/>
        <w:rPr>
          <w:lang w:val="es-ES"/>
        </w:rPr>
      </w:pPr>
    </w:p>
    <w:p w:rsidR="009F460B" w:rsidRDefault="009F460B" w:rsidP="009F460B">
      <w:pPr>
        <w:jc w:val="both"/>
        <w:rPr>
          <w:lang w:val="es-ES"/>
        </w:rPr>
      </w:pPr>
      <w:r>
        <w:rPr>
          <w:lang w:val="es-ES"/>
        </w:rPr>
        <w:t>Sobre estas variables se realizó una depuración de la base de datos, excluyendo de los análisis estadísticos las variables que presentaban:</w:t>
      </w:r>
    </w:p>
    <w:p w:rsidR="009F460B" w:rsidRDefault="009F460B" w:rsidP="009F460B">
      <w:pPr>
        <w:jc w:val="both"/>
        <w:rPr>
          <w:lang w:val="es-ES"/>
        </w:rPr>
      </w:pPr>
    </w:p>
    <w:p w:rsidR="00B34F01" w:rsidRPr="009F460B" w:rsidRDefault="00B34F01" w:rsidP="009F460B">
      <w:pPr>
        <w:pStyle w:val="ListParagraph"/>
        <w:numPr>
          <w:ilvl w:val="0"/>
          <w:numId w:val="1"/>
        </w:numPr>
        <w:jc w:val="both"/>
        <w:rPr>
          <w:lang w:val="es-ES"/>
        </w:rPr>
      </w:pPr>
      <w:r w:rsidRPr="009F460B">
        <w:rPr>
          <w:lang w:val="es-ES"/>
        </w:rPr>
        <w:t>La misma</w:t>
      </w:r>
      <w:r w:rsidR="003938E3" w:rsidRPr="009F460B">
        <w:rPr>
          <w:lang w:val="es-ES"/>
        </w:rPr>
        <w:t xml:space="preserve"> categoría de</w:t>
      </w:r>
      <w:r w:rsidRPr="009F460B">
        <w:rPr>
          <w:lang w:val="es-ES"/>
        </w:rPr>
        <w:t xml:space="preserve"> respuesta para todos los encuestados. Estas variables no poseen variabilidad</w:t>
      </w:r>
      <w:r w:rsidR="009F460B">
        <w:rPr>
          <w:lang w:val="es-ES"/>
        </w:rPr>
        <w:t xml:space="preserve"> o información</w:t>
      </w:r>
      <w:r w:rsidRPr="009F460B">
        <w:rPr>
          <w:lang w:val="es-ES"/>
        </w:rPr>
        <w:t>, razón por la cual no aportan en los análisis estadísticos posteriores.</w:t>
      </w:r>
    </w:p>
    <w:p w:rsidR="00B34F01" w:rsidRDefault="009F460B" w:rsidP="001320FC">
      <w:pPr>
        <w:pStyle w:val="ListParagraph"/>
        <w:numPr>
          <w:ilvl w:val="0"/>
          <w:numId w:val="1"/>
        </w:numPr>
        <w:jc w:val="both"/>
        <w:rPr>
          <w:lang w:val="es-ES"/>
        </w:rPr>
      </w:pPr>
      <w:r>
        <w:rPr>
          <w:lang w:val="es-ES"/>
        </w:rPr>
        <w:t>Preguntas</w:t>
      </w:r>
      <w:r w:rsidR="00B34F01">
        <w:rPr>
          <w:lang w:val="es-ES"/>
        </w:rPr>
        <w:t xml:space="preserve"> abierta</w:t>
      </w:r>
      <w:r>
        <w:rPr>
          <w:lang w:val="es-ES"/>
        </w:rPr>
        <w:t>s</w:t>
      </w:r>
      <w:r w:rsidR="001320FC">
        <w:rPr>
          <w:lang w:val="es-ES"/>
        </w:rPr>
        <w:t xml:space="preserve"> en </w:t>
      </w:r>
      <w:r>
        <w:rPr>
          <w:lang w:val="es-ES"/>
        </w:rPr>
        <w:t>los ítems</w:t>
      </w:r>
      <w:r w:rsidR="001320FC">
        <w:rPr>
          <w:lang w:val="es-ES"/>
        </w:rPr>
        <w:t xml:space="preserve"> de respuesta múltiple</w:t>
      </w:r>
      <w:r w:rsidR="00B34F01">
        <w:rPr>
          <w:lang w:val="es-ES"/>
        </w:rPr>
        <w:t xml:space="preserve"> para que el encuestado pueda completarla de forma libre.</w:t>
      </w:r>
      <w:r w:rsidR="001320FC">
        <w:rPr>
          <w:lang w:val="es-ES"/>
        </w:rPr>
        <w:t xml:space="preserve"> </w:t>
      </w:r>
      <w:r>
        <w:rPr>
          <w:lang w:val="es-ES"/>
        </w:rPr>
        <w:t>Dado que l</w:t>
      </w:r>
      <w:r w:rsidR="001320FC">
        <w:rPr>
          <w:lang w:val="es-ES"/>
        </w:rPr>
        <w:t>as</w:t>
      </w:r>
      <w:r w:rsidR="00B34F01">
        <w:rPr>
          <w:lang w:val="es-ES"/>
        </w:rPr>
        <w:t xml:space="preserve"> respuestas </w:t>
      </w:r>
      <w:r>
        <w:rPr>
          <w:lang w:val="es-ES"/>
        </w:rPr>
        <w:t xml:space="preserve">de los encuestados que </w:t>
      </w:r>
      <w:r w:rsidR="00B34F01">
        <w:rPr>
          <w:lang w:val="es-ES"/>
        </w:rPr>
        <w:t xml:space="preserve">acceden a completar esta información </w:t>
      </w:r>
      <w:r>
        <w:rPr>
          <w:lang w:val="es-ES"/>
        </w:rPr>
        <w:t>son</w:t>
      </w:r>
      <w:r w:rsidR="00B34F01">
        <w:rPr>
          <w:lang w:val="es-ES"/>
        </w:rPr>
        <w:t xml:space="preserve"> tan variada</w:t>
      </w:r>
      <w:r>
        <w:rPr>
          <w:lang w:val="es-ES"/>
        </w:rPr>
        <w:t>s</w:t>
      </w:r>
      <w:r w:rsidR="00B34F01">
        <w:rPr>
          <w:lang w:val="es-ES"/>
        </w:rPr>
        <w:t>, no se puede alcanzar una representatividad suficiente para ser analizada de forma cuantitativa.</w:t>
      </w:r>
    </w:p>
    <w:p w:rsidR="00B34F01" w:rsidRPr="00B34F01" w:rsidRDefault="009F460B" w:rsidP="00B34F01">
      <w:pPr>
        <w:pStyle w:val="ListParagraph"/>
        <w:numPr>
          <w:ilvl w:val="0"/>
          <w:numId w:val="1"/>
        </w:numPr>
        <w:jc w:val="both"/>
        <w:rPr>
          <w:lang w:val="es-ES"/>
        </w:rPr>
      </w:pPr>
      <w:r>
        <w:rPr>
          <w:lang w:val="es-ES"/>
        </w:rPr>
        <w:t>Preguntas</w:t>
      </w:r>
      <w:r w:rsidR="005D21D5">
        <w:rPr>
          <w:lang w:val="es-ES"/>
        </w:rPr>
        <w:t xml:space="preserve"> de</w:t>
      </w:r>
      <w:r w:rsidR="002B1A47">
        <w:rPr>
          <w:lang w:val="es-ES"/>
        </w:rPr>
        <w:t xml:space="preserve"> caracterización de la encuesta</w:t>
      </w:r>
      <w:r>
        <w:rPr>
          <w:lang w:val="es-ES"/>
        </w:rPr>
        <w:t>.</w:t>
      </w:r>
      <w:r w:rsidR="002B1A47">
        <w:rPr>
          <w:lang w:val="es-ES"/>
        </w:rPr>
        <w:t xml:space="preserve"> </w:t>
      </w:r>
      <w:r>
        <w:rPr>
          <w:lang w:val="es-ES"/>
        </w:rPr>
        <w:t>E</w:t>
      </w:r>
      <w:r w:rsidR="002B1A47">
        <w:rPr>
          <w:lang w:val="es-ES"/>
        </w:rPr>
        <w:t xml:space="preserve">jemplo: nombre del encuestador, </w:t>
      </w:r>
      <w:r w:rsidR="00C02028">
        <w:rPr>
          <w:lang w:val="es-ES"/>
        </w:rPr>
        <w:t xml:space="preserve">genero del entrevistado, rango de edad del anterior, años que lleva trabajando en la empresa. Estas variables no ofrecen ningún </w:t>
      </w:r>
      <w:r w:rsidR="00916525">
        <w:rPr>
          <w:lang w:val="es-ES"/>
        </w:rPr>
        <w:t>valor agregado en el análisis de datos.</w:t>
      </w:r>
    </w:p>
    <w:p w:rsidR="00916525" w:rsidRDefault="00916525" w:rsidP="00F37435">
      <w:pPr>
        <w:jc w:val="both"/>
        <w:rPr>
          <w:lang w:val="es-ES"/>
        </w:rPr>
      </w:pPr>
    </w:p>
    <w:p w:rsidR="00E3015E" w:rsidRDefault="00E3015E" w:rsidP="00F37435">
      <w:pPr>
        <w:jc w:val="both"/>
        <w:rPr>
          <w:lang w:val="es-ES"/>
        </w:rPr>
      </w:pPr>
    </w:p>
    <w:p w:rsidR="00F37435" w:rsidRPr="008B517F" w:rsidRDefault="00F37435" w:rsidP="00F62609">
      <w:pPr>
        <w:pStyle w:val="Heading2"/>
        <w:rPr>
          <w:b/>
          <w:sz w:val="40"/>
          <w:lang w:val="es-ES"/>
        </w:rPr>
      </w:pPr>
      <w:bookmarkStart w:id="3" w:name="_Toc512458915"/>
      <w:r w:rsidRPr="008B517F">
        <w:rPr>
          <w:b/>
          <w:sz w:val="40"/>
          <w:lang w:val="es-ES"/>
        </w:rPr>
        <w:t>Análisis descriptivo de datos</w:t>
      </w:r>
      <w:bookmarkEnd w:id="3"/>
    </w:p>
    <w:p w:rsidR="00F37435" w:rsidRDefault="00F37435" w:rsidP="00F37435">
      <w:pPr>
        <w:jc w:val="both"/>
        <w:rPr>
          <w:lang w:val="es-ES"/>
        </w:rPr>
      </w:pPr>
    </w:p>
    <w:p w:rsidR="005C11FD" w:rsidRDefault="005C11FD" w:rsidP="00F37435">
      <w:pPr>
        <w:jc w:val="both"/>
        <w:rPr>
          <w:lang w:val="es-ES"/>
        </w:rPr>
      </w:pPr>
      <w:r>
        <w:rPr>
          <w:lang w:val="es-ES"/>
        </w:rPr>
        <w:t>De manera inicial, se estudia la</w:t>
      </w:r>
      <w:r w:rsidR="00AB46E9">
        <w:rPr>
          <w:lang w:val="es-ES"/>
        </w:rPr>
        <w:t xml:space="preserve"> composición de las empresas </w:t>
      </w:r>
      <w:r>
        <w:rPr>
          <w:lang w:val="es-ES"/>
        </w:rPr>
        <w:t xml:space="preserve">en términos del modo principal de empleo. </w:t>
      </w:r>
      <w:r w:rsidR="00EB6BCE">
        <w:rPr>
          <w:lang w:val="es-ES"/>
        </w:rPr>
        <w:t>Aquí se tiene que un 70.6% de las empresas analizadas tienen empleados de ambos tipos (directos e indirectos), seguido de un 27.5% que poseen únicamente empleados directos. Es importante destacar que el volumen de empleados directos es mucho mayor en comparación con el número de empleados indirectos.</w:t>
      </w:r>
      <w:r w:rsidR="00066DE9">
        <w:rPr>
          <w:lang w:val="es-ES"/>
        </w:rPr>
        <w:t xml:space="preserve"> Ver Figura 1.</w:t>
      </w:r>
    </w:p>
    <w:p w:rsidR="007141D1" w:rsidRDefault="007141D1" w:rsidP="007141D1">
      <w:pPr>
        <w:jc w:val="both"/>
        <w:rPr>
          <w:lang w:val="es-ES"/>
        </w:rPr>
      </w:pPr>
    </w:p>
    <w:p w:rsidR="003A72A5" w:rsidRDefault="00583C81" w:rsidP="003A72A5">
      <w:pPr>
        <w:keepNext/>
        <w:jc w:val="both"/>
      </w:pPr>
      <w:r>
        <w:rPr>
          <w:noProof/>
          <w:lang w:val="es-ES"/>
        </w:rPr>
        <w:lastRenderedPageBreak/>
        <w:drawing>
          <wp:inline distT="0" distB="0" distL="0" distR="0">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cuencies_employmen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7141D1" w:rsidRPr="003A72A5" w:rsidRDefault="003A72A5" w:rsidP="003A72A5">
      <w:pPr>
        <w:pStyle w:val="Caption"/>
        <w:jc w:val="center"/>
        <w:rPr>
          <w:lang w:val="es-ES"/>
        </w:rPr>
      </w:pPr>
      <w:r w:rsidRPr="003A72A5">
        <w:rPr>
          <w:lang w:val="es-ES"/>
        </w:rPr>
        <w:t>Figur</w:t>
      </w:r>
      <w:r>
        <w:rPr>
          <w:lang w:val="es-ES"/>
        </w:rPr>
        <w:t>a</w:t>
      </w:r>
      <w:r w:rsidRPr="003A72A5">
        <w:rPr>
          <w:lang w:val="es-ES"/>
        </w:rPr>
        <w:t xml:space="preserve"> </w:t>
      </w:r>
      <w:r>
        <w:fldChar w:fldCharType="begin"/>
      </w:r>
      <w:r w:rsidRPr="003A72A5">
        <w:rPr>
          <w:lang w:val="es-ES"/>
        </w:rPr>
        <w:instrText xml:space="preserve"> SEQ Figure \* ARABIC </w:instrText>
      </w:r>
      <w:r>
        <w:fldChar w:fldCharType="separate"/>
      </w:r>
      <w:r w:rsidR="005C67B8">
        <w:rPr>
          <w:noProof/>
          <w:lang w:val="es-ES"/>
        </w:rPr>
        <w:t>1</w:t>
      </w:r>
      <w:r>
        <w:fldChar w:fldCharType="end"/>
      </w:r>
      <w:r w:rsidRPr="003A72A5">
        <w:rPr>
          <w:lang w:val="es-ES"/>
        </w:rPr>
        <w:t>. Tipo y número de empleados</w:t>
      </w:r>
    </w:p>
    <w:p w:rsidR="00AB0604" w:rsidRDefault="00AB0604" w:rsidP="00F37435">
      <w:pPr>
        <w:jc w:val="both"/>
        <w:rPr>
          <w:lang w:val="es-ES"/>
        </w:rPr>
      </w:pPr>
    </w:p>
    <w:p w:rsidR="00675483" w:rsidRDefault="007D408E" w:rsidP="007D408E">
      <w:pPr>
        <w:jc w:val="both"/>
        <w:rPr>
          <w:lang w:val="es-ES"/>
        </w:rPr>
      </w:pPr>
      <w:r>
        <w:rPr>
          <w:lang w:val="es-ES"/>
        </w:rPr>
        <w:t>Adicionalmente, las 51 empresas de la muestra se clasificaron</w:t>
      </w:r>
      <w:r w:rsidR="009603F4">
        <w:rPr>
          <w:lang w:val="es-ES"/>
        </w:rPr>
        <w:t xml:space="preserve"> según diversas fuentes</w:t>
      </w:r>
      <w:r>
        <w:rPr>
          <w:lang w:val="es-ES"/>
        </w:rPr>
        <w:t xml:space="preserve"> como se observa en la Figura 2. </w:t>
      </w:r>
      <w:r w:rsidR="009603F4">
        <w:rPr>
          <w:lang w:val="es-ES"/>
        </w:rPr>
        <w:t>En primera medida l</w:t>
      </w:r>
      <w:r w:rsidR="000D72D3">
        <w:rPr>
          <w:lang w:val="es-ES"/>
        </w:rPr>
        <w:t xml:space="preserve">a </w:t>
      </w:r>
      <w:r w:rsidR="00AB0604">
        <w:rPr>
          <w:lang w:val="es-ES"/>
        </w:rPr>
        <w:t>mayoría de las empresas analizadas no se clasifican en ninguna categoría</w:t>
      </w:r>
      <w:r w:rsidR="009603F4">
        <w:rPr>
          <w:lang w:val="es-ES"/>
        </w:rPr>
        <w:t xml:space="preserve"> (31%)</w:t>
      </w:r>
      <w:r w:rsidR="00AB0604">
        <w:rPr>
          <w:lang w:val="es-ES"/>
        </w:rPr>
        <w:t xml:space="preserve">. </w:t>
      </w:r>
      <w:r w:rsidR="009603F4">
        <w:rPr>
          <w:lang w:val="es-ES"/>
        </w:rPr>
        <w:t xml:space="preserve">Por otro lado, cerca de </w:t>
      </w:r>
      <w:r w:rsidR="00F21EC0">
        <w:rPr>
          <w:lang w:val="es-ES"/>
        </w:rPr>
        <w:t xml:space="preserve">un </w:t>
      </w:r>
      <w:r w:rsidR="009603F4">
        <w:rPr>
          <w:lang w:val="es-ES"/>
        </w:rPr>
        <w:t>20</w:t>
      </w:r>
      <w:r w:rsidR="00F21EC0">
        <w:rPr>
          <w:lang w:val="es-ES"/>
        </w:rPr>
        <w:t>%</w:t>
      </w:r>
      <w:r w:rsidR="00AB0604">
        <w:rPr>
          <w:lang w:val="es-ES"/>
        </w:rPr>
        <w:t xml:space="preserve"> </w:t>
      </w:r>
      <w:r w:rsidR="00F21EC0">
        <w:rPr>
          <w:lang w:val="es-ES"/>
        </w:rPr>
        <w:t xml:space="preserve">de las empresas </w:t>
      </w:r>
      <w:r w:rsidR="00AB0604">
        <w:rPr>
          <w:lang w:val="es-ES"/>
        </w:rPr>
        <w:t>se cataloga</w:t>
      </w:r>
      <w:r w:rsidR="00F21EC0">
        <w:rPr>
          <w:lang w:val="es-ES"/>
        </w:rPr>
        <w:t>n como</w:t>
      </w:r>
      <w:r w:rsidR="00AB0604">
        <w:rPr>
          <w:lang w:val="es-ES"/>
        </w:rPr>
        <w:t xml:space="preserve"> altamente innovadoras </w:t>
      </w:r>
      <w:r w:rsidR="00F21EC0">
        <w:rPr>
          <w:lang w:val="es-ES"/>
        </w:rPr>
        <w:t>según</w:t>
      </w:r>
      <w:r w:rsidR="00AB0604">
        <w:rPr>
          <w:lang w:val="es-ES"/>
        </w:rPr>
        <w:t xml:space="preserve"> Colciencias. Seguido de</w:t>
      </w:r>
      <w:r w:rsidR="00F21EC0">
        <w:rPr>
          <w:lang w:val="es-ES"/>
        </w:rPr>
        <w:t xml:space="preserve"> un </w:t>
      </w:r>
      <w:r w:rsidR="009603F4">
        <w:rPr>
          <w:lang w:val="es-ES"/>
        </w:rPr>
        <w:t>12</w:t>
      </w:r>
      <w:r w:rsidR="00F21EC0">
        <w:rPr>
          <w:lang w:val="es-ES"/>
        </w:rPr>
        <w:t xml:space="preserve">% </w:t>
      </w:r>
      <w:r w:rsidR="00AB0604">
        <w:rPr>
          <w:lang w:val="es-ES"/>
        </w:rPr>
        <w:t>las</w:t>
      </w:r>
      <w:r w:rsidR="00F21EC0">
        <w:rPr>
          <w:lang w:val="es-ES"/>
        </w:rPr>
        <w:t xml:space="preserve"> cuales se clasifican en las</w:t>
      </w:r>
      <w:r w:rsidR="00AB0604">
        <w:rPr>
          <w:lang w:val="es-ES"/>
        </w:rPr>
        <w:t xml:space="preserve"> 500 empresas más grandes de Colombia según la revista </w:t>
      </w:r>
      <w:r w:rsidR="00A722E5">
        <w:rPr>
          <w:lang w:val="es-ES"/>
        </w:rPr>
        <w:t>D</w:t>
      </w:r>
      <w:r w:rsidR="00AB0604">
        <w:rPr>
          <w:lang w:val="es-ES"/>
        </w:rPr>
        <w:t>inero</w:t>
      </w:r>
      <w:r w:rsidR="00A722E5">
        <w:rPr>
          <w:lang w:val="es-ES"/>
        </w:rPr>
        <w:t>.</w:t>
      </w:r>
      <w:r w:rsidR="009603F4">
        <w:rPr>
          <w:lang w:val="es-ES"/>
        </w:rPr>
        <w:t xml:space="preserve"> Para análisis posteriores se utilizará la siguiente clasificación (ver Tabla 2).</w:t>
      </w:r>
    </w:p>
    <w:p w:rsidR="000D72D3" w:rsidRDefault="000D72D3" w:rsidP="00F37435">
      <w:pPr>
        <w:jc w:val="both"/>
        <w:rPr>
          <w:lang w:val="es-ES"/>
        </w:rPr>
      </w:pPr>
    </w:p>
    <w:p w:rsidR="00AB0604" w:rsidRDefault="000D72D3" w:rsidP="00AB0604">
      <w:pPr>
        <w:keepNext/>
        <w:jc w:val="both"/>
      </w:pPr>
      <w:r>
        <w:rPr>
          <w:noProof/>
          <w:lang w:val="es-ES"/>
        </w:rPr>
        <w:drawing>
          <wp:inline distT="0" distB="0" distL="0" distR="0">
            <wp:extent cx="59436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cuencies_characterization.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0D72D3" w:rsidRPr="00AB0604" w:rsidRDefault="00AB0604" w:rsidP="00AB0604">
      <w:pPr>
        <w:pStyle w:val="Caption"/>
        <w:jc w:val="center"/>
        <w:rPr>
          <w:lang w:val="es-ES"/>
        </w:rPr>
      </w:pPr>
      <w:r w:rsidRPr="00AB0604">
        <w:rPr>
          <w:lang w:val="es-ES"/>
        </w:rPr>
        <w:t>Figur</w:t>
      </w:r>
      <w:r>
        <w:rPr>
          <w:lang w:val="es-ES"/>
        </w:rPr>
        <w:t>a</w:t>
      </w:r>
      <w:r w:rsidRPr="00AB0604">
        <w:rPr>
          <w:lang w:val="es-ES"/>
        </w:rPr>
        <w:t xml:space="preserve"> </w:t>
      </w:r>
      <w:r>
        <w:fldChar w:fldCharType="begin"/>
      </w:r>
      <w:r w:rsidRPr="00AB0604">
        <w:rPr>
          <w:lang w:val="es-ES"/>
        </w:rPr>
        <w:instrText xml:space="preserve"> SEQ Figure \* ARABIC </w:instrText>
      </w:r>
      <w:r>
        <w:fldChar w:fldCharType="separate"/>
      </w:r>
      <w:r w:rsidR="005C67B8">
        <w:rPr>
          <w:noProof/>
          <w:lang w:val="es-ES"/>
        </w:rPr>
        <w:t>2</w:t>
      </w:r>
      <w:r>
        <w:fldChar w:fldCharType="end"/>
      </w:r>
      <w:r w:rsidRPr="00AB0604">
        <w:rPr>
          <w:lang w:val="es-ES"/>
        </w:rPr>
        <w:t>. Clasificación de las empresas analizadas</w:t>
      </w:r>
    </w:p>
    <w:p w:rsidR="00AB0604" w:rsidRDefault="00AB0604" w:rsidP="00F37435">
      <w:pPr>
        <w:jc w:val="both"/>
        <w:rPr>
          <w:lang w:val="es-ES"/>
        </w:rPr>
      </w:pPr>
    </w:p>
    <w:p w:rsidR="003A2201" w:rsidRPr="003A2201" w:rsidRDefault="003A2201" w:rsidP="003A2201">
      <w:pPr>
        <w:pStyle w:val="Caption"/>
        <w:keepNext/>
        <w:jc w:val="center"/>
        <w:rPr>
          <w:lang w:val="es-ES"/>
        </w:rPr>
      </w:pPr>
      <w:r w:rsidRPr="003A2201">
        <w:rPr>
          <w:lang w:val="es-ES"/>
        </w:rPr>
        <w:t xml:space="preserve">Tabla </w:t>
      </w:r>
      <w:r>
        <w:rPr>
          <w:lang w:val="es-ES"/>
        </w:rPr>
        <w:t>2</w:t>
      </w:r>
      <w:r w:rsidRPr="003A2201">
        <w:rPr>
          <w:lang w:val="es-ES"/>
        </w:rPr>
        <w:t>. Re-clasificación de las empresas</w:t>
      </w:r>
    </w:p>
    <w:tbl>
      <w:tblPr>
        <w:tblStyle w:val="TableGrid"/>
        <w:tblW w:w="0" w:type="auto"/>
        <w:tblLook w:val="04A0" w:firstRow="1" w:lastRow="0" w:firstColumn="1" w:lastColumn="0" w:noHBand="0" w:noVBand="1"/>
      </w:tblPr>
      <w:tblGrid>
        <w:gridCol w:w="3116"/>
        <w:gridCol w:w="3117"/>
        <w:gridCol w:w="3117"/>
      </w:tblGrid>
      <w:tr w:rsidR="009603F4" w:rsidTr="009603F4">
        <w:tc>
          <w:tcPr>
            <w:tcW w:w="3116" w:type="dxa"/>
          </w:tcPr>
          <w:p w:rsidR="009603F4" w:rsidRPr="003A2201" w:rsidRDefault="009603F4" w:rsidP="00F37435">
            <w:pPr>
              <w:jc w:val="both"/>
              <w:rPr>
                <w:b/>
                <w:lang w:val="es-ES"/>
              </w:rPr>
            </w:pPr>
            <w:r w:rsidRPr="003A2201">
              <w:rPr>
                <w:b/>
                <w:lang w:val="es-ES"/>
              </w:rPr>
              <w:t>Grandes empresas</w:t>
            </w:r>
            <w:r w:rsidR="003A2201">
              <w:rPr>
                <w:b/>
                <w:lang w:val="es-ES"/>
              </w:rPr>
              <w:t xml:space="preserve"> (10 empresas)</w:t>
            </w:r>
          </w:p>
        </w:tc>
        <w:tc>
          <w:tcPr>
            <w:tcW w:w="3117" w:type="dxa"/>
          </w:tcPr>
          <w:p w:rsidR="009603F4" w:rsidRPr="003A2201" w:rsidRDefault="009603F4" w:rsidP="00F37435">
            <w:pPr>
              <w:jc w:val="both"/>
              <w:rPr>
                <w:b/>
                <w:lang w:val="es-ES"/>
              </w:rPr>
            </w:pPr>
            <w:r w:rsidRPr="003A2201">
              <w:rPr>
                <w:b/>
                <w:lang w:val="es-ES"/>
              </w:rPr>
              <w:t>Empresas innovadoras</w:t>
            </w:r>
            <w:r w:rsidR="003A2201">
              <w:rPr>
                <w:b/>
                <w:lang w:val="es-ES"/>
              </w:rPr>
              <w:t xml:space="preserve"> (27 empresas)</w:t>
            </w:r>
          </w:p>
        </w:tc>
        <w:tc>
          <w:tcPr>
            <w:tcW w:w="3117" w:type="dxa"/>
          </w:tcPr>
          <w:p w:rsidR="009603F4" w:rsidRPr="003A2201" w:rsidRDefault="009603F4" w:rsidP="00F37435">
            <w:pPr>
              <w:jc w:val="both"/>
              <w:rPr>
                <w:b/>
                <w:lang w:val="es-ES"/>
              </w:rPr>
            </w:pPr>
            <w:r w:rsidRPr="003A2201">
              <w:rPr>
                <w:b/>
                <w:lang w:val="es-ES"/>
              </w:rPr>
              <w:t>Ninguno</w:t>
            </w:r>
            <w:r w:rsidR="003A2201">
              <w:rPr>
                <w:b/>
                <w:lang w:val="es-ES"/>
              </w:rPr>
              <w:t xml:space="preserve"> (14 empresas)</w:t>
            </w:r>
          </w:p>
        </w:tc>
      </w:tr>
      <w:tr w:rsidR="009603F4" w:rsidTr="009603F4">
        <w:tc>
          <w:tcPr>
            <w:tcW w:w="3116" w:type="dxa"/>
          </w:tcPr>
          <w:p w:rsidR="009603F4" w:rsidRDefault="009603F4" w:rsidP="009603F4">
            <w:pPr>
              <w:pStyle w:val="ListParagraph"/>
              <w:numPr>
                <w:ilvl w:val="0"/>
                <w:numId w:val="2"/>
              </w:numPr>
              <w:jc w:val="both"/>
              <w:rPr>
                <w:lang w:val="es-ES"/>
              </w:rPr>
            </w:pPr>
            <w:r w:rsidRPr="009603F4">
              <w:rPr>
                <w:lang w:val="es-ES"/>
              </w:rPr>
              <w:t xml:space="preserve">500 empresas más grandes de Colombia </w:t>
            </w:r>
            <w:r w:rsidRPr="009603F4">
              <w:rPr>
                <w:lang w:val="es-ES"/>
              </w:rPr>
              <w:lastRenderedPageBreak/>
              <w:t>según la revista Dinero</w:t>
            </w:r>
          </w:p>
          <w:p w:rsidR="009603F4" w:rsidRPr="009603F4" w:rsidRDefault="009603F4" w:rsidP="009603F4">
            <w:pPr>
              <w:pStyle w:val="ListParagraph"/>
              <w:numPr>
                <w:ilvl w:val="0"/>
                <w:numId w:val="2"/>
              </w:numPr>
              <w:jc w:val="both"/>
              <w:rPr>
                <w:lang w:val="es-ES"/>
              </w:rPr>
            </w:pPr>
            <w:r>
              <w:rPr>
                <w:lang w:val="es-ES"/>
              </w:rPr>
              <w:t>100 empresas más grandes de Colombia según la revista Semana</w:t>
            </w:r>
          </w:p>
        </w:tc>
        <w:tc>
          <w:tcPr>
            <w:tcW w:w="3117" w:type="dxa"/>
          </w:tcPr>
          <w:p w:rsidR="009603F4" w:rsidRDefault="003A2201" w:rsidP="003A2201">
            <w:pPr>
              <w:pStyle w:val="ListParagraph"/>
              <w:numPr>
                <w:ilvl w:val="0"/>
                <w:numId w:val="2"/>
              </w:numPr>
              <w:jc w:val="both"/>
              <w:rPr>
                <w:lang w:val="es-ES"/>
              </w:rPr>
            </w:pPr>
            <w:r>
              <w:rPr>
                <w:lang w:val="es-ES"/>
              </w:rPr>
              <w:lastRenderedPageBreak/>
              <w:t xml:space="preserve">Listado de empresas lideres en patentes y </w:t>
            </w:r>
            <w:r>
              <w:rPr>
                <w:lang w:val="es-ES"/>
              </w:rPr>
              <w:lastRenderedPageBreak/>
              <w:t>capacitación según la revista Dinero</w:t>
            </w:r>
          </w:p>
          <w:p w:rsidR="003A2201" w:rsidRDefault="003A2201" w:rsidP="003A2201">
            <w:pPr>
              <w:pStyle w:val="ListParagraph"/>
              <w:numPr>
                <w:ilvl w:val="0"/>
                <w:numId w:val="2"/>
              </w:numPr>
              <w:jc w:val="both"/>
              <w:rPr>
                <w:lang w:val="es-ES"/>
              </w:rPr>
            </w:pPr>
            <w:r>
              <w:rPr>
                <w:lang w:val="es-ES"/>
              </w:rPr>
              <w:t>Empresas altamente innovadoras según Colciencias</w:t>
            </w:r>
          </w:p>
          <w:p w:rsidR="003A2201" w:rsidRDefault="003A2201" w:rsidP="003A2201">
            <w:pPr>
              <w:pStyle w:val="ListParagraph"/>
              <w:numPr>
                <w:ilvl w:val="0"/>
                <w:numId w:val="2"/>
              </w:numPr>
              <w:jc w:val="both"/>
              <w:rPr>
                <w:lang w:val="es-ES"/>
              </w:rPr>
            </w:pPr>
            <w:r>
              <w:rPr>
                <w:lang w:val="es-ES"/>
              </w:rPr>
              <w:t>Casos exitosos de innovación según el País</w:t>
            </w:r>
          </w:p>
          <w:p w:rsidR="003A2201" w:rsidRPr="003A2201" w:rsidRDefault="003A2201" w:rsidP="003A2201">
            <w:pPr>
              <w:pStyle w:val="ListParagraph"/>
              <w:numPr>
                <w:ilvl w:val="0"/>
                <w:numId w:val="2"/>
              </w:numPr>
              <w:jc w:val="both"/>
              <w:rPr>
                <w:lang w:val="es-ES"/>
              </w:rPr>
            </w:pPr>
            <w:r>
              <w:rPr>
                <w:lang w:val="es-ES"/>
              </w:rPr>
              <w:t>25 empresas más innovadoras según la revista Dinero</w:t>
            </w:r>
          </w:p>
        </w:tc>
        <w:tc>
          <w:tcPr>
            <w:tcW w:w="3117" w:type="dxa"/>
          </w:tcPr>
          <w:p w:rsidR="009603F4" w:rsidRDefault="003A2201" w:rsidP="00F37435">
            <w:pPr>
              <w:jc w:val="both"/>
              <w:rPr>
                <w:lang w:val="es-ES"/>
              </w:rPr>
            </w:pPr>
            <w:r>
              <w:rPr>
                <w:lang w:val="es-ES"/>
              </w:rPr>
              <w:lastRenderedPageBreak/>
              <w:t>Ninguno</w:t>
            </w:r>
          </w:p>
        </w:tc>
      </w:tr>
    </w:tbl>
    <w:p w:rsidR="009603F4" w:rsidRDefault="009603F4" w:rsidP="00F37435">
      <w:pPr>
        <w:jc w:val="both"/>
        <w:rPr>
          <w:lang w:val="es-ES"/>
        </w:rPr>
      </w:pPr>
    </w:p>
    <w:p w:rsidR="009603F4" w:rsidRDefault="009603F4" w:rsidP="00F37435">
      <w:pPr>
        <w:jc w:val="both"/>
        <w:rPr>
          <w:lang w:val="es-ES"/>
        </w:rPr>
      </w:pPr>
    </w:p>
    <w:p w:rsidR="00675483" w:rsidRDefault="00956062" w:rsidP="00F37435">
      <w:pPr>
        <w:jc w:val="both"/>
        <w:rPr>
          <w:lang w:val="es-ES"/>
        </w:rPr>
      </w:pPr>
      <w:r>
        <w:rPr>
          <w:lang w:val="es-ES"/>
        </w:rPr>
        <w:t>En el módulo de c</w:t>
      </w:r>
      <w:r w:rsidR="00530C8F">
        <w:rPr>
          <w:lang w:val="es-ES"/>
        </w:rPr>
        <w:t>onocimientos</w:t>
      </w:r>
      <w:r>
        <w:rPr>
          <w:lang w:val="es-ES"/>
        </w:rPr>
        <w:t xml:space="preserve">, se observa un consenso positivo </w:t>
      </w:r>
      <w:r w:rsidR="004A7D4D">
        <w:rPr>
          <w:lang w:val="es-ES"/>
        </w:rPr>
        <w:t xml:space="preserve">para las preguntas que van de la 19 a la 27, las cuales miden </w:t>
      </w:r>
      <w:r>
        <w:rPr>
          <w:lang w:val="es-ES"/>
        </w:rPr>
        <w:t>el aprovechamiento de los conocimientos para satisfacer las necesidades en la organización, el conocimiento como medio de resolución de problemáticas y ofrecimiento de nuevos productos y servicios, implementación de formas de transferir conocimiento, formas de almacenamiento del conocimiento generado</w:t>
      </w:r>
      <w:r w:rsidR="004A7D4D">
        <w:rPr>
          <w:lang w:val="es-ES"/>
        </w:rPr>
        <w:t>, transferencia de conocimiento y</w:t>
      </w:r>
      <w:r>
        <w:rPr>
          <w:lang w:val="es-ES"/>
        </w:rPr>
        <w:t xml:space="preserve"> obte</w:t>
      </w:r>
      <w:r w:rsidR="004A7D4D">
        <w:rPr>
          <w:lang w:val="es-ES"/>
        </w:rPr>
        <w:t>nción externa de conocimientos.</w:t>
      </w:r>
      <w:r w:rsidR="000E48C4">
        <w:rPr>
          <w:lang w:val="es-ES"/>
        </w:rPr>
        <w:t xml:space="preserve"> Ver Figura 3.</w:t>
      </w:r>
    </w:p>
    <w:p w:rsidR="004A7D4D" w:rsidRDefault="004A7D4D" w:rsidP="00F37435">
      <w:pPr>
        <w:jc w:val="both"/>
        <w:rPr>
          <w:lang w:val="es-ES"/>
        </w:rPr>
      </w:pPr>
    </w:p>
    <w:p w:rsidR="004A7D4D" w:rsidRDefault="004A7D4D" w:rsidP="00F37435">
      <w:pPr>
        <w:jc w:val="both"/>
        <w:rPr>
          <w:lang w:val="es-ES"/>
        </w:rPr>
      </w:pPr>
      <w:r>
        <w:rPr>
          <w:lang w:val="es-ES"/>
        </w:rPr>
        <w:t>Por otro lado, se tiene que los principales modos de obtención de conocimiento</w:t>
      </w:r>
      <w:r w:rsidR="00C805B0">
        <w:rPr>
          <w:lang w:val="es-ES"/>
        </w:rPr>
        <w:t xml:space="preserve"> (pregunta 28)</w:t>
      </w:r>
      <w:r>
        <w:rPr>
          <w:lang w:val="es-ES"/>
        </w:rPr>
        <w:t xml:space="preserve"> por parte de los empleados de las organizaciones son: la observación, el dialogo, la practica y la capacitación. Mientras, el modo menos común es a través de los manuales.</w:t>
      </w:r>
    </w:p>
    <w:p w:rsidR="004A7D4D" w:rsidRDefault="004A7D4D" w:rsidP="00F37435">
      <w:pPr>
        <w:jc w:val="both"/>
        <w:rPr>
          <w:lang w:val="es-ES"/>
        </w:rPr>
      </w:pPr>
    </w:p>
    <w:p w:rsidR="004A7D4D" w:rsidRDefault="00C805B0" w:rsidP="00F37435">
      <w:pPr>
        <w:jc w:val="both"/>
        <w:rPr>
          <w:lang w:val="es-ES"/>
        </w:rPr>
      </w:pPr>
      <w:r>
        <w:rPr>
          <w:lang w:val="es-ES"/>
        </w:rPr>
        <w:t>En cuanto a los medios para proteger el conocimiento (pregunta 29), gran parte de las empresas encuestadas no protegen el conocimiento generado. No obstante, en las organizaciones donde sí se protege, el medio más usado es a través de programas de retención del personal especializado, seguido del registro de propiedad industrial.</w:t>
      </w:r>
    </w:p>
    <w:p w:rsidR="00C805B0" w:rsidRDefault="00C805B0" w:rsidP="00F37435">
      <w:pPr>
        <w:jc w:val="both"/>
        <w:rPr>
          <w:lang w:val="es-ES"/>
        </w:rPr>
      </w:pPr>
    </w:p>
    <w:p w:rsidR="002F1E49" w:rsidRDefault="002F1E49" w:rsidP="00F37435">
      <w:pPr>
        <w:jc w:val="both"/>
        <w:rPr>
          <w:lang w:val="es-ES"/>
        </w:rPr>
      </w:pPr>
      <w:r>
        <w:rPr>
          <w:lang w:val="es-ES"/>
        </w:rPr>
        <w:t xml:space="preserve">Seguidamente, en términos de los medios más utilizados para la creación del conocimiento (pregunta 30) puntean: la asistencia del personal a eventos académicos (congresos, seminarios, paneles, entre otros), </w:t>
      </w:r>
      <w:r w:rsidR="00B07160">
        <w:rPr>
          <w:lang w:val="es-ES"/>
        </w:rPr>
        <w:t>la contratación de personal especializado y el uso intensivo de las tecnologías de la información y las comunicaciones.</w:t>
      </w:r>
    </w:p>
    <w:p w:rsidR="009E77C0" w:rsidRDefault="009E77C0" w:rsidP="00F37435">
      <w:pPr>
        <w:jc w:val="both"/>
        <w:rPr>
          <w:lang w:val="es-ES"/>
        </w:rPr>
      </w:pPr>
    </w:p>
    <w:p w:rsidR="009E77C0" w:rsidRDefault="000E48C4" w:rsidP="00F37435">
      <w:pPr>
        <w:jc w:val="both"/>
        <w:rPr>
          <w:lang w:val="es-ES"/>
        </w:rPr>
      </w:pPr>
      <w:r>
        <w:rPr>
          <w:lang w:val="es-ES"/>
        </w:rPr>
        <w:t>Por otro lado, cuando los directivos o colaboradores salen de la organización la permanencia del conocimiento (pregunta 31) se garantiza principalmente mediante manuales de funciones y procedimientos actualizados. Mientras, el medio menos utilizado es a través de la realización de reuniones periódicas entre los colaboradores.</w:t>
      </w:r>
    </w:p>
    <w:p w:rsidR="002F1E49" w:rsidRDefault="002F1E49" w:rsidP="00F37435">
      <w:pPr>
        <w:jc w:val="both"/>
        <w:rPr>
          <w:lang w:val="es-ES"/>
        </w:rPr>
      </w:pPr>
    </w:p>
    <w:p w:rsidR="005C67B8" w:rsidRDefault="008B5956" w:rsidP="005C67B8">
      <w:pPr>
        <w:keepNext/>
        <w:jc w:val="both"/>
      </w:pPr>
      <w:r>
        <w:rPr>
          <w:noProof/>
          <w:lang w:val="es-ES"/>
        </w:rPr>
        <w:lastRenderedPageBreak/>
        <w:drawing>
          <wp:inline distT="0" distB="0" distL="0" distR="0">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quencies_knowledg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EE77EB" w:rsidRDefault="005C67B8" w:rsidP="005C67B8">
      <w:pPr>
        <w:pStyle w:val="Caption"/>
        <w:jc w:val="center"/>
        <w:rPr>
          <w:lang w:val="es-ES"/>
        </w:rPr>
      </w:pPr>
      <w:r>
        <w:rPr>
          <w:lang w:val="es-ES"/>
        </w:rPr>
        <w:t>Figura</w:t>
      </w:r>
      <w:r w:rsidRPr="005C67B8">
        <w:rPr>
          <w:lang w:val="es-ES"/>
        </w:rPr>
        <w:t xml:space="preserve"> </w:t>
      </w:r>
      <w:r w:rsidRPr="004A7D4D">
        <w:rPr>
          <w:lang w:val="es-ES"/>
        </w:rPr>
        <w:t>3</w:t>
      </w:r>
      <w:r w:rsidRPr="005C67B8">
        <w:rPr>
          <w:lang w:val="es-ES"/>
        </w:rPr>
        <w:t>. Preguntas del módulo de conocimientos</w:t>
      </w:r>
    </w:p>
    <w:p w:rsidR="00530C8F" w:rsidRDefault="00C25A00" w:rsidP="00C25A00">
      <w:pPr>
        <w:jc w:val="both"/>
        <w:rPr>
          <w:lang w:val="es-ES"/>
        </w:rPr>
      </w:pPr>
      <w:r>
        <w:rPr>
          <w:lang w:val="es-ES"/>
        </w:rPr>
        <w:t>En el módulo de la organización</w:t>
      </w:r>
      <w:r w:rsidR="00FD5BA0">
        <w:rPr>
          <w:lang w:val="es-ES"/>
        </w:rPr>
        <w:t xml:space="preserve"> (Figura 4)</w:t>
      </w:r>
      <w:r>
        <w:rPr>
          <w:lang w:val="es-ES"/>
        </w:rPr>
        <w:t xml:space="preserve">, </w:t>
      </w:r>
      <w:r w:rsidR="001E70DD">
        <w:rPr>
          <w:lang w:val="es-ES"/>
        </w:rPr>
        <w:t xml:space="preserve">las preguntas </w:t>
      </w:r>
      <w:r w:rsidR="00D579BF">
        <w:rPr>
          <w:lang w:val="es-ES"/>
        </w:rPr>
        <w:t xml:space="preserve">32 a 44 que miden </w:t>
      </w:r>
      <w:r>
        <w:rPr>
          <w:lang w:val="es-ES"/>
        </w:rPr>
        <w:t xml:space="preserve">la gestión del conocimiento </w:t>
      </w:r>
      <w:r w:rsidR="00D579BF">
        <w:rPr>
          <w:lang w:val="es-ES"/>
        </w:rPr>
        <w:t>como</w:t>
      </w:r>
      <w:r>
        <w:rPr>
          <w:lang w:val="es-ES"/>
        </w:rPr>
        <w:t xml:space="preserve"> parte del plan estratégico</w:t>
      </w:r>
      <w:r w:rsidR="00D579BF">
        <w:rPr>
          <w:lang w:val="es-ES"/>
        </w:rPr>
        <w:t xml:space="preserve"> de la empresa</w:t>
      </w:r>
      <w:r>
        <w:rPr>
          <w:lang w:val="es-ES"/>
        </w:rPr>
        <w:t xml:space="preserve">, </w:t>
      </w:r>
      <w:r w:rsidR="00D579BF">
        <w:rPr>
          <w:lang w:val="es-ES"/>
        </w:rPr>
        <w:t xml:space="preserve">la existencia de </w:t>
      </w:r>
      <w:r w:rsidR="00F75E72">
        <w:rPr>
          <w:lang w:val="es-ES"/>
        </w:rPr>
        <w:t xml:space="preserve">personal de gestión humana con competencias en gestión y producción del conocimiento, </w:t>
      </w:r>
      <w:r w:rsidR="00D579BF">
        <w:rPr>
          <w:lang w:val="es-ES"/>
        </w:rPr>
        <w:t xml:space="preserve">el </w:t>
      </w:r>
      <w:r w:rsidR="00F75E72">
        <w:rPr>
          <w:lang w:val="es-ES"/>
        </w:rPr>
        <w:t xml:space="preserve">valor organizacional acerca de los beneficios de producción de conocimiento, </w:t>
      </w:r>
      <w:r w:rsidR="00D579BF">
        <w:rPr>
          <w:lang w:val="es-ES"/>
        </w:rPr>
        <w:t xml:space="preserve">el </w:t>
      </w:r>
      <w:r w:rsidR="00F75E72">
        <w:rPr>
          <w:lang w:val="es-ES"/>
        </w:rPr>
        <w:t xml:space="preserve">diagnostico de la organización sobre el estado y posibilidades de gestión del conocimiento, </w:t>
      </w:r>
      <w:r w:rsidR="00D579BF">
        <w:rPr>
          <w:lang w:val="es-ES"/>
        </w:rPr>
        <w:t xml:space="preserve">los </w:t>
      </w:r>
      <w:r w:rsidR="00F75E72">
        <w:rPr>
          <w:lang w:val="es-ES"/>
        </w:rPr>
        <w:t>cambios</w:t>
      </w:r>
      <w:r w:rsidR="00D579BF">
        <w:rPr>
          <w:lang w:val="es-ES"/>
        </w:rPr>
        <w:t xml:space="preserve"> aplicados</w:t>
      </w:r>
      <w:r w:rsidR="00F75E72">
        <w:rPr>
          <w:lang w:val="es-ES"/>
        </w:rPr>
        <w:t xml:space="preserve"> en la organización con el fin de facilitar actividades de gestión del conocimiento, </w:t>
      </w:r>
      <w:r w:rsidR="00D579BF">
        <w:rPr>
          <w:lang w:val="es-ES"/>
        </w:rPr>
        <w:t xml:space="preserve">el </w:t>
      </w:r>
      <w:r w:rsidR="00F75E72">
        <w:rPr>
          <w:lang w:val="es-ES"/>
        </w:rPr>
        <w:t>establecimiento de procedimientos de mejoramiento a partir de resultados obtenidos de la gesti</w:t>
      </w:r>
      <w:r w:rsidR="00D579BF">
        <w:rPr>
          <w:lang w:val="es-ES"/>
        </w:rPr>
        <w:t xml:space="preserve">ón del conocimiento y la </w:t>
      </w:r>
      <w:r w:rsidR="00F75E72">
        <w:rPr>
          <w:lang w:val="es-ES"/>
        </w:rPr>
        <w:t>existencia de redes virtuales o grupos para la adquisición de informaci</w:t>
      </w:r>
      <w:r w:rsidR="00D579BF">
        <w:rPr>
          <w:lang w:val="es-ES"/>
        </w:rPr>
        <w:t>ón y conocimiento; para la mayoría de empresas muestran un patrón de respuesta positivo o de aplicación de dichas prácticas.</w:t>
      </w:r>
    </w:p>
    <w:p w:rsidR="00530C8F" w:rsidRDefault="00530C8F" w:rsidP="00F37435">
      <w:pPr>
        <w:jc w:val="both"/>
        <w:rPr>
          <w:lang w:val="es-ES"/>
        </w:rPr>
      </w:pPr>
    </w:p>
    <w:p w:rsidR="005C67B8" w:rsidRDefault="000F610B" w:rsidP="005C67B8">
      <w:pPr>
        <w:keepNext/>
        <w:jc w:val="both"/>
      </w:pPr>
      <w:r>
        <w:rPr>
          <w:noProof/>
          <w:lang w:val="es-ES"/>
        </w:rPr>
        <w:drawing>
          <wp:inline distT="0" distB="0" distL="0" distR="0">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cuencies_organization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8B5956" w:rsidRPr="005C67B8" w:rsidRDefault="005C67B8" w:rsidP="005C67B8">
      <w:pPr>
        <w:pStyle w:val="Caption"/>
        <w:jc w:val="center"/>
        <w:rPr>
          <w:lang w:val="es-ES"/>
        </w:rPr>
      </w:pPr>
      <w:r>
        <w:rPr>
          <w:lang w:val="es-ES"/>
        </w:rPr>
        <w:t>Figura</w:t>
      </w:r>
      <w:r w:rsidRPr="005C67B8">
        <w:rPr>
          <w:lang w:val="es-ES"/>
        </w:rPr>
        <w:t xml:space="preserve"> </w:t>
      </w:r>
      <w:r w:rsidRPr="004A7D4D">
        <w:rPr>
          <w:lang w:val="es-ES"/>
        </w:rPr>
        <w:t>4</w:t>
      </w:r>
      <w:r w:rsidRPr="005C67B8">
        <w:rPr>
          <w:lang w:val="es-ES"/>
        </w:rPr>
        <w:t>. Preguntas del módulo de organización</w:t>
      </w:r>
    </w:p>
    <w:p w:rsidR="008B5956" w:rsidRDefault="00D579BF" w:rsidP="00F37435">
      <w:pPr>
        <w:jc w:val="both"/>
        <w:rPr>
          <w:lang w:val="es-ES"/>
        </w:rPr>
      </w:pPr>
      <w:r>
        <w:rPr>
          <w:lang w:val="es-ES"/>
        </w:rPr>
        <w:t>De igual manera, las preguntas 46 a 58 que miden el facilitamiento del aprendizaje, el ambiente laboral propicio, la generaci</w:t>
      </w:r>
      <w:r w:rsidR="00FD5BA0">
        <w:rPr>
          <w:lang w:val="es-ES"/>
        </w:rPr>
        <w:t>ón de nuevas ideas,</w:t>
      </w:r>
      <w:r>
        <w:rPr>
          <w:lang w:val="es-ES"/>
        </w:rPr>
        <w:t xml:space="preserve"> la comunicación </w:t>
      </w:r>
      <w:r w:rsidR="00FD5BA0">
        <w:rPr>
          <w:lang w:val="es-ES"/>
        </w:rPr>
        <w:t xml:space="preserve">y la disponibilidad del </w:t>
      </w:r>
      <w:r w:rsidR="00FD5BA0">
        <w:rPr>
          <w:lang w:val="es-ES"/>
        </w:rPr>
        <w:lastRenderedPageBreak/>
        <w:t>conocimiento generado entre diversas áreas de una misma empresa, muestran altos niveles de consenso positivo.</w:t>
      </w:r>
    </w:p>
    <w:p w:rsidR="00FD5BA0" w:rsidRDefault="00FD5BA0" w:rsidP="00F37435">
      <w:pPr>
        <w:jc w:val="both"/>
        <w:rPr>
          <w:lang w:val="es-ES"/>
        </w:rPr>
      </w:pPr>
    </w:p>
    <w:p w:rsidR="00FD5BA0" w:rsidRDefault="00FD5BA0" w:rsidP="00F37435">
      <w:pPr>
        <w:jc w:val="both"/>
        <w:rPr>
          <w:lang w:val="es-ES"/>
        </w:rPr>
      </w:pPr>
      <w:r>
        <w:rPr>
          <w:lang w:val="es-ES"/>
        </w:rPr>
        <w:t>Mientras, los medios más eficientes para lograr un flujo adecuado de información y comunicación de los planes organizacionales</w:t>
      </w:r>
      <w:r w:rsidR="009603F4">
        <w:rPr>
          <w:lang w:val="es-ES"/>
        </w:rPr>
        <w:t xml:space="preserve"> muestran un porcentaje menor al 50% de las empresas encuestadas en todas sus categorías, no obstante, vale destacar que el medio más usado es a través de internet, seguido del medio oral y otros, en esta categoría</w:t>
      </w:r>
      <w:r w:rsidR="007E6360">
        <w:rPr>
          <w:lang w:val="es-ES"/>
        </w:rPr>
        <w:t xml:space="preserve"> se destaca el uso de Whats</w:t>
      </w:r>
      <w:r w:rsidR="007A40F2">
        <w:rPr>
          <w:lang w:val="es-ES"/>
        </w:rPr>
        <w:t>A</w:t>
      </w:r>
      <w:r w:rsidR="007E6360">
        <w:rPr>
          <w:lang w:val="es-ES"/>
        </w:rPr>
        <w:t>pp.</w:t>
      </w:r>
    </w:p>
    <w:p w:rsidR="007E6360" w:rsidRDefault="007E6360" w:rsidP="00F37435">
      <w:pPr>
        <w:jc w:val="both"/>
        <w:rPr>
          <w:lang w:val="es-ES"/>
        </w:rPr>
      </w:pPr>
    </w:p>
    <w:p w:rsidR="007E6360" w:rsidRDefault="007E6360" w:rsidP="00F37435">
      <w:pPr>
        <w:jc w:val="both"/>
        <w:rPr>
          <w:lang w:val="es-ES"/>
        </w:rPr>
      </w:pPr>
      <w:r>
        <w:rPr>
          <w:lang w:val="es-ES"/>
        </w:rPr>
        <w:t xml:space="preserve">En términos de capacitación </w:t>
      </w:r>
      <w:r w:rsidR="00A21592">
        <w:rPr>
          <w:lang w:val="es-ES"/>
        </w:rPr>
        <w:t>en la mayoría de las empresas se busca desarrollar conocimiento compartido entre sus trabajadores, seguido del aseguramiento del conocimiento técnico y el desarrollo personal dentro de la organización (pregunta 60).</w:t>
      </w:r>
    </w:p>
    <w:p w:rsidR="00C87014" w:rsidRDefault="00C87014" w:rsidP="00F37435">
      <w:pPr>
        <w:jc w:val="both"/>
        <w:rPr>
          <w:lang w:val="es-ES"/>
        </w:rPr>
      </w:pPr>
    </w:p>
    <w:p w:rsidR="00324806" w:rsidRDefault="00324806" w:rsidP="00324806">
      <w:pPr>
        <w:keepNext/>
        <w:jc w:val="center"/>
      </w:pPr>
      <w:r>
        <w:rPr>
          <w:noProof/>
          <w:lang w:val="es-ES"/>
        </w:rPr>
        <w:drawing>
          <wp:inline distT="0" distB="0" distL="0" distR="0">
            <wp:extent cx="360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cuencies_organization2.jpeg"/>
                    <pic:cNvPicPr/>
                  </pic:nvPicPr>
                  <pic:blipFill>
                    <a:blip r:embed="rId10">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rsidR="00C87014" w:rsidRDefault="00324806" w:rsidP="00324806">
      <w:pPr>
        <w:pStyle w:val="Caption"/>
        <w:jc w:val="center"/>
        <w:rPr>
          <w:lang w:val="es-ES"/>
        </w:rPr>
      </w:pPr>
      <w:r w:rsidRPr="00324806">
        <w:rPr>
          <w:lang w:val="es-ES"/>
        </w:rPr>
        <w:t xml:space="preserve">Figura </w:t>
      </w:r>
      <w:r>
        <w:t>5</w:t>
      </w:r>
      <w:r w:rsidRPr="00324806">
        <w:rPr>
          <w:lang w:val="es-ES"/>
        </w:rPr>
        <w:t>. Población beneficiada por las capacitaciones</w:t>
      </w:r>
    </w:p>
    <w:p w:rsidR="00324806" w:rsidRDefault="00324806" w:rsidP="00324806">
      <w:pPr>
        <w:jc w:val="center"/>
        <w:rPr>
          <w:lang w:val="es-ES"/>
        </w:rPr>
      </w:pPr>
    </w:p>
    <w:p w:rsidR="00324806" w:rsidRDefault="00324806" w:rsidP="00324806">
      <w:pPr>
        <w:jc w:val="both"/>
        <w:rPr>
          <w:lang w:val="es-ES"/>
        </w:rPr>
      </w:pPr>
      <w:r>
        <w:rPr>
          <w:lang w:val="es-ES"/>
        </w:rPr>
        <w:t xml:space="preserve">Por otro lado, en términos de la población que se beneficia a través de la capacitación de la empresa se tiene que en la mayoría de organización es todo el personal que se ve beneficiado, ver Figura </w:t>
      </w:r>
      <w:r w:rsidR="005657DA">
        <w:rPr>
          <w:lang w:val="es-ES"/>
        </w:rPr>
        <w:t>5</w:t>
      </w:r>
      <w:r>
        <w:rPr>
          <w:lang w:val="es-ES"/>
        </w:rPr>
        <w:t xml:space="preserve">. </w:t>
      </w:r>
      <w:r w:rsidR="00781F72">
        <w:rPr>
          <w:lang w:val="es-ES"/>
        </w:rPr>
        <w:t>Finalmente, en cuanto a los principales rasgos de la cultura de trabajo de la organización priman las categorías innovadora y formal. Mientras las empresas catalogadas informales y rutinarias son las menos frecuentes.</w:t>
      </w:r>
    </w:p>
    <w:p w:rsidR="00983A72" w:rsidRDefault="00983A72" w:rsidP="00F37435">
      <w:pPr>
        <w:jc w:val="both"/>
        <w:rPr>
          <w:lang w:val="es-ES"/>
        </w:rPr>
      </w:pPr>
    </w:p>
    <w:p w:rsidR="00530C8F" w:rsidRDefault="00DE5401" w:rsidP="00F37435">
      <w:pPr>
        <w:jc w:val="both"/>
        <w:rPr>
          <w:lang w:val="es-ES"/>
        </w:rPr>
      </w:pPr>
      <w:r>
        <w:rPr>
          <w:lang w:val="es-ES"/>
        </w:rPr>
        <w:t>Dentro de las</w:t>
      </w:r>
      <w:r w:rsidR="007A40F2">
        <w:rPr>
          <w:lang w:val="es-ES"/>
        </w:rPr>
        <w:t xml:space="preserve"> variables del módulo de gestión, </w:t>
      </w:r>
      <w:r>
        <w:rPr>
          <w:lang w:val="es-ES"/>
        </w:rPr>
        <w:t xml:space="preserve">se tiene una opinión dividida (50% en cada categoría de respuesta) entre la producción de patentes y/o protección de la propiedad intelectual utilizando medios legales para las empresas estudiadas. Además, se cuenta con un </w:t>
      </w:r>
      <w:r>
        <w:rPr>
          <w:lang w:val="es-ES"/>
        </w:rPr>
        <w:lastRenderedPageBreak/>
        <w:t xml:space="preserve">consenso positivo entre las formas de adquisición de conocimiento, bien sea a partir del conocimiento de otras empresas, las necesidades de los clientes </w:t>
      </w:r>
      <w:r w:rsidR="008740F3">
        <w:rPr>
          <w:lang w:val="es-ES"/>
        </w:rPr>
        <w:t>y las experiencias pasadas.</w:t>
      </w:r>
      <w:r w:rsidR="00357DD9">
        <w:rPr>
          <w:lang w:val="es-ES"/>
        </w:rPr>
        <w:t xml:space="preserve"> En cuanto al uso de recursos (pregunta 68), se tiene en orden decreciente los programas de capacitación y entrenamiento permanentes, la experiencia del personal y de la organización</w:t>
      </w:r>
    </w:p>
    <w:p w:rsidR="00530C8F" w:rsidRDefault="00530C8F" w:rsidP="00F37435">
      <w:pPr>
        <w:jc w:val="both"/>
        <w:rPr>
          <w:lang w:val="es-ES"/>
        </w:rPr>
      </w:pPr>
    </w:p>
    <w:p w:rsidR="005C67B8" w:rsidRDefault="000F610B" w:rsidP="005C67B8">
      <w:pPr>
        <w:keepNext/>
        <w:jc w:val="both"/>
      </w:pPr>
      <w:r>
        <w:rPr>
          <w:noProof/>
          <w:lang w:val="es-ES"/>
        </w:rPr>
        <w:drawing>
          <wp:inline distT="0" distB="0" distL="0" distR="0">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ies_managemen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675483" w:rsidRDefault="005C67B8" w:rsidP="005C67B8">
      <w:pPr>
        <w:pStyle w:val="Caption"/>
        <w:jc w:val="center"/>
        <w:rPr>
          <w:lang w:val="es-ES"/>
        </w:rPr>
      </w:pPr>
      <w:r w:rsidRPr="005C67B8">
        <w:rPr>
          <w:lang w:val="es-ES"/>
        </w:rPr>
        <w:t>F</w:t>
      </w:r>
      <w:r>
        <w:rPr>
          <w:lang w:val="es-ES"/>
        </w:rPr>
        <w:t>igura</w:t>
      </w:r>
      <w:r w:rsidRPr="005C67B8">
        <w:rPr>
          <w:lang w:val="es-ES"/>
        </w:rPr>
        <w:t xml:space="preserve"> </w:t>
      </w:r>
      <w:r w:rsidR="00324806">
        <w:rPr>
          <w:lang w:val="es-ES"/>
        </w:rPr>
        <w:t>6</w:t>
      </w:r>
      <w:r w:rsidRPr="005C67B8">
        <w:rPr>
          <w:lang w:val="es-ES"/>
        </w:rPr>
        <w:t>. Preguntas del módulo de gestión</w:t>
      </w:r>
    </w:p>
    <w:p w:rsidR="00530C8F" w:rsidRDefault="00530C8F" w:rsidP="00F37435">
      <w:pPr>
        <w:jc w:val="both"/>
        <w:rPr>
          <w:lang w:val="es-ES"/>
        </w:rPr>
      </w:pPr>
    </w:p>
    <w:p w:rsidR="00530C8F" w:rsidRDefault="00530C8F" w:rsidP="00F37435">
      <w:pPr>
        <w:jc w:val="both"/>
        <w:rPr>
          <w:lang w:val="es-ES"/>
        </w:rPr>
      </w:pPr>
      <w:r>
        <w:rPr>
          <w:lang w:val="es-ES"/>
        </w:rPr>
        <w:t>Tecnología</w:t>
      </w:r>
    </w:p>
    <w:p w:rsidR="00530C8F" w:rsidRDefault="00530C8F" w:rsidP="00F37435">
      <w:pPr>
        <w:jc w:val="both"/>
        <w:rPr>
          <w:lang w:val="es-ES"/>
        </w:rPr>
      </w:pPr>
    </w:p>
    <w:p w:rsidR="005C67B8" w:rsidRDefault="000F610B" w:rsidP="005C67B8">
      <w:pPr>
        <w:keepNext/>
        <w:jc w:val="both"/>
      </w:pPr>
      <w:r>
        <w:rPr>
          <w:noProof/>
          <w:lang w:val="es-ES"/>
        </w:rPr>
        <w:drawing>
          <wp:inline distT="0" distB="0" distL="0" distR="0">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uencies_technology.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530C8F" w:rsidRDefault="005C67B8" w:rsidP="005C67B8">
      <w:pPr>
        <w:pStyle w:val="Caption"/>
        <w:jc w:val="center"/>
        <w:rPr>
          <w:lang w:val="es-ES"/>
        </w:rPr>
      </w:pPr>
      <w:r>
        <w:rPr>
          <w:lang w:val="es-ES"/>
        </w:rPr>
        <w:t>Figura</w:t>
      </w:r>
      <w:r w:rsidRPr="005C67B8">
        <w:rPr>
          <w:lang w:val="es-ES"/>
        </w:rPr>
        <w:t xml:space="preserve"> </w:t>
      </w:r>
      <w:r w:rsidR="00324806">
        <w:rPr>
          <w:lang w:val="es-ES"/>
        </w:rPr>
        <w:t>7</w:t>
      </w:r>
      <w:r w:rsidRPr="005C67B8">
        <w:rPr>
          <w:lang w:val="es-ES"/>
        </w:rPr>
        <w:t>. Preguntas del módulo de tecnología</w:t>
      </w:r>
    </w:p>
    <w:p w:rsidR="00530C8F" w:rsidRDefault="00530C8F" w:rsidP="00F37435">
      <w:pPr>
        <w:jc w:val="both"/>
        <w:rPr>
          <w:lang w:val="es-ES"/>
        </w:rPr>
      </w:pPr>
    </w:p>
    <w:p w:rsidR="00675483" w:rsidRDefault="00675483" w:rsidP="00F37435">
      <w:pPr>
        <w:jc w:val="both"/>
        <w:rPr>
          <w:lang w:val="es-ES"/>
        </w:rPr>
      </w:pPr>
    </w:p>
    <w:p w:rsidR="00F37435" w:rsidRPr="008B517F" w:rsidRDefault="00F37435" w:rsidP="00F62609">
      <w:pPr>
        <w:pStyle w:val="Heading2"/>
        <w:rPr>
          <w:b/>
          <w:sz w:val="40"/>
          <w:lang w:val="es-ES"/>
        </w:rPr>
      </w:pPr>
      <w:bookmarkStart w:id="4" w:name="_Toc512458916"/>
      <w:r w:rsidRPr="008B517F">
        <w:rPr>
          <w:b/>
          <w:sz w:val="40"/>
          <w:lang w:val="es-ES"/>
        </w:rPr>
        <w:t>Análisis de</w:t>
      </w:r>
      <w:r w:rsidR="005C11FD">
        <w:rPr>
          <w:b/>
          <w:sz w:val="40"/>
          <w:lang w:val="es-ES"/>
        </w:rPr>
        <w:t xml:space="preserve"> asociación</w:t>
      </w:r>
      <w:bookmarkEnd w:id="4"/>
    </w:p>
    <w:p w:rsidR="00F37435" w:rsidRDefault="00F37435" w:rsidP="00F37435">
      <w:pPr>
        <w:jc w:val="both"/>
        <w:rPr>
          <w:lang w:val="es-ES"/>
        </w:rPr>
      </w:pPr>
    </w:p>
    <w:p w:rsidR="005C11FD" w:rsidRDefault="005C11FD" w:rsidP="00F37435">
      <w:pPr>
        <w:jc w:val="both"/>
        <w:rPr>
          <w:lang w:val="es-ES"/>
        </w:rPr>
      </w:pPr>
      <w:r>
        <w:rPr>
          <w:lang w:val="es-ES"/>
        </w:rPr>
        <w:lastRenderedPageBreak/>
        <w:t>El objetivo principal del análisis de asociación o correlación permite dar una idea si vale la pena explorar los datos a través de métodos estadísticos multivariados. Para medir las posibles asociaciones que existen entre las variables dentro de cada módulo, se realizó el cálculo del test de independencia Chi-cuadrado. Este test se enfoca en contrastar el grado de independencia estadística que existe un par de variables cualitativas, de tal manera que sí se rechaza la hipótesis de independencia se puede afirmar que existe algún tipo de asociación entre las variables bajo análisis.</w:t>
      </w:r>
    </w:p>
    <w:p w:rsidR="005C11FD" w:rsidRDefault="005C11FD" w:rsidP="00F37435">
      <w:pPr>
        <w:jc w:val="both"/>
        <w:rPr>
          <w:lang w:val="es-ES"/>
        </w:rPr>
      </w:pPr>
    </w:p>
    <w:p w:rsidR="005C11FD" w:rsidRDefault="005C11FD" w:rsidP="00F37435">
      <w:pPr>
        <w:jc w:val="both"/>
        <w:rPr>
          <w:lang w:val="es-ES"/>
        </w:rPr>
      </w:pPr>
      <w:r>
        <w:rPr>
          <w:lang w:val="es-ES"/>
        </w:rPr>
        <w:t>Luego, por cada módulo del cuestionario se realizó el test de independencia Chi-cuadrado para todos los pares de variables. Seguidamente, se identificaron y seleccionaron las variables que presentaban algún tipo de asociación estadística y se midió el porcentaje de asociaciones significativas por módulo de la encuesta.</w:t>
      </w:r>
      <w:r w:rsidR="00433165">
        <w:rPr>
          <w:lang w:val="es-ES"/>
        </w:rPr>
        <w:t xml:space="preserve"> De este modo, como se muestra en la Figura </w:t>
      </w:r>
      <w:r w:rsidR="005C67B8">
        <w:rPr>
          <w:lang w:val="es-ES"/>
        </w:rPr>
        <w:t>7</w:t>
      </w:r>
      <w:r w:rsidR="00433165">
        <w:rPr>
          <w:lang w:val="es-ES"/>
        </w:rPr>
        <w:t xml:space="preserve"> los módulos donde existe mayor asociación entre los ítems medidos son los bloques de tecnología y organización, con 24.9% y 15.4% de asociaciones significativas. Mientras los módulos con los niveles más bajos de asociación fueron: conocimientos y gestión.</w:t>
      </w:r>
    </w:p>
    <w:p w:rsidR="005C11FD" w:rsidRDefault="005C11FD" w:rsidP="00F37435">
      <w:pPr>
        <w:jc w:val="both"/>
        <w:rPr>
          <w:lang w:val="es-ES"/>
        </w:rPr>
      </w:pPr>
    </w:p>
    <w:p w:rsidR="00433165" w:rsidRDefault="00433165" w:rsidP="00EA5674">
      <w:pPr>
        <w:jc w:val="center"/>
        <w:rPr>
          <w:lang w:val="es-ES"/>
        </w:rPr>
      </w:pPr>
    </w:p>
    <w:p w:rsidR="005C67B8" w:rsidRDefault="00EA5674" w:rsidP="005C67B8">
      <w:pPr>
        <w:keepNext/>
        <w:jc w:val="center"/>
      </w:pPr>
      <w:r>
        <w:rPr>
          <w:noProof/>
        </w:rPr>
        <w:drawing>
          <wp:inline distT="0" distB="0" distL="0" distR="0" wp14:anchorId="21395647" wp14:editId="77640E0F">
            <wp:extent cx="5943600" cy="3286760"/>
            <wp:effectExtent l="0" t="0" r="12700" b="15240"/>
            <wp:docPr id="12" name="Chart 12">
              <a:extLst xmlns:a="http://schemas.openxmlformats.org/drawingml/2006/main">
                <a:ext uri="{FF2B5EF4-FFF2-40B4-BE49-F238E27FC236}">
                  <a16:creationId xmlns:a16="http://schemas.microsoft.com/office/drawing/2014/main" id="{7A39DBCB-3E36-0A4F-AD95-B762C1759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7435" w:rsidRDefault="005C67B8" w:rsidP="005C67B8">
      <w:pPr>
        <w:pStyle w:val="Caption"/>
        <w:jc w:val="center"/>
        <w:rPr>
          <w:lang w:val="es-ES"/>
        </w:rPr>
      </w:pPr>
      <w:r>
        <w:rPr>
          <w:lang w:val="es-ES"/>
        </w:rPr>
        <w:t>Figura</w:t>
      </w:r>
      <w:r w:rsidRPr="005C67B8">
        <w:rPr>
          <w:lang w:val="es-ES"/>
        </w:rPr>
        <w:t xml:space="preserve"> </w:t>
      </w:r>
      <w:r w:rsidR="00324806">
        <w:rPr>
          <w:lang w:val="es-ES"/>
        </w:rPr>
        <w:t>8</w:t>
      </w:r>
      <w:r w:rsidRPr="005C67B8">
        <w:rPr>
          <w:lang w:val="es-ES"/>
        </w:rPr>
        <w:t>. Porcentaje de asociaciones estadísticamente significativas por módulo</w:t>
      </w:r>
    </w:p>
    <w:p w:rsidR="002B0A55" w:rsidRDefault="002B0A55" w:rsidP="00F37435">
      <w:pPr>
        <w:jc w:val="both"/>
        <w:rPr>
          <w:lang w:val="es-ES"/>
        </w:rPr>
      </w:pPr>
    </w:p>
    <w:p w:rsidR="00F37435" w:rsidRPr="008B517F" w:rsidRDefault="00F37435" w:rsidP="00F62609">
      <w:pPr>
        <w:pStyle w:val="Heading2"/>
        <w:rPr>
          <w:b/>
          <w:sz w:val="40"/>
          <w:lang w:val="es-ES"/>
        </w:rPr>
      </w:pPr>
      <w:bookmarkStart w:id="5" w:name="_Toc512458917"/>
      <w:r w:rsidRPr="008B517F">
        <w:rPr>
          <w:b/>
          <w:sz w:val="40"/>
          <w:lang w:val="es-ES"/>
        </w:rPr>
        <w:t>Análisis multivariado</w:t>
      </w:r>
      <w:bookmarkEnd w:id="5"/>
    </w:p>
    <w:p w:rsidR="00F37435" w:rsidRDefault="00F37435" w:rsidP="00F37435">
      <w:pPr>
        <w:jc w:val="both"/>
        <w:rPr>
          <w:lang w:val="es-ES"/>
        </w:rPr>
      </w:pPr>
    </w:p>
    <w:p w:rsidR="00F37435" w:rsidRDefault="00F62609" w:rsidP="00F37435">
      <w:pPr>
        <w:jc w:val="both"/>
        <w:rPr>
          <w:lang w:val="es-ES"/>
        </w:rPr>
      </w:pPr>
      <w:r>
        <w:rPr>
          <w:lang w:val="es-ES"/>
        </w:rPr>
        <w:t>Realización de Análisis de Correspondencias Múltiples por módulo con el fin de explorar asociaciones o perfiles de respuesta de las diferentes empresas en los aspectos considerados.</w:t>
      </w:r>
    </w:p>
    <w:p w:rsidR="00F37435" w:rsidRDefault="00F37435" w:rsidP="00F37435">
      <w:pPr>
        <w:jc w:val="both"/>
        <w:rPr>
          <w:lang w:val="es-ES"/>
        </w:rPr>
      </w:pPr>
    </w:p>
    <w:p w:rsidR="00A4001C" w:rsidRDefault="00A4001C" w:rsidP="00F37435">
      <w:pPr>
        <w:jc w:val="both"/>
        <w:rPr>
          <w:lang w:val="es-ES"/>
        </w:rPr>
      </w:pPr>
      <w:r>
        <w:rPr>
          <w:lang w:val="es-ES"/>
        </w:rPr>
        <w:t>Conocimientos</w:t>
      </w:r>
    </w:p>
    <w:p w:rsidR="00A4001C" w:rsidRDefault="00A4001C" w:rsidP="00F37435">
      <w:pPr>
        <w:jc w:val="both"/>
        <w:rPr>
          <w:lang w:val="es-ES"/>
        </w:rPr>
      </w:pPr>
      <w:bookmarkStart w:id="6" w:name="_GoBack"/>
      <w:bookmarkEnd w:id="6"/>
    </w:p>
    <w:p w:rsidR="00CD74F1" w:rsidRDefault="00CD74F1" w:rsidP="00F37435">
      <w:pPr>
        <w:jc w:val="both"/>
        <w:rPr>
          <w:lang w:val="es-ES"/>
        </w:rPr>
      </w:pPr>
    </w:p>
    <w:p w:rsidR="00CD74F1" w:rsidRDefault="00CD74F1" w:rsidP="00F37435">
      <w:pPr>
        <w:jc w:val="both"/>
        <w:rPr>
          <w:lang w:val="es-ES"/>
        </w:rPr>
      </w:pPr>
    </w:p>
    <w:p w:rsidR="00061129" w:rsidRDefault="00061129" w:rsidP="001D7879">
      <w:pPr>
        <w:jc w:val="center"/>
        <w:rPr>
          <w:rFonts w:ascii="Times New Roman" w:eastAsia="Times New Roman" w:hAnsi="Times New Roman" w:cs="Times New Roman"/>
        </w:rPr>
      </w:pPr>
    </w:p>
    <w:p w:rsidR="00CD74F1" w:rsidRDefault="00CD74F1" w:rsidP="001D7879">
      <w:pPr>
        <w:jc w:val="center"/>
        <w:rPr>
          <w:rFonts w:ascii="Times New Roman" w:eastAsia="Times New Roman" w:hAnsi="Times New Roman" w:cs="Times New Roman"/>
        </w:rPr>
      </w:pPr>
    </w:p>
    <w:p w:rsidR="00CD74F1" w:rsidRPr="00061129" w:rsidRDefault="00CD74F1" w:rsidP="001D7879">
      <w:pPr>
        <w:jc w:val="center"/>
        <w:rPr>
          <w:rFonts w:ascii="Times New Roman" w:eastAsia="Times New Roman" w:hAnsi="Times New Roman" w:cs="Times New Roman"/>
        </w:rPr>
      </w:pPr>
    </w:p>
    <w:p w:rsidR="00A4001C" w:rsidRDefault="00A4001C" w:rsidP="00F37435">
      <w:pPr>
        <w:jc w:val="both"/>
        <w:rPr>
          <w:lang w:val="es-ES"/>
        </w:rPr>
      </w:pPr>
    </w:p>
    <w:p w:rsidR="00CD74F1" w:rsidRDefault="00CD74F1" w:rsidP="00F37435">
      <w:pPr>
        <w:jc w:val="both"/>
        <w:rPr>
          <w:lang w:val="es-ES"/>
        </w:rPr>
      </w:pPr>
    </w:p>
    <w:p w:rsidR="00CD74F1" w:rsidRDefault="00CD74F1" w:rsidP="00F37435">
      <w:pPr>
        <w:jc w:val="both"/>
        <w:rPr>
          <w:lang w:val="es-ES"/>
        </w:rPr>
      </w:pPr>
    </w:p>
    <w:p w:rsidR="00CD74F1" w:rsidRDefault="00CD74F1" w:rsidP="00F37435">
      <w:pPr>
        <w:jc w:val="both"/>
        <w:rPr>
          <w:lang w:val="es-ES"/>
        </w:rPr>
      </w:pPr>
    </w:p>
    <w:p w:rsidR="00CD74F1" w:rsidRDefault="00CD74F1" w:rsidP="00F37435">
      <w:pPr>
        <w:jc w:val="both"/>
        <w:rPr>
          <w:lang w:val="es-ES"/>
        </w:rPr>
      </w:pPr>
    </w:p>
    <w:p w:rsidR="00A4001C" w:rsidRDefault="00CD74F1" w:rsidP="00F37435">
      <w:pPr>
        <w:jc w:val="both"/>
        <w:rPr>
          <w:lang w:val="es-ES"/>
        </w:rPr>
      </w:pPr>
      <w:r>
        <w:rPr>
          <w:lang w:val="es-ES"/>
        </w:rPr>
        <w:t>Organización</w:t>
      </w:r>
    </w:p>
    <w:p w:rsidR="00CD74F1" w:rsidRDefault="00CD74F1" w:rsidP="00F37435">
      <w:pPr>
        <w:jc w:val="both"/>
        <w:rPr>
          <w:lang w:val="es-ES"/>
        </w:rPr>
      </w:pPr>
    </w:p>
    <w:p w:rsidR="00CD74F1" w:rsidRDefault="00CD74F1" w:rsidP="00F37435">
      <w:pPr>
        <w:jc w:val="both"/>
        <w:rPr>
          <w:lang w:val="es-ES"/>
        </w:rPr>
      </w:pPr>
    </w:p>
    <w:p w:rsidR="003E434D" w:rsidRDefault="003E434D" w:rsidP="00F37435">
      <w:pPr>
        <w:jc w:val="both"/>
        <w:rPr>
          <w:lang w:val="es-ES"/>
        </w:rPr>
      </w:pPr>
    </w:p>
    <w:p w:rsidR="003E434D" w:rsidRDefault="003E434D" w:rsidP="00F37435">
      <w:pPr>
        <w:jc w:val="both"/>
        <w:rPr>
          <w:lang w:val="es-ES"/>
        </w:rPr>
      </w:pPr>
    </w:p>
    <w:p w:rsidR="003E434D" w:rsidRDefault="003E434D" w:rsidP="00F37435">
      <w:pPr>
        <w:jc w:val="both"/>
        <w:rPr>
          <w:lang w:val="es-ES"/>
        </w:rPr>
      </w:pPr>
    </w:p>
    <w:p w:rsidR="003E434D" w:rsidRDefault="003E434D" w:rsidP="00F37435">
      <w:pPr>
        <w:jc w:val="both"/>
        <w:rPr>
          <w:lang w:val="es-ES"/>
        </w:rPr>
      </w:pPr>
    </w:p>
    <w:p w:rsidR="002111FE" w:rsidRDefault="002111FE" w:rsidP="00F37435">
      <w:pPr>
        <w:jc w:val="both"/>
        <w:rPr>
          <w:lang w:val="es-ES"/>
        </w:rPr>
      </w:pPr>
    </w:p>
    <w:p w:rsidR="002111FE" w:rsidRDefault="002111FE" w:rsidP="00F37435">
      <w:pPr>
        <w:jc w:val="both"/>
        <w:rPr>
          <w:lang w:val="es-ES"/>
        </w:rPr>
      </w:pPr>
    </w:p>
    <w:p w:rsidR="002111FE" w:rsidRDefault="002111FE" w:rsidP="00F37435">
      <w:pPr>
        <w:jc w:val="both"/>
        <w:rPr>
          <w:lang w:val="es-ES"/>
        </w:rPr>
      </w:pPr>
    </w:p>
    <w:p w:rsidR="00CD74F1" w:rsidRDefault="00CD74F1" w:rsidP="00F37435">
      <w:pPr>
        <w:jc w:val="both"/>
        <w:rPr>
          <w:lang w:val="es-ES"/>
        </w:rPr>
      </w:pPr>
      <w:r>
        <w:rPr>
          <w:lang w:val="es-ES"/>
        </w:rPr>
        <w:t>Gestión</w:t>
      </w:r>
    </w:p>
    <w:p w:rsidR="00CD74F1" w:rsidRDefault="00CD74F1" w:rsidP="00F37435">
      <w:pPr>
        <w:jc w:val="both"/>
        <w:rPr>
          <w:lang w:val="es-ES"/>
        </w:rPr>
      </w:pPr>
    </w:p>
    <w:p w:rsidR="00CC3226" w:rsidRDefault="00CC3226" w:rsidP="00F37435">
      <w:pPr>
        <w:jc w:val="both"/>
        <w:rPr>
          <w:lang w:val="es-ES"/>
        </w:rPr>
      </w:pPr>
    </w:p>
    <w:p w:rsidR="00CC3226" w:rsidRDefault="00CC3226" w:rsidP="00F37435">
      <w:pPr>
        <w:jc w:val="both"/>
        <w:rPr>
          <w:lang w:val="es-ES"/>
        </w:rPr>
      </w:pPr>
    </w:p>
    <w:p w:rsidR="00E825F0" w:rsidRDefault="00E825F0" w:rsidP="00F37435">
      <w:pPr>
        <w:jc w:val="both"/>
        <w:rPr>
          <w:lang w:val="es-ES"/>
        </w:rPr>
      </w:pPr>
    </w:p>
    <w:p w:rsidR="00E825F0" w:rsidRDefault="00E825F0" w:rsidP="00F37435">
      <w:pPr>
        <w:jc w:val="both"/>
        <w:rPr>
          <w:lang w:val="es-ES"/>
        </w:rPr>
      </w:pPr>
    </w:p>
    <w:p w:rsidR="00E825F0" w:rsidRDefault="00E825F0" w:rsidP="00F37435">
      <w:pPr>
        <w:jc w:val="both"/>
        <w:rPr>
          <w:lang w:val="es-ES"/>
        </w:rPr>
      </w:pPr>
    </w:p>
    <w:p w:rsidR="00E825F0" w:rsidRDefault="00E825F0" w:rsidP="00F37435">
      <w:pPr>
        <w:jc w:val="both"/>
        <w:rPr>
          <w:lang w:val="es-ES"/>
        </w:rPr>
      </w:pPr>
    </w:p>
    <w:p w:rsidR="009257F5" w:rsidRDefault="009257F5" w:rsidP="00F37435">
      <w:pPr>
        <w:jc w:val="both"/>
        <w:rPr>
          <w:lang w:val="es-ES"/>
        </w:rPr>
      </w:pPr>
    </w:p>
    <w:p w:rsidR="009257F5" w:rsidRDefault="009257F5" w:rsidP="00F37435">
      <w:pPr>
        <w:jc w:val="both"/>
        <w:rPr>
          <w:lang w:val="es-ES"/>
        </w:rPr>
      </w:pPr>
    </w:p>
    <w:p w:rsidR="009257F5" w:rsidRDefault="009257F5" w:rsidP="00F37435">
      <w:pPr>
        <w:jc w:val="both"/>
        <w:rPr>
          <w:lang w:val="es-ES"/>
        </w:rPr>
      </w:pPr>
    </w:p>
    <w:p w:rsidR="009257F5" w:rsidRDefault="009257F5" w:rsidP="00F37435">
      <w:pPr>
        <w:jc w:val="both"/>
        <w:rPr>
          <w:lang w:val="es-ES"/>
        </w:rPr>
      </w:pPr>
    </w:p>
    <w:p w:rsidR="00CD74F1" w:rsidRDefault="00CD74F1" w:rsidP="00F37435">
      <w:pPr>
        <w:jc w:val="both"/>
        <w:rPr>
          <w:lang w:val="es-ES"/>
        </w:rPr>
      </w:pPr>
      <w:r>
        <w:rPr>
          <w:lang w:val="es-ES"/>
        </w:rPr>
        <w:t>Tecnología</w:t>
      </w:r>
    </w:p>
    <w:p w:rsidR="009B266B" w:rsidRDefault="009B266B" w:rsidP="00F37435">
      <w:pPr>
        <w:jc w:val="both"/>
        <w:rPr>
          <w:lang w:val="es-ES"/>
        </w:rPr>
      </w:pPr>
    </w:p>
    <w:p w:rsidR="001D7879" w:rsidRDefault="001D7879" w:rsidP="00F37435">
      <w:pPr>
        <w:jc w:val="both"/>
        <w:rPr>
          <w:lang w:val="es-ES"/>
        </w:rPr>
      </w:pPr>
    </w:p>
    <w:p w:rsidR="001D7879" w:rsidRDefault="001D7879"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352E6D" w:rsidRDefault="00352E6D" w:rsidP="00F37435">
      <w:pPr>
        <w:jc w:val="both"/>
        <w:rPr>
          <w:lang w:val="es-ES"/>
        </w:rPr>
      </w:pPr>
    </w:p>
    <w:p w:rsidR="00E602B0" w:rsidRDefault="00E602B0" w:rsidP="00F37435">
      <w:pPr>
        <w:jc w:val="both"/>
        <w:rPr>
          <w:lang w:val="es-ES"/>
        </w:rPr>
      </w:pPr>
    </w:p>
    <w:p w:rsidR="00E602B0" w:rsidRDefault="00A851F7" w:rsidP="00F37435">
      <w:pPr>
        <w:jc w:val="both"/>
        <w:rPr>
          <w:lang w:val="es-ES"/>
        </w:rPr>
      </w:pPr>
      <w:r>
        <w:rPr>
          <w:lang w:val="es-ES"/>
        </w:rPr>
        <w:t xml:space="preserve">El cuarto cuadrante ofrece </w:t>
      </w:r>
      <w:r w:rsidR="003C1220">
        <w:rPr>
          <w:lang w:val="es-ES"/>
        </w:rPr>
        <w:t xml:space="preserve">una descripción de las empresas con mejor capacidad tecnológica, aquí se cuenta dos grandes empresas (Grupo </w:t>
      </w:r>
      <w:proofErr w:type="spellStart"/>
      <w:r w:rsidR="003C1220">
        <w:rPr>
          <w:lang w:val="es-ES"/>
        </w:rPr>
        <w:t>Enel</w:t>
      </w:r>
      <w:proofErr w:type="spellEnd"/>
      <w:r w:rsidR="003C1220">
        <w:rPr>
          <w:lang w:val="es-ES"/>
        </w:rPr>
        <w:t xml:space="preserve"> y Construcciones el </w:t>
      </w:r>
      <w:proofErr w:type="spellStart"/>
      <w:r w:rsidR="003C1220">
        <w:rPr>
          <w:lang w:val="es-ES"/>
        </w:rPr>
        <w:t>Condor</w:t>
      </w:r>
      <w:proofErr w:type="spellEnd"/>
      <w:r w:rsidR="003C1220">
        <w:rPr>
          <w:lang w:val="es-ES"/>
        </w:rPr>
        <w:t xml:space="preserve">), por otro lado se cuenta con 9 empresas catalogadas como innovadoras (Harinera del Valle, </w:t>
      </w:r>
      <w:proofErr w:type="spellStart"/>
      <w:r w:rsidR="003C1220">
        <w:rPr>
          <w:lang w:val="es-ES"/>
        </w:rPr>
        <w:t>Colanta</w:t>
      </w:r>
      <w:proofErr w:type="spellEnd"/>
      <w:r w:rsidR="003C1220">
        <w:rPr>
          <w:lang w:val="es-ES"/>
        </w:rPr>
        <w:t xml:space="preserve">, Rio Paila Castilla, </w:t>
      </w:r>
      <w:proofErr w:type="spellStart"/>
      <w:r w:rsidR="003C1220">
        <w:rPr>
          <w:lang w:val="es-ES"/>
        </w:rPr>
        <w:t>Induma</w:t>
      </w:r>
      <w:proofErr w:type="spellEnd"/>
      <w:r w:rsidR="003C1220">
        <w:rPr>
          <w:lang w:val="es-ES"/>
        </w:rPr>
        <w:t xml:space="preserve">, Multiservicios de ingeniería, Compañía nacional de levadura, </w:t>
      </w:r>
      <w:proofErr w:type="spellStart"/>
      <w:r w:rsidR="003C1220">
        <w:rPr>
          <w:lang w:val="es-ES"/>
        </w:rPr>
        <w:t>Meals</w:t>
      </w:r>
      <w:proofErr w:type="spellEnd"/>
      <w:r w:rsidR="003C1220">
        <w:rPr>
          <w:lang w:val="es-ES"/>
        </w:rPr>
        <w:t xml:space="preserve">, </w:t>
      </w:r>
      <w:proofErr w:type="spellStart"/>
      <w:r w:rsidR="003C1220">
        <w:rPr>
          <w:lang w:val="es-ES"/>
        </w:rPr>
        <w:t>Robotec</w:t>
      </w:r>
      <w:proofErr w:type="spellEnd"/>
      <w:r w:rsidR="003C1220">
        <w:rPr>
          <w:lang w:val="es-ES"/>
        </w:rPr>
        <w:t xml:space="preserve">, </w:t>
      </w:r>
      <w:proofErr w:type="spellStart"/>
      <w:r w:rsidR="003C1220">
        <w:rPr>
          <w:lang w:val="es-ES"/>
        </w:rPr>
        <w:t>Incauca</w:t>
      </w:r>
      <w:proofErr w:type="spellEnd"/>
      <w:r w:rsidR="003C1220">
        <w:rPr>
          <w:lang w:val="es-ES"/>
        </w:rPr>
        <w:t xml:space="preserve">), finalmente se cuenta con tres empresas que no se clasificaron en ninguna categoría, estas son C.I. </w:t>
      </w:r>
      <w:proofErr w:type="spellStart"/>
      <w:r w:rsidR="003C1220">
        <w:rPr>
          <w:lang w:val="es-ES"/>
        </w:rPr>
        <w:t>Isolux</w:t>
      </w:r>
      <w:proofErr w:type="spellEnd"/>
      <w:r w:rsidR="003C1220">
        <w:rPr>
          <w:lang w:val="es-ES"/>
        </w:rPr>
        <w:t xml:space="preserve">, Leonardo </w:t>
      </w:r>
      <w:proofErr w:type="spellStart"/>
      <w:r w:rsidR="003C1220">
        <w:rPr>
          <w:lang w:val="es-ES"/>
        </w:rPr>
        <w:t>Rodriguez</w:t>
      </w:r>
      <w:proofErr w:type="spellEnd"/>
      <w:r w:rsidR="003C1220">
        <w:rPr>
          <w:lang w:val="es-ES"/>
        </w:rPr>
        <w:t xml:space="preserve"> y Luz Marina Casas. </w:t>
      </w:r>
      <w:r w:rsidR="00E602B0">
        <w:rPr>
          <w:lang w:val="es-ES"/>
        </w:rPr>
        <w:t>Las catalogadas grandes empresas son las que cuentan con una mejor capacidad tecnológica en términos de</w:t>
      </w:r>
      <w:r>
        <w:rPr>
          <w:lang w:val="es-ES"/>
        </w:rPr>
        <w:t xml:space="preserve"> equipos e infraestructura,</w:t>
      </w:r>
      <w:r w:rsidR="00E602B0">
        <w:rPr>
          <w:lang w:val="es-ES"/>
        </w:rPr>
        <w:t xml:space="preserve"> capacitaciones de personal</w:t>
      </w:r>
      <w:r w:rsidR="003C1220">
        <w:rPr>
          <w:lang w:val="es-ES"/>
        </w:rPr>
        <w:t>.</w:t>
      </w:r>
    </w:p>
    <w:p w:rsidR="00E602B0" w:rsidRDefault="00E602B0" w:rsidP="00F37435">
      <w:pPr>
        <w:jc w:val="both"/>
        <w:rPr>
          <w:lang w:val="es-ES"/>
        </w:rPr>
      </w:pPr>
    </w:p>
    <w:p w:rsidR="00F37435" w:rsidRPr="008B517F" w:rsidRDefault="00F37435" w:rsidP="00F62609">
      <w:pPr>
        <w:pStyle w:val="Heading2"/>
        <w:rPr>
          <w:b/>
          <w:sz w:val="40"/>
          <w:lang w:val="es-ES"/>
        </w:rPr>
      </w:pPr>
      <w:bookmarkStart w:id="7" w:name="_Toc512458918"/>
      <w:r w:rsidRPr="008B517F">
        <w:rPr>
          <w:b/>
          <w:sz w:val="40"/>
          <w:lang w:val="es-ES"/>
        </w:rPr>
        <w:t>Conclusiones</w:t>
      </w:r>
      <w:bookmarkEnd w:id="7"/>
    </w:p>
    <w:sectPr w:rsidR="00F37435" w:rsidRPr="008B517F" w:rsidSect="00EE7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778C2"/>
    <w:multiLevelType w:val="hybridMultilevel"/>
    <w:tmpl w:val="AF6E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A22B8"/>
    <w:multiLevelType w:val="hybridMultilevel"/>
    <w:tmpl w:val="55447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35"/>
    <w:rsid w:val="00016BF5"/>
    <w:rsid w:val="00061129"/>
    <w:rsid w:val="00066DE9"/>
    <w:rsid w:val="000C4491"/>
    <w:rsid w:val="000D72D3"/>
    <w:rsid w:val="000E0CCE"/>
    <w:rsid w:val="000E48C4"/>
    <w:rsid w:val="000E621A"/>
    <w:rsid w:val="000F610B"/>
    <w:rsid w:val="001320FC"/>
    <w:rsid w:val="00134C5C"/>
    <w:rsid w:val="001371E3"/>
    <w:rsid w:val="001445ED"/>
    <w:rsid w:val="0016007B"/>
    <w:rsid w:val="001D7879"/>
    <w:rsid w:val="001E70DD"/>
    <w:rsid w:val="00200203"/>
    <w:rsid w:val="00210DC8"/>
    <w:rsid w:val="002111FE"/>
    <w:rsid w:val="002B0A55"/>
    <w:rsid w:val="002B1A47"/>
    <w:rsid w:val="002E5556"/>
    <w:rsid w:val="002F1E49"/>
    <w:rsid w:val="003046D1"/>
    <w:rsid w:val="00314762"/>
    <w:rsid w:val="00324806"/>
    <w:rsid w:val="00352E6D"/>
    <w:rsid w:val="00357DD9"/>
    <w:rsid w:val="00365638"/>
    <w:rsid w:val="003938E3"/>
    <w:rsid w:val="003A2201"/>
    <w:rsid w:val="003A72A5"/>
    <w:rsid w:val="003C1220"/>
    <w:rsid w:val="003E434D"/>
    <w:rsid w:val="00404C8E"/>
    <w:rsid w:val="00431324"/>
    <w:rsid w:val="00433165"/>
    <w:rsid w:val="0045672C"/>
    <w:rsid w:val="004A7D4D"/>
    <w:rsid w:val="004B0C28"/>
    <w:rsid w:val="004E0B4B"/>
    <w:rsid w:val="00503E44"/>
    <w:rsid w:val="00524622"/>
    <w:rsid w:val="00530C8F"/>
    <w:rsid w:val="005657DA"/>
    <w:rsid w:val="005730A3"/>
    <w:rsid w:val="00583C81"/>
    <w:rsid w:val="005979DE"/>
    <w:rsid w:val="005C11FD"/>
    <w:rsid w:val="005C67B8"/>
    <w:rsid w:val="005D21D5"/>
    <w:rsid w:val="005E40DB"/>
    <w:rsid w:val="00610E3E"/>
    <w:rsid w:val="00662364"/>
    <w:rsid w:val="00675483"/>
    <w:rsid w:val="006A7EC9"/>
    <w:rsid w:val="006E1277"/>
    <w:rsid w:val="007141D1"/>
    <w:rsid w:val="0073332B"/>
    <w:rsid w:val="00781F72"/>
    <w:rsid w:val="007A40F2"/>
    <w:rsid w:val="007B3FE8"/>
    <w:rsid w:val="007D408E"/>
    <w:rsid w:val="007E6360"/>
    <w:rsid w:val="00830AA4"/>
    <w:rsid w:val="00833DCD"/>
    <w:rsid w:val="00847990"/>
    <w:rsid w:val="00867B0D"/>
    <w:rsid w:val="008740F3"/>
    <w:rsid w:val="008B517F"/>
    <w:rsid w:val="008B5956"/>
    <w:rsid w:val="00916525"/>
    <w:rsid w:val="009257F5"/>
    <w:rsid w:val="00956062"/>
    <w:rsid w:val="009603F4"/>
    <w:rsid w:val="00983A72"/>
    <w:rsid w:val="00993E4C"/>
    <w:rsid w:val="009A0D37"/>
    <w:rsid w:val="009B12B2"/>
    <w:rsid w:val="009B266B"/>
    <w:rsid w:val="009E77C0"/>
    <w:rsid w:val="009F3C6D"/>
    <w:rsid w:val="009F460B"/>
    <w:rsid w:val="00A21592"/>
    <w:rsid w:val="00A25F9F"/>
    <w:rsid w:val="00A4001C"/>
    <w:rsid w:val="00A722E5"/>
    <w:rsid w:val="00A76040"/>
    <w:rsid w:val="00A851F7"/>
    <w:rsid w:val="00AB0604"/>
    <w:rsid w:val="00AB46E9"/>
    <w:rsid w:val="00B07160"/>
    <w:rsid w:val="00B2125C"/>
    <w:rsid w:val="00B30A8C"/>
    <w:rsid w:val="00B34F01"/>
    <w:rsid w:val="00B41C12"/>
    <w:rsid w:val="00BA70E9"/>
    <w:rsid w:val="00BB72FF"/>
    <w:rsid w:val="00BF518F"/>
    <w:rsid w:val="00C02028"/>
    <w:rsid w:val="00C04333"/>
    <w:rsid w:val="00C112BA"/>
    <w:rsid w:val="00C16AEB"/>
    <w:rsid w:val="00C25A00"/>
    <w:rsid w:val="00C805B0"/>
    <w:rsid w:val="00C86538"/>
    <w:rsid w:val="00C87014"/>
    <w:rsid w:val="00CC3226"/>
    <w:rsid w:val="00CC7FB2"/>
    <w:rsid w:val="00CD74F1"/>
    <w:rsid w:val="00D41887"/>
    <w:rsid w:val="00D579BF"/>
    <w:rsid w:val="00D601DA"/>
    <w:rsid w:val="00DC7B52"/>
    <w:rsid w:val="00DE5401"/>
    <w:rsid w:val="00E12268"/>
    <w:rsid w:val="00E3015E"/>
    <w:rsid w:val="00E602B0"/>
    <w:rsid w:val="00E66454"/>
    <w:rsid w:val="00E825F0"/>
    <w:rsid w:val="00E93CE0"/>
    <w:rsid w:val="00EA5674"/>
    <w:rsid w:val="00EB6BCE"/>
    <w:rsid w:val="00EE77EB"/>
    <w:rsid w:val="00F21EC0"/>
    <w:rsid w:val="00F30B8D"/>
    <w:rsid w:val="00F37435"/>
    <w:rsid w:val="00F421E9"/>
    <w:rsid w:val="00F444BD"/>
    <w:rsid w:val="00F62609"/>
    <w:rsid w:val="00F75E72"/>
    <w:rsid w:val="00F811C5"/>
    <w:rsid w:val="00FD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B540"/>
  <w15:chartTrackingRefBased/>
  <w15:docId w15:val="{9107709E-D318-4641-A33A-DDDE4C6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26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F01"/>
    <w:pPr>
      <w:ind w:left="720"/>
      <w:contextualSpacing/>
    </w:pPr>
  </w:style>
  <w:style w:type="character" w:customStyle="1" w:styleId="Heading1Char">
    <w:name w:val="Heading 1 Char"/>
    <w:basedOn w:val="DefaultParagraphFont"/>
    <w:link w:val="Heading1"/>
    <w:uiPriority w:val="9"/>
    <w:rsid w:val="00F62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26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12BA"/>
    <w:pPr>
      <w:spacing w:before="480" w:line="276" w:lineRule="auto"/>
      <w:outlineLvl w:val="9"/>
    </w:pPr>
    <w:rPr>
      <w:b/>
      <w:bCs/>
      <w:sz w:val="28"/>
      <w:szCs w:val="28"/>
    </w:rPr>
  </w:style>
  <w:style w:type="paragraph" w:styleId="TOC1">
    <w:name w:val="toc 1"/>
    <w:basedOn w:val="Normal"/>
    <w:next w:val="Normal"/>
    <w:autoRedefine/>
    <w:uiPriority w:val="39"/>
    <w:unhideWhenUsed/>
    <w:rsid w:val="00C112BA"/>
    <w:pPr>
      <w:spacing w:before="120"/>
    </w:pPr>
    <w:rPr>
      <w:rFonts w:cstheme="minorHAnsi"/>
      <w:b/>
      <w:bCs/>
      <w:i/>
      <w:iCs/>
    </w:rPr>
  </w:style>
  <w:style w:type="paragraph" w:styleId="TOC2">
    <w:name w:val="toc 2"/>
    <w:basedOn w:val="Normal"/>
    <w:next w:val="Normal"/>
    <w:autoRedefine/>
    <w:uiPriority w:val="39"/>
    <w:unhideWhenUsed/>
    <w:rsid w:val="00C112BA"/>
    <w:pPr>
      <w:spacing w:before="120"/>
      <w:ind w:left="240"/>
    </w:pPr>
    <w:rPr>
      <w:rFonts w:cstheme="minorHAnsi"/>
      <w:b/>
      <w:bCs/>
      <w:sz w:val="22"/>
      <w:szCs w:val="22"/>
    </w:rPr>
  </w:style>
  <w:style w:type="character" w:styleId="Hyperlink">
    <w:name w:val="Hyperlink"/>
    <w:basedOn w:val="DefaultParagraphFont"/>
    <w:uiPriority w:val="99"/>
    <w:unhideWhenUsed/>
    <w:rsid w:val="00C112BA"/>
    <w:rPr>
      <w:color w:val="0563C1" w:themeColor="hyperlink"/>
      <w:u w:val="single"/>
    </w:rPr>
  </w:style>
  <w:style w:type="paragraph" w:styleId="TOC3">
    <w:name w:val="toc 3"/>
    <w:basedOn w:val="Normal"/>
    <w:next w:val="Normal"/>
    <w:autoRedefine/>
    <w:uiPriority w:val="39"/>
    <w:semiHidden/>
    <w:unhideWhenUsed/>
    <w:rsid w:val="00C112BA"/>
    <w:pPr>
      <w:ind w:left="480"/>
    </w:pPr>
    <w:rPr>
      <w:rFonts w:cstheme="minorHAnsi"/>
      <w:sz w:val="20"/>
      <w:szCs w:val="20"/>
    </w:rPr>
  </w:style>
  <w:style w:type="paragraph" w:styleId="TOC4">
    <w:name w:val="toc 4"/>
    <w:basedOn w:val="Normal"/>
    <w:next w:val="Normal"/>
    <w:autoRedefine/>
    <w:uiPriority w:val="39"/>
    <w:semiHidden/>
    <w:unhideWhenUsed/>
    <w:rsid w:val="00C112BA"/>
    <w:pPr>
      <w:ind w:left="720"/>
    </w:pPr>
    <w:rPr>
      <w:rFonts w:cstheme="minorHAnsi"/>
      <w:sz w:val="20"/>
      <w:szCs w:val="20"/>
    </w:rPr>
  </w:style>
  <w:style w:type="paragraph" w:styleId="TOC5">
    <w:name w:val="toc 5"/>
    <w:basedOn w:val="Normal"/>
    <w:next w:val="Normal"/>
    <w:autoRedefine/>
    <w:uiPriority w:val="39"/>
    <w:semiHidden/>
    <w:unhideWhenUsed/>
    <w:rsid w:val="00C112BA"/>
    <w:pPr>
      <w:ind w:left="960"/>
    </w:pPr>
    <w:rPr>
      <w:rFonts w:cstheme="minorHAnsi"/>
      <w:sz w:val="20"/>
      <w:szCs w:val="20"/>
    </w:rPr>
  </w:style>
  <w:style w:type="paragraph" w:styleId="TOC6">
    <w:name w:val="toc 6"/>
    <w:basedOn w:val="Normal"/>
    <w:next w:val="Normal"/>
    <w:autoRedefine/>
    <w:uiPriority w:val="39"/>
    <w:semiHidden/>
    <w:unhideWhenUsed/>
    <w:rsid w:val="00C112BA"/>
    <w:pPr>
      <w:ind w:left="1200"/>
    </w:pPr>
    <w:rPr>
      <w:rFonts w:cstheme="minorHAnsi"/>
      <w:sz w:val="20"/>
      <w:szCs w:val="20"/>
    </w:rPr>
  </w:style>
  <w:style w:type="paragraph" w:styleId="TOC7">
    <w:name w:val="toc 7"/>
    <w:basedOn w:val="Normal"/>
    <w:next w:val="Normal"/>
    <w:autoRedefine/>
    <w:uiPriority w:val="39"/>
    <w:semiHidden/>
    <w:unhideWhenUsed/>
    <w:rsid w:val="00C112BA"/>
    <w:pPr>
      <w:ind w:left="1440"/>
    </w:pPr>
    <w:rPr>
      <w:rFonts w:cstheme="minorHAnsi"/>
      <w:sz w:val="20"/>
      <w:szCs w:val="20"/>
    </w:rPr>
  </w:style>
  <w:style w:type="paragraph" w:styleId="TOC8">
    <w:name w:val="toc 8"/>
    <w:basedOn w:val="Normal"/>
    <w:next w:val="Normal"/>
    <w:autoRedefine/>
    <w:uiPriority w:val="39"/>
    <w:semiHidden/>
    <w:unhideWhenUsed/>
    <w:rsid w:val="00C112BA"/>
    <w:pPr>
      <w:ind w:left="1680"/>
    </w:pPr>
    <w:rPr>
      <w:rFonts w:cstheme="minorHAnsi"/>
      <w:sz w:val="20"/>
      <w:szCs w:val="20"/>
    </w:rPr>
  </w:style>
  <w:style w:type="paragraph" w:styleId="TOC9">
    <w:name w:val="toc 9"/>
    <w:basedOn w:val="Normal"/>
    <w:next w:val="Normal"/>
    <w:autoRedefine/>
    <w:uiPriority w:val="39"/>
    <w:semiHidden/>
    <w:unhideWhenUsed/>
    <w:rsid w:val="00C112BA"/>
    <w:pPr>
      <w:ind w:left="1920"/>
    </w:pPr>
    <w:rPr>
      <w:rFonts w:cstheme="minorHAnsi"/>
      <w:sz w:val="20"/>
      <w:szCs w:val="20"/>
    </w:rPr>
  </w:style>
  <w:style w:type="paragraph" w:styleId="Caption">
    <w:name w:val="caption"/>
    <w:basedOn w:val="Normal"/>
    <w:next w:val="Normal"/>
    <w:uiPriority w:val="35"/>
    <w:unhideWhenUsed/>
    <w:qFormat/>
    <w:rsid w:val="005979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50599">
      <w:bodyDiv w:val="1"/>
      <w:marLeft w:val="0"/>
      <w:marRight w:val="0"/>
      <w:marTop w:val="0"/>
      <w:marBottom w:val="0"/>
      <w:divBdr>
        <w:top w:val="none" w:sz="0" w:space="0" w:color="auto"/>
        <w:left w:val="none" w:sz="0" w:space="0" w:color="auto"/>
        <w:bottom w:val="none" w:sz="0" w:space="0" w:color="auto"/>
        <w:right w:val="none" w:sz="0" w:space="0" w:color="auto"/>
      </w:divBdr>
    </w:div>
    <w:div w:id="442892311">
      <w:bodyDiv w:val="1"/>
      <w:marLeft w:val="0"/>
      <w:marRight w:val="0"/>
      <w:marTop w:val="0"/>
      <w:marBottom w:val="0"/>
      <w:divBdr>
        <w:top w:val="none" w:sz="0" w:space="0" w:color="auto"/>
        <w:left w:val="none" w:sz="0" w:space="0" w:color="auto"/>
        <w:bottom w:val="none" w:sz="0" w:space="0" w:color="auto"/>
        <w:right w:val="none" w:sz="0" w:space="0" w:color="auto"/>
      </w:divBdr>
    </w:div>
    <w:div w:id="1065568094">
      <w:bodyDiv w:val="1"/>
      <w:marLeft w:val="0"/>
      <w:marRight w:val="0"/>
      <w:marTop w:val="0"/>
      <w:marBottom w:val="0"/>
      <w:divBdr>
        <w:top w:val="none" w:sz="0" w:space="0" w:color="auto"/>
        <w:left w:val="none" w:sz="0" w:space="0" w:color="auto"/>
        <w:bottom w:val="none" w:sz="0" w:space="0" w:color="auto"/>
        <w:right w:val="none" w:sz="0" w:space="0" w:color="auto"/>
      </w:divBdr>
    </w:div>
    <w:div w:id="169130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Sheet2!$A$57:$A$60</c:f>
              <c:strCache>
                <c:ptCount val="4"/>
                <c:pt idx="0">
                  <c:v>Tecnología</c:v>
                </c:pt>
                <c:pt idx="1">
                  <c:v>Organización</c:v>
                </c:pt>
                <c:pt idx="2">
                  <c:v>Conocimientos</c:v>
                </c:pt>
                <c:pt idx="3">
                  <c:v>Gestión</c:v>
                </c:pt>
              </c:strCache>
            </c:strRef>
          </c:cat>
          <c:val>
            <c:numRef>
              <c:f>Sheet2!$B$57:$B$60</c:f>
              <c:numCache>
                <c:formatCode>0.00%</c:formatCode>
                <c:ptCount val="4"/>
                <c:pt idx="0">
                  <c:v>0.249</c:v>
                </c:pt>
                <c:pt idx="1">
                  <c:v>0.154</c:v>
                </c:pt>
                <c:pt idx="2">
                  <c:v>8.2000000000000003E-2</c:v>
                </c:pt>
                <c:pt idx="3" formatCode="0%">
                  <c:v>0.06</c:v>
                </c:pt>
              </c:numCache>
            </c:numRef>
          </c:val>
          <c:extLst>
            <c:ext xmlns:c16="http://schemas.microsoft.com/office/drawing/2014/chart" uri="{C3380CC4-5D6E-409C-BE32-E72D297353CC}">
              <c16:uniqueId val="{00000000-912B-FC47-BE74-9AE143D79023}"/>
            </c:ext>
          </c:extLst>
        </c:ser>
        <c:dLbls>
          <c:dLblPos val="outEnd"/>
          <c:showLegendKey val="0"/>
          <c:showVal val="1"/>
          <c:showCatName val="0"/>
          <c:showSerName val="0"/>
          <c:showPercent val="0"/>
          <c:showBubbleSize val="0"/>
        </c:dLbls>
        <c:gapWidth val="444"/>
        <c:overlap val="-90"/>
        <c:axId val="1970070703"/>
        <c:axId val="1970072399"/>
      </c:barChart>
      <c:catAx>
        <c:axId val="197007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en-US"/>
          </a:p>
        </c:txPr>
        <c:crossAx val="1970072399"/>
        <c:crosses val="autoZero"/>
        <c:auto val="1"/>
        <c:lblAlgn val="ctr"/>
        <c:lblOffset val="100"/>
        <c:noMultiLvlLbl val="0"/>
      </c:catAx>
      <c:valAx>
        <c:axId val="1970072399"/>
        <c:scaling>
          <c:orientation val="minMax"/>
        </c:scaling>
        <c:delete val="1"/>
        <c:axPos val="l"/>
        <c:numFmt formatCode="0.00%" sourceLinked="1"/>
        <c:majorTickMark val="none"/>
        <c:minorTickMark val="none"/>
        <c:tickLblPos val="nextTo"/>
        <c:crossAx val="1970070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F30A-7E92-5E41-808A-737CBBA3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Armando Achicanoy Estrella</dc:creator>
  <cp:keywords/>
  <dc:description/>
  <cp:lastModifiedBy>Microsoft Office User</cp:lastModifiedBy>
  <cp:revision>87</cp:revision>
  <dcterms:created xsi:type="dcterms:W3CDTF">2018-04-21T23:15:00Z</dcterms:created>
  <dcterms:modified xsi:type="dcterms:W3CDTF">2018-04-26T05:33:00Z</dcterms:modified>
</cp:coreProperties>
</file>