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pt-PT"/>
        </w:rPr>
        <w:t>GESTI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N DEL CONOCIMIENTO EN LAS PYMES DEL VALLE DEL CAUCA</w:t>
      </w: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sz w:val="28"/>
          <w:szCs w:val="28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sz w:val="28"/>
          <w:szCs w:val="28"/>
          <w:rtl w:val="0"/>
          <w:lang w:val="es-ES_tradnl"/>
        </w:rPr>
        <w:t>lisis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center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n-US"/>
        </w:rPr>
        <w:t>Harold Achicanoy &amp; C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é</w:t>
      </w:r>
      <w:r>
        <w:rPr>
          <w:rStyle w:val="Ninguno"/>
          <w:rFonts w:ascii="Times New Roman" w:hAnsi="Times New Roman"/>
          <w:b w:val="1"/>
          <w:bCs w:val="1"/>
          <w:rtl w:val="0"/>
        </w:rPr>
        <w:t>sar Saavedra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exploratorio de datos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Pilar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ense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  <w:lang w:val="es-ES_tradnl"/>
        </w:rPr>
        <w:t>anza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5" name="officeArt object" descr="frecuencias_aprendizaj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frecuencias_aprendizaje.png" descr="frecuencias_aprendizaj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1.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11. Administraci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y gesti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(-) parece que hay barreras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6" name="officeArt object" descr="frecuencias_tecnologi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frecuencias_tecnologia.png" descr="frecuencias_tecnologia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2.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tecnolog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3. Desempe</w:t>
      </w:r>
      <w:r>
        <w:rPr>
          <w:rStyle w:val="Ninguno"/>
          <w:rFonts w:ascii="Times New Roman" w:hAnsi="Times New Roman" w:hint="default"/>
          <w:rtl w:val="0"/>
          <w:lang w:val="es-ES_tradnl"/>
        </w:rPr>
        <w:t>ñ</w:t>
      </w:r>
      <w:r>
        <w:rPr>
          <w:rStyle w:val="Ninguno"/>
          <w:rFonts w:ascii="Times New Roman" w:hAnsi="Times New Roman"/>
          <w:rtl w:val="0"/>
        </w:rPr>
        <w:t>o (+)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el liderazgo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7" name="officeArt object" descr="frecuencias_lideraz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frecuencias_liderazgo.png" descr="frecuencias_liderazg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3.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5.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externo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pt-PT"/>
        </w:rPr>
        <w:t>6. Adquisici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conocimiento interno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7. Transferencia de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8. Uso del conocimiento (+)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13. Barreras en la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(~) mucha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Style w:val="Ninguno"/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keepNext w:val="1"/>
        <w:jc w:val="both"/>
      </w:pPr>
      <w:r>
        <w:drawing>
          <wp:inline distT="0" distB="0" distL="0" distR="0">
            <wp:extent cx="5943600" cy="2701925"/>
            <wp:effectExtent l="0" t="0" r="0" b="0"/>
            <wp:docPr id="1073741828" name="officeArt object" descr="frecuencias_organiz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ecuencias_organizacion.png" descr="frecuencias_organizacion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Style w:val="Ninguno"/>
          <w:rFonts w:ascii="Times New Roman" w:cs="Times New Roman" w:hAnsi="Times New Roman" w:eastAsia="Times New Roman"/>
        </w:rPr>
      </w:pPr>
      <w:r>
        <w:rPr>
          <w:rtl w:val="0"/>
          <w:lang w:val="es-ES_tradnl"/>
        </w:rPr>
        <w:t>Figura 4. Gr</w:t>
      </w:r>
      <w:r>
        <w:rPr>
          <w:rtl w:val="0"/>
          <w:lang w:val="es-ES_tradnl"/>
        </w:rPr>
        <w:t>á</w:t>
      </w:r>
      <w:r>
        <w:rPr>
          <w:rtl w:val="0"/>
          <w:lang w:val="es-ES_tradnl"/>
        </w:rPr>
        <w:t>ficos de barras para las preguntas que definen el pilar de organizaci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9. Gesti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  <w:r>
        <w:rPr>
          <w:rFonts w:ascii="Times New Roman" w:hAnsi="Times New Roman"/>
          <w:rtl w:val="0"/>
        </w:rPr>
        <w:t>(+)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262481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frecuencias_gestion_conocimiento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a Aparte </w:t>
      </w:r>
    </w:p>
    <w:p>
      <w:pPr>
        <w:pStyle w:val="Cuerpo"/>
        <w:jc w:val="both"/>
        <w:rPr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>12. Utilizaci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  <w:lang w:val="es-ES_tradnl"/>
        </w:rPr>
        <w:t xml:space="preserve">n y Operatividad </w:t>
      </w:r>
      <w:r>
        <w:rPr>
          <w:rStyle w:val="Ninguno"/>
          <w:rFonts w:ascii="Times New Roman" w:cs="Times New Roman" w:hAnsi="Times New Roman" w:eastAsia="Times New Roman"/>
          <w:i w:val="1"/>
          <w:iCs w:val="1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255104</wp:posOffset>
            </wp:positionV>
            <wp:extent cx="5943600" cy="270163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frecuencias_tecnologia_apart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6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rtl w:val="0"/>
        </w:rPr>
        <w:t>(~) variaci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nl-NL"/>
        </w:rPr>
        <w:t>n en t</w:t>
      </w:r>
      <w:r>
        <w:rPr>
          <w:rStyle w:val="Ninguno"/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rminos generales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asociaci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n y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Aprendizaje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aprendizaje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96"/>
        <w:gridCol w:w="5307"/>
      </w:tblGrid>
      <w:tr>
        <w:tblPrEx>
          <w:shd w:val="clear" w:color="auto" w:fill="d0ddef"/>
        </w:tblPrEx>
        <w:trPr>
          <w:trHeight w:val="5149" w:hRule="atLeast"/>
        </w:trPr>
        <w:tc>
          <w:tcPr>
            <w:tcW w:type="dxa" w:w="519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59109" cy="3163824"/>
                  <wp:effectExtent l="0" t="0" r="0" b="0"/>
                  <wp:docPr id="1073741831" name="officeArt object" descr="chi_square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1" name="chi_square_test_aprendizaje.png" descr="chi_square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0" t="0" r="14103" b="139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9109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5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aprendizaje</w:t>
            </w:r>
          </w:p>
        </w:tc>
        <w:tc>
          <w:tcPr>
            <w:tcW w:type="dxa" w:w="53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2" name="officeArt object" descr="cramer_v_test_aprendizaj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2" name="cramer_v_test_aprendizaje.png" descr="cramer_v_test_aprendizaje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6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aprendizaje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  <w:lang w:val="it-IT"/>
        </w:rPr>
        <w:t>Tecnolog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i w:val="1"/>
          <w:iCs w:val="1"/>
          <w:rtl w:val="0"/>
        </w:rPr>
        <w:t>a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tbl>
      <w:tblPr>
        <w:tblW w:w="1054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235"/>
        <w:gridCol w:w="5308"/>
      </w:tblGrid>
      <w:tr>
        <w:tblPrEx>
          <w:shd w:val="clear" w:color="auto" w:fill="d0ddef"/>
        </w:tblPrEx>
        <w:trPr>
          <w:trHeight w:val="5152" w:hRule="atLeast"/>
        </w:trPr>
        <w:tc>
          <w:tcPr>
            <w:tcW w:type="dxa" w:w="523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8655" cy="3163825"/>
                  <wp:effectExtent l="0" t="0" r="0" b="0"/>
                  <wp:docPr id="1073741833" name="officeArt object" descr="chi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3" name="chi_test_tecnologia.png" descr="chi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0" t="0" r="15897" b="160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655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7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4" name="officeArt object" descr="cramer_v_test_tecnologi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cramer_v_test_tecnologia.png" descr="cramer_v_test_tecn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8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tecnolog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a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Liderazgo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del liderazgo</w:t>
      </w:r>
    </w:p>
    <w:tbl>
      <w:tblPr>
        <w:tblW w:w="1048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3"/>
        <w:gridCol w:w="5308"/>
      </w:tblGrid>
      <w:tr>
        <w:tblPrEx>
          <w:shd w:val="clear" w:color="auto" w:fill="d0ddef"/>
        </w:tblPrEx>
        <w:trPr>
          <w:trHeight w:val="5154" w:hRule="atLeast"/>
        </w:trPr>
        <w:tc>
          <w:tcPr>
            <w:tcW w:type="dxa" w:w="517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8239" cy="3163825"/>
                  <wp:effectExtent l="0" t="0" r="0" b="0"/>
                  <wp:docPr id="1073741835" name="officeArt object" descr="chi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chi_test_liderazgo.png" descr="chi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0" t="0" r="15832" b="15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239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9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liderazgo</w:t>
            </w:r>
          </w:p>
        </w:tc>
        <w:tc>
          <w:tcPr>
            <w:tcW w:type="dxa" w:w="53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6" name="officeArt object" descr="cramer_v_test_liderazg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cramer_v_test_liderazgo.png" descr="cramer_v_test_liderazgo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10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liderazgo</w:t>
            </w:r>
          </w:p>
        </w:tc>
      </w:tr>
    </w:tbl>
    <w:p>
      <w:pPr>
        <w:pStyle w:val="Cuerpo"/>
        <w:widowControl w:val="0"/>
        <w:spacing w:line="240" w:lineRule="aut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  <w:r>
        <w:rPr>
          <w:rStyle w:val="Ninguno"/>
          <w:rFonts w:ascii="Times New Roman" w:hAnsi="Times New Roman"/>
          <w:i w:val="1"/>
          <w:iCs w:val="1"/>
          <w:rtl w:val="0"/>
        </w:rPr>
        <w:t>Organizaci</w:t>
      </w:r>
      <w:r>
        <w:rPr>
          <w:rStyle w:val="Ninguno"/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i w:val="1"/>
          <w:iCs w:val="1"/>
          <w:rtl w:val="0"/>
        </w:rPr>
        <w:t>n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organizaci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</w:rPr>
        <w:t>n.</w:t>
      </w:r>
    </w:p>
    <w:tbl>
      <w:tblPr>
        <w:tblW w:w="10503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5176"/>
        <w:gridCol w:w="5327"/>
      </w:tblGrid>
      <w:tr>
        <w:tblPrEx>
          <w:shd w:val="clear" w:color="auto" w:fill="d0ddef"/>
        </w:tblPrEx>
        <w:trPr>
          <w:trHeight w:val="5144" w:hRule="atLeast"/>
        </w:trPr>
        <w:tc>
          <w:tcPr>
            <w:tcW w:type="dxa" w:w="517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49763" cy="3163825"/>
                  <wp:effectExtent l="0" t="0" r="0" b="0"/>
                  <wp:docPr id="1073741837" name="officeArt object" descr="chi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chi_test_organizacion.png" descr="chi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0" t="0" r="13846" b="134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9763" cy="31638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11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de independencia Chi-cuadrado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532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Cuerpo"/>
              <w:keepNext w:val="1"/>
              <w:spacing w:after="0" w:line="240" w:lineRule="auto"/>
              <w:jc w:val="both"/>
              <w:rPr>
                <w:rStyle w:val="Ninguno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</w:pPr>
            <w:r>
              <w:rPr>
                <w:rStyle w:val="Ninguno"/>
                <w:rFonts w:ascii="Times New Roman" w:cs="Times New Roman" w:hAnsi="Times New Roman" w:eastAsia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</w:rPr>
              <w:drawing>
                <wp:inline distT="0" distB="0" distL="0" distR="0">
                  <wp:extent cx="3163824" cy="3163824"/>
                  <wp:effectExtent l="0" t="0" r="0" b="0"/>
                  <wp:docPr id="1073741838" name="officeArt object" descr="cramer_v_test_organizacion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cramer_v_test_organizacion.png" descr="cramer_v_test_organiz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824" cy="316382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caption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 xml:space="preserve">Figura 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</w:rPr>
              <w:t>12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. Test V de Cramer por pares de variables pilar organizaci</w:t>
            </w:r>
            <w:r>
              <w:rPr>
                <w:rStyle w:val="Ninguno"/>
                <w:rFonts w:ascii="Calibri" w:hAnsi="Calibri" w:hint="default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Calibri" w:hAnsi="Calibri"/>
                <w:caps w:val="0"/>
                <w:smallCaps w:val="0"/>
                <w:strike w:val="0"/>
                <w:dstrike w:val="0"/>
                <w:outline w:val="0"/>
                <w:color w:val="44546a"/>
                <w:spacing w:val="0"/>
                <w:kern w:val="0"/>
                <w:position w:val="0"/>
                <w:sz w:val="18"/>
                <w:szCs w:val="18"/>
                <w:u w:val="none" w:color="44546a"/>
                <w:vertAlign w:val="baseline"/>
                <w:rtl w:val="0"/>
                <w:lang w:val="es-ES_tradnl"/>
              </w:rPr>
              <w:t>n</w:t>
            </w:r>
          </w:p>
        </w:tc>
      </w:tr>
    </w:tbl>
    <w:p>
      <w:pPr>
        <w:pStyle w:val="Cuerpo"/>
        <w:widowControl w:val="0"/>
        <w:spacing w:line="240" w:lineRule="auto"/>
        <w:jc w:val="center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Gesti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ó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n del Conocimiento 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 xml:space="preserve">n entre las barreras del conocimiento. 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39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chi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13. Test de independencia Chi-Cuadrado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n del Conocimiento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848484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0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cramer_v_test_gestion_conoc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Figura 14. Test V de Cramer por pares de variables pilar Gesti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ó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n del Conocimiento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i w:val="1"/>
          <w:iCs w:val="1"/>
        </w:rPr>
      </w:pP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Tecnolog</w:t>
      </w:r>
      <w:r>
        <w:rPr>
          <w:rFonts w:ascii="Times New Roman" w:hAnsi="Times New Roman" w:hint="default"/>
          <w:i w:val="1"/>
          <w:iCs w:val="1"/>
          <w:rtl w:val="0"/>
          <w:lang w:val="es-ES_tradnl"/>
        </w:rPr>
        <w:t>í</w:t>
      </w:r>
      <w:r>
        <w:rPr>
          <w:rFonts w:ascii="Times New Roman" w:hAnsi="Times New Roman"/>
          <w:i w:val="1"/>
          <w:iCs w:val="1"/>
          <w:rtl w:val="0"/>
          <w:lang w:val="es-ES_tradnl"/>
        </w:rPr>
        <w:t>a Otros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rtl w:val="0"/>
          <w:lang w:val="es-ES_tradnl"/>
        </w:rPr>
        <w:t>Fuerte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entre las barreras de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es-ES_tradnl"/>
        </w:rPr>
        <w:t>a otros.</w:t>
      </w:r>
    </w:p>
    <w:tbl>
      <w:tblPr>
        <w:tblW w:w="919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000000" w:sz="8" w:space="0" w:shadow="0" w:frame="0"/>
          <w:insideV w:val="single" w:color="000000" w:sz="8" w:space="0" w:shadow="0" w:frame="0"/>
        </w:tblBorders>
        <w:shd w:val="clear" w:color="auto" w:fill="d0ddef"/>
        <w:tblLayout w:type="fixed"/>
      </w:tblPr>
      <w:tblGrid>
        <w:gridCol w:w="4596"/>
        <w:gridCol w:w="4597"/>
      </w:tblGrid>
      <w:tr>
        <w:tblPrEx>
          <w:shd w:val="clear" w:color="auto" w:fill="d0ddef"/>
        </w:tblPrEx>
        <w:trPr>
          <w:trHeight w:val="4740" w:hRule="atLeast"/>
        </w:trPr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1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chi_test_tec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de independencia Chi-Cuadrado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  <w:tc>
          <w:tcPr>
            <w:tcW w:type="dxa" w:w="4596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  <w:rtl w:val="0"/>
              </w:rPr>
            </w:pPr>
            <w:r>
              <w:rPr>
                <w:rFonts w:ascii="Calibri" w:cs="Calibri" w:hAnsi="Calibri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  <w:drawing>
                <wp:inline distT="0" distB="0" distL="0" distR="0">
                  <wp:extent cx="2918778" cy="2918778"/>
                  <wp:effectExtent l="0" t="0" r="0" b="0"/>
                  <wp:docPr id="1073741842" name="officeArt objec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2" name="cramer_v_test_tegnologia_aparte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778" cy="29187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pt-PT"/>
              </w:rPr>
              <w:t>Figura 1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5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 xml:space="preserve">. Test V de Cramer por pares de variables pilar 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Tecnolog</w:t>
            </w:r>
            <w:r>
              <w:rPr>
                <w:rStyle w:val="Ninguno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í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  <w:lang w:val="es-ES_tradnl"/>
              </w:rPr>
              <w:t>a otros</w:t>
            </w:r>
            <w:r>
              <w:rPr>
                <w:rStyle w:val="Ninguno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525252"/>
                <w:spacing w:val="0"/>
                <w:kern w:val="0"/>
                <w:position w:val="0"/>
                <w:sz w:val="18"/>
                <w:szCs w:val="18"/>
                <w:u w:val="none"/>
                <w:vertAlign w:val="baseline"/>
                <w:rtl w:val="0"/>
              </w:rPr>
              <w:t xml:space="preserve"> </w:t>
            </w:r>
          </w:p>
        </w:tc>
      </w:tr>
      <w:tr>
        <w:tblPrEx>
          <w:shd w:val="clear" w:color="auto" w:fill="d0ddef"/>
        </w:tblPrEx>
        <w:trPr>
          <w:trHeight w:val="497" w:hRule="atLeast"/>
        </w:trPr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4596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</w:tr>
    </w:tbl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  <w:b w:val="1"/>
          <w:bCs w:val="1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á</w:t>
      </w: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lisis de correlaci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 can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  <w:lang w:val="it-IT"/>
        </w:rPr>
        <w:t>nico</w:t>
      </w:r>
    </w:p>
    <w:p>
      <w:pPr>
        <w:pStyle w:val="Cuerpo"/>
        <w:jc w:val="both"/>
        <w:rPr>
          <w:rFonts w:ascii="Times New Roman" w:cs="Times New Roman" w:hAnsi="Times New Roman" w:eastAsia="Times New Roman"/>
          <w:i w:val="1"/>
          <w:iCs w:val="1"/>
        </w:rPr>
      </w:pPr>
      <w:r>
        <w:rPr>
          <w:rFonts w:ascii="Times New Roman" w:hAnsi="Times New Roman"/>
          <w:i w:val="1"/>
          <w:iCs w:val="1"/>
          <w:rtl w:val="0"/>
          <w:lang w:val="es-ES_tradnl"/>
        </w:rPr>
        <w:t>El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de correlacio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n cano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nica es un tipo de ana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lisis estadi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stico linear de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variables, descrito inicialmente por Hotelling (1935). Actualmente se usa en qui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mica, biologi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nl-NL"/>
        </w:rPr>
        <w:t>a, meteorologi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</w:rPr>
        <w:t>a, demografi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 xml:space="preserve">a, inteligencia artificial, </w:t>
      </w:r>
      <w:r>
        <w:rPr>
          <w:rStyle w:val="Ninguno"/>
          <w:rFonts w:ascii="Times New Roman" w:hAnsi="Times New Roman"/>
          <w:b w:val="1"/>
          <w:bCs w:val="1"/>
          <w:i w:val="1"/>
          <w:iCs w:val="1"/>
          <w:rtl w:val="0"/>
          <w:lang w:val="es-ES_tradnl"/>
        </w:rPr>
        <w:t>ciencias del conocimiento</w:t>
      </w:r>
      <w:r>
        <w:rPr>
          <w:rFonts w:ascii="Times New Roman" w:hAnsi="Times New Roman"/>
          <w:i w:val="1"/>
          <w:iCs w:val="1"/>
          <w:rtl w:val="0"/>
          <w:lang w:val="es-ES_tradnl"/>
        </w:rPr>
        <w:t>, ciencias poli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pt-PT"/>
        </w:rPr>
        <w:t>ticas, sociologi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it-IT"/>
        </w:rPr>
        <w:t>a, psicometri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a, investigaciones de educacio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y ciencias de administracio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n para analizar relaciones multidimensionales entre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independientes y mu</w:t>
      </w:r>
      <w:r>
        <w:rPr>
          <w:rFonts w:ascii="Times New Roman" w:hAnsi="Times New Roman" w:hint="default"/>
          <w:i w:val="1"/>
          <w:iCs w:val="1"/>
          <w:rtl w:val="0"/>
        </w:rPr>
        <w:t>́</w:t>
      </w:r>
      <w:r>
        <w:rPr>
          <w:rFonts w:ascii="Times New Roman" w:hAnsi="Times New Roman"/>
          <w:i w:val="1"/>
          <w:iCs w:val="1"/>
          <w:rtl w:val="0"/>
          <w:lang w:val="es-ES_tradnl"/>
        </w:rPr>
        <w:t>ltiples variables dependientes.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  <w:lang w:val="es-ES_tradnl"/>
        </w:rPr>
        <w:t>Aprendizaje vs tecnolog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í</w:t>
      </w:r>
      <w:r>
        <w:rPr>
          <w:rStyle w:val="Ninguno"/>
          <w:rFonts w:ascii="Times New Roman" w:hAnsi="Times New Roman"/>
          <w:b w:val="1"/>
          <w:bCs w:val="1"/>
          <w:rtl w:val="0"/>
        </w:rPr>
        <w:t>a</w:t>
      </w:r>
      <w:r>
        <w:rPr>
          <w:rStyle w:val="Ninguno"/>
          <w:rFonts w:ascii="Times New Roman" w:hAnsi="Times New Roman"/>
          <w:rtl w:val="0"/>
          <w:lang w:val="pt-PT"/>
        </w:rPr>
        <w:t>: 0.8758831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aprendizaje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  <w:lang w:val="it-IT"/>
        </w:rPr>
        <w:t>a.</w:t>
      </w:r>
    </w:p>
    <w:p>
      <w:pPr>
        <w:pStyle w:val="Cuerpo"/>
        <w:jc w:val="both"/>
        <w:rPr>
          <w:rStyle w:val="Ninguno"/>
          <w:rFonts w:ascii="Times New Roman" w:cs="Times New Roman" w:hAnsi="Times New Roman" w:eastAsia="Times New Roman"/>
        </w:rPr>
      </w:pPr>
      <w:r>
        <w:rPr>
          <w:rStyle w:val="Ninguno"/>
          <w:rFonts w:ascii="Times New Roman" w:hAnsi="Times New Roman"/>
          <w:b w:val="1"/>
          <w:bCs w:val="1"/>
          <w:rtl w:val="0"/>
        </w:rPr>
        <w:t>Liderazgo vs organizaci</w:t>
      </w:r>
      <w:r>
        <w:rPr>
          <w:rStyle w:val="Ninguno"/>
          <w:rFonts w:ascii="Times New Roman" w:hAnsi="Times New Roman" w:hint="default"/>
          <w:b w:val="1"/>
          <w:bCs w:val="1"/>
          <w:rtl w:val="0"/>
          <w:lang w:val="es-ES_tradnl"/>
        </w:rPr>
        <w:t>ó</w:t>
      </w:r>
      <w:r>
        <w:rPr>
          <w:rStyle w:val="Ninguno"/>
          <w:rFonts w:ascii="Times New Roman" w:hAnsi="Times New Roman"/>
          <w:b w:val="1"/>
          <w:bCs w:val="1"/>
          <w:rtl w:val="0"/>
        </w:rPr>
        <w:t>n</w:t>
      </w:r>
      <w:r>
        <w:rPr>
          <w:rStyle w:val="Ninguno"/>
          <w:rFonts w:ascii="Times New Roman" w:hAnsi="Times New Roman"/>
          <w:rtl w:val="0"/>
          <w:lang w:val="pt-PT"/>
        </w:rPr>
        <w:t>: 0.8189259 alta correlaci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principalmente en funci</w:t>
      </w:r>
      <w:r>
        <w:rPr>
          <w:rStyle w:val="Ninguno"/>
          <w:rFonts w:ascii="Times New Roman" w:hAnsi="Times New Roman" w:hint="default"/>
          <w:rtl w:val="0"/>
          <w:lang w:val="es-ES_tradnl"/>
        </w:rPr>
        <w:t>ó</w:t>
      </w:r>
      <w:r>
        <w:rPr>
          <w:rStyle w:val="Ninguno"/>
          <w:rFonts w:ascii="Times New Roman" w:hAnsi="Times New Roman"/>
          <w:rtl w:val="0"/>
          <w:lang w:val="es-ES_tradnl"/>
        </w:rPr>
        <w:t>n de las barreras de liderazgo y tecnolog</w:t>
      </w:r>
      <w:r>
        <w:rPr>
          <w:rStyle w:val="Ninguno"/>
          <w:rFonts w:ascii="Times New Roman" w:hAnsi="Times New Roman" w:hint="default"/>
          <w:rtl w:val="0"/>
          <w:lang w:val="es-ES_tradnl"/>
        </w:rPr>
        <w:t>í</w:t>
      </w:r>
      <w:r>
        <w:rPr>
          <w:rStyle w:val="Ninguno"/>
          <w:rFonts w:ascii="Times New Roman" w:hAnsi="Times New Roman"/>
          <w:rtl w:val="0"/>
        </w:rPr>
        <w:t>a</w:t>
      </w:r>
    </w:p>
    <w:sectPr>
      <w:headerReference w:type="default" r:id="rId22"/>
      <w:footerReference w:type="default" r:id="rId23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0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pt-PT"/>
    </w:rPr>
  </w:style>
  <w:style w:type="character" w:styleId="Ninguno">
    <w:name w:val="Ninguno"/>
    <w:rPr>
      <w:lang w:val="pt-PT"/>
    </w:rPr>
  </w:style>
  <w:style w:type="paragraph" w:styleId="caption">
    <w:name w:val="caption"/>
    <w:next w:val="Cue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vertAlign w:val="baseline"/>
      <w:lang w:val="es-ES_tradnl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0" baseline="0" cap="none" i="1" spc="0" strike="noStrike" sz="900" u="none" kumimoji="0" normalizeH="0">
            <a:ln>
              <a:noFill/>
            </a:ln>
            <a:solidFill>
              <a:srgbClr val="44546A"/>
            </a:solidFill>
            <a:effectLst/>
            <a:uFill>
              <a:solidFill>
                <a:srgbClr val="44546A"/>
              </a:solidFill>
            </a:uFill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