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eaten worldwide. Hover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Colin K. Khoury, Harold A. Achicanoy, Anne D. Bjorkman, Carlos Navarro-Racines, Luigi Guarino, Ximena Flores-Palacios, Johannes M. M. Engels, John H. Wiersema, Hannes Dempewolf, Steven Sotelo, Julian Ramírez-Villegas, Nora P. Castañeda-Álvarez, Cary Fowler, Andy Jarvis, Loren H. Rieseberg, and Paul C. Struik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 America (North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America (Central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 S. America (Tropical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palm oil, pimento, pineapples, sweet potatoes, tea,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 S. America (Temperate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 Africa (West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Africa (Central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Africa (East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 Africa (Southern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IOI (Indian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NW Europe (Northwest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SW Europe (Southwest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 Europe (Northeast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 Europe (Southeast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 Mediterranean (South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 Asia (West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Asia (Central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 Asia (South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Asia (East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 Asia (Southeast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Pacific (Tropical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ANZ (Australia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produced worldwide. Hover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Colin K. Khoury, Harold A. Achicanoy, Anne D. Bjorkman, Carlos Navarro-Racines, Luigi Guarino, Ximena Flores-Palacios, Johannes M. M. Engels, John H. Wiersema, Hannes Dempewolf, Steven Sotelo, Julian Ramírez-Villegas, Nora P. Castañeda-Álvarez, Cary Fowler, Andy Jarvis, Loren H. Rieseberg, and Paul C. Struik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(million US$)]. 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 America (North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America (Central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 S. America (Tropical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 S. America (Temperate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 Africa (West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Africa (Central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Africa (East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 Africa (Southern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IOI (Indian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NW Europe (Northwest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SW Europe (Southwest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NE Europe (Northeast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 Europe (Southeast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 Mediterranean (South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 Asia (West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 Asia (Central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 Asia (South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 Asia (East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SE Asia (Southeast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Pacific (Tropical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ANZ (Australia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Contact: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Colin Khoury</w:t>
      </w:r>
    </w:p>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c.khoury@cgiar.org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Licence: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CC BY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About the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analyzed the full set of food crop commodities included in national food supply and pertinent national production data provided by FAO (2014) [for food supplies- calories (kcal/capita/day), protein (g/capita/day), fat (g/capita/day), and food weight (g/capita/day); for production systems- production quantity (tonnes), harvested area (ha), and gross production value (million US$)]. National food supply from plants represents national production plus imports plus or minus stock changes over the survey period; minus exports, quantities used for seed, animal feed, and in the manufacture of non-food products, and losses during storage and transport. While food supplies data accounts for direct human consumption, production data for crops such as maize and soybean is potentially inclusive of livestock and industrial uses as well as human food. In the production analysis we also included agricultural crops indirectly contributing to human food supplies via livestock production (i.e., alfalfa, clover, and vetch). Non-food (e.g., industrial and fibre) crops as well as animal product commodities were not included in the analysis. Plant commodities comprised of the same crop species were aggregated into single commodities representing the crop, e.g., sesame seed oil and sesame seed. After aggregation, 53 crop commodities remained in food supplies data, and 132 crop commodities in production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analyzed data for each crop commodity per country per measurement over the most recent three years for which sufficient data were available (2009-2011). All (177) countries consistently reported during the time period were included for food supplies variables, as well as for production quantity and harvested area, covering 98.5% of the world’s population. All (141) countries reported for (current million US$) production value were included, covering 94.1% of the world’s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regions of diversity were assigned based upon primary and secondary literature regarding centres of crop diversity, origins of crop domestication, and high species richness of closely related wild plants. Regional classifications followed those listed in Annex 2 of the FAO State of the World’s Plant Genetic Resources for Food and Agriculture (2010), modified to more accurately represent eco-geographic parameters driving plant species distributions. Specifically, both western and eastern Europe were split into north and south regions to account for temperate versus Mediterranean ecologies; Australia and New Zealand were segregated from remaining (tropical) islands of the Pacific region; and South America was split into Andean, temperate, and tropical regions. A total of 23 eco-geographic regions were delineated worldwide. In order to account for eco-geographic variation within countries, countries whose boundaries included more than one eco-geographic region were included in all appropriate regions (e.g., Colombia was assigned both to Andean and to tropical South American regions).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be generally inclusive in regard to regions of diversity of crops, crops whose primary areas of diversity encompassed more than one eco-geographic region were listed in all appropriate regions (e.g., wheat was listed in Central Asia, West Asia, and the South and East Mediterranean due to the high diversity of traditional crop varieties and wild relatives in each of these regions). Forty-two of the 53 crop commodities treated in food supplies data, and 116 of the 132 crops in production data, were attributable to primary regions of diversity, with the remaining general commodities which were not clearly attributable to specific crop species listed as “not specified”. These not specified commodities included - (for food supplies) - beverages, alcoholic, beverages, fermented, cereals, other, citrus, other, fruits, other, miscellaneous, oilcrops, other, spices, other, sweeteners, other, treenuts, and vegetables, other; (for production systems) - berries nes, cereals nes, fruit citrus nes, fruit fresh nes, fruit pome nes, fruit stone nes, fruit tropical fresh nes, grain mixed, nuts nes, oilseeds nes, pulses nes, roots tubers nes, spices nes, tea nes, vegetables fresh nes, and vegetables leguminous 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About the plot: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adapted from Abel and Sander (2014),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khoury@cgiar.org" TargetMode="External"/></Relationships>
</file>