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Gliederung und Zeitplan</w:t>
      </w:r>
    </w:p>
    <w:p>
      <w:pPr>
        <w:jc w:val="center"/>
      </w:pPr>
      <w:r>
        <w:rPr>
          <w:rFonts w:ascii="Calibri" w:hAnsi="Calibri"/>
          <w:sz w:val="20"/>
        </w:rPr>
        <w:t>Stand: 22. April 2026</w:t>
      </w:r>
    </w:p>
    <w:p>
      <w:pPr>
        <w:spacing w:before="120" w:after="120"/>
        <w:pBdr>
          <w:bottom w:val="single" w:sz="4" w:space="1" w:color="000000"/>
        </w:pBdr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Titel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Ein Mehrkriterien-Entscheidungsmodell zur Auswahl eines KPI-Hub-Integrationsansatzes in einer fragmentierten Enterprise-Systemlandschaft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Verfasser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Haakon Bessert (Matrikelnr. 3005149)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Praxispartner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SAP SE — Janine Steidelmüller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Betreuer DHSN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Prof. Dr.-Ing. Jürgen Sachse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Abgabe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10. Juli 2026</w:t>
            </w:r>
          </w:p>
        </w:tc>
      </w:tr>
    </w:tbl>
    <w:p>
      <w:pPr>
        <w:spacing w:before="120" w:after="120"/>
        <w:pBdr>
          <w:bottom w:val="single" w:sz="4" w:space="1" w:color="000000"/>
        </w:pBdr>
      </w:pPr>
    </w:p>
    <w:p>
      <w:pPr>
        <w:pStyle w:val="Heading1"/>
      </w:pPr>
      <w:r>
        <w:rPr>
          <w:color w:val="000000"/>
        </w:rPr>
        <w:t>Gliederung</w:t>
      </w:r>
    </w:p>
    <w:p>
      <w:r>
        <w:t>Die Arbeit umfasst 10 Kapitel auf 62 Seiten. Der detaillierte Aufbau ist nachfolgend dargestellt.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850"/>
        <w:gridCol w:w="6803"/>
        <w:gridCol w:w="850"/>
      </w:tblGrid>
      <w:tr>
        <w:tc>
          <w:tcPr>
            <w:tcW w:type="dxa" w:w="3024"/>
            <w:shd w:fill="D9E2F3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Nr.</w:t>
            </w:r>
          </w:p>
        </w:tc>
        <w:tc>
          <w:tcPr>
            <w:tcW w:type="dxa" w:w="3024"/>
            <w:shd w:fill="D9E2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Kapitel</w:t>
            </w:r>
          </w:p>
        </w:tc>
        <w:tc>
          <w:tcPr>
            <w:tcW w:type="dxa" w:w="3024"/>
            <w:shd w:fill="D9E2F3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S.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Einleitung</w:t>
            </w:r>
          </w:p>
        </w:tc>
        <w:tc>
          <w:tcPr>
            <w:tcW w:type="dxa" w:w="3024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Grundlagen und Stand der Forschung</w:t>
            </w:r>
          </w:p>
        </w:tc>
        <w:tc>
          <w:tcPr>
            <w:tcW w:type="dxa" w:w="3024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9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Methodik</w:t>
            </w:r>
          </w:p>
        </w:tc>
        <w:tc>
          <w:tcPr>
            <w:tcW w:type="dxa" w:w="3024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Ausgangssituation und Systemlandschaft</w:t>
            </w:r>
          </w:p>
        </w:tc>
        <w:tc>
          <w:tcPr>
            <w:tcW w:type="dxa" w:w="3024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Anforderungsanalyse</w:t>
            </w:r>
          </w:p>
        </w:tc>
        <w:tc>
          <w:tcPr>
            <w:tcW w:type="dxa" w:w="3024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Lösungsraum und Architektur-/Tooloptionen</w:t>
            </w:r>
          </w:p>
        </w:tc>
        <w:tc>
          <w:tcPr>
            <w:tcW w:type="dxa" w:w="3024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Entscheidungs- und Bewertungsmodell</w:t>
            </w:r>
          </w:p>
        </w:tc>
        <w:tc>
          <w:tcPr>
            <w:tcW w:type="dxa" w:w="3024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MVP: Design, Umsetzung und Validierung</w:t>
            </w:r>
          </w:p>
        </w:tc>
        <w:tc>
          <w:tcPr>
            <w:tcW w:type="dxa" w:w="3024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9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Ergebnisse und Diskussion</w:t>
            </w:r>
          </w:p>
        </w:tc>
        <w:tc>
          <w:tcPr>
            <w:tcW w:type="dxa" w:w="3024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Fazit und Ausblick</w:t>
            </w:r>
          </w:p>
        </w:tc>
        <w:tc>
          <w:tcPr>
            <w:tcW w:type="dxa" w:w="3024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</w:tr>
      <w:tr>
        <w:tc>
          <w:tcPr>
            <w:tcW w:type="dxa" w:w="3024"/>
            <w:shd w:fill="D9E2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3024"/>
            <w:shd w:fill="D9E2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Gesamt</w:t>
            </w:r>
          </w:p>
        </w:tc>
        <w:tc>
          <w:tcPr>
            <w:tcW w:type="dxa" w:w="3024"/>
            <w:shd w:fill="D9E2F3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62</w:t>
            </w:r>
          </w:p>
        </w:tc>
      </w:tr>
    </w:tbl>
    <w:p>
      <w:pPr>
        <w:pStyle w:val="Heading2"/>
      </w:pPr>
      <w:r>
        <w:rPr>
          <w:color w:val="000000"/>
        </w:rPr>
        <w:t>Detaillierte Untergliederung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1  Einleitung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6  Lösungsraum und Architektur-/Tooloptionen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1.1  Ausgangssituation und Problemstellung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6.1  Identifikation relevanter Lösungsansätze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1.2  Lösungsrelevanz und Motivation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6.2  Portal-/Dashboard-Föderation (Embedding)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1.3  Einordnung in die Wirtschaftsinformatik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6.3  Zentrale BI-Aggregation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1.4  Zielsetzung und Forschungsfrage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6.4  Low-Code / No-Code Plattformen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1.5  Aufbau der Arbeit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6.5  Kundenspezifische Webanwendung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6.6  Referenzprojekte bei SAP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2  Grundlagen und Stand der Forschung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6.7  Vergleichende Übersicht und Machbarkeitseinschätzung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2.1  KPI-Management und Business Intelligence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2.2  Enterprise-Systemintegration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7  Entscheidungs- und Bewertungsmodell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2.3  Data Governance und Zugriffskontrolle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7.1  Wahl der Bewertungsmethodik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2.4  Entscheidungsmethoden im Software Engineering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7.2  Aufbau des Scoring-Modells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2.5  Defizite bestehender Ansätze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7.3  Bewertung der Lösungsoptionen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7.4  Ergebnis und Empfehlung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3  Methodik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7.5  Sensitivitätsanalyse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3.1  Forschungsansatz (Design Science Research)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3.2  Literaturrecherche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8  MVP: Design, Umsetzung und Validierung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3.3  Ergebniserwartung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8.1  MVP-Zielsetzung und Scope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3.4  Vorgehen im Überblick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8.2  Architektur und Design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8.3  Umsetzung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4  Ausgangssituation und Systemlandschaft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8.4  Validierung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4.1  Organisatorischer Kontext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4.2  Bestehende Systemlandschaft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9  Ergebnisse und Diskussion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4.3  Ist-Zustand der KPI-Versorgung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9.1  Ergebnisse der Bewertung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4.4  Datenbereitstellung und Schnittstellenlandschaft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9.2  Beantwortung der Forschungsfrage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4.5  Identifizierte Problemfelder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9.3  Kritische Diskussion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9.4  Vergleich mit Ergebniserwartung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5  Anforderungsanalyse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5.1  Vorgehen bei der Anforderungserhebung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10  Fazit und Ausblick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5.2  Stakeholder und Use Cases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10.1  Fazit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5.3  Funktionale Anforderungen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10.2  Beitrag der Arbeit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5.4  Nicht-funktionale Anforderungen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10.3  Ausblick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5.5  Priorisierung der Anforderungen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spacing w:before="120" w:after="120"/>
        <w:pBdr>
          <w:bottom w:val="single" w:sz="4" w:space="1" w:color="000000"/>
        </w:pBdr>
      </w:pPr>
    </w:p>
    <w:p>
      <w:pPr>
        <w:pStyle w:val="Heading1"/>
      </w:pPr>
      <w:r>
        <w:rPr>
          <w:color w:val="000000"/>
        </w:rPr>
        <w:t>Roter Faden</w:t>
      </w:r>
    </w:p>
    <w:p>
      <w:r>
        <w:rPr>
          <w:rFonts w:ascii="Calibri" w:hAnsi="Calibri"/>
          <w:sz w:val="22"/>
        </w:rPr>
        <w:t>Die Kapitelstruktur folgt dem DSR-Prozessmodell nach Peffers et al. (2007) — von der Problemdefinition über die Artefaktkonstruktion bis zur Evaluation: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fill="D9E2F3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Kap. 1–4</w:t>
            </w:r>
            <w:r>
              <w:rPr>
                <w:sz w:val="18"/>
              </w:rPr>
              <w:br/>
            </w:r>
            <w:r>
              <w:rPr>
                <w:rFonts w:ascii="Calibri" w:hAnsi="Calibri"/>
                <w:b w:val="0"/>
                <w:sz w:val="18"/>
              </w:rPr>
              <w:t>Problem &amp;</w:t>
            </w:r>
            <w:r>
              <w:rPr>
                <w:sz w:val="18"/>
              </w:rPr>
              <w:br/>
            </w:r>
            <w:r>
              <w:rPr>
                <w:rFonts w:ascii="Calibri" w:hAnsi="Calibri"/>
                <w:b w:val="0"/>
                <w:sz w:val="18"/>
              </w:rPr>
              <w:t>Systemlandschaft</w:t>
            </w:r>
          </w:p>
        </w:tc>
        <w:tc>
          <w:tcPr>
            <w:tcW w:type="dxa" w:w="1008"/>
          </w:tcPr>
          <w:p>
            <w:pPr>
              <w:spacing w:before="80" w:after="80"/>
              <w:jc w:val="center"/>
            </w:pPr>
            <w:r/>
            <w:r>
              <w:rPr>
                <w:b/>
                <w:sz w:val="28"/>
              </w:rPr>
              <w:t>→</w:t>
            </w:r>
          </w:p>
        </w:tc>
        <w:tc>
          <w:tcPr>
            <w:tcW w:type="dxa" w:w="1008"/>
            <w:shd w:fill="D9E2F3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Kap. 5</w:t>
            </w:r>
            <w:r>
              <w:rPr>
                <w:sz w:val="18"/>
              </w:rPr>
              <w:br/>
            </w:r>
            <w:r>
              <w:rPr>
                <w:rFonts w:ascii="Calibri" w:hAnsi="Calibri"/>
                <w:b w:val="0"/>
                <w:sz w:val="18"/>
              </w:rPr>
              <w:t>Anforderungs-</w:t>
            </w:r>
            <w:r>
              <w:rPr>
                <w:sz w:val="18"/>
              </w:rPr>
              <w:br/>
            </w:r>
            <w:r>
              <w:rPr>
                <w:rFonts w:ascii="Calibri" w:hAnsi="Calibri"/>
                <w:b w:val="0"/>
                <w:sz w:val="18"/>
              </w:rPr>
              <w:t>analyse</w:t>
            </w:r>
          </w:p>
        </w:tc>
        <w:tc>
          <w:tcPr>
            <w:tcW w:type="dxa" w:w="1008"/>
          </w:tcPr>
          <w:p>
            <w:pPr>
              <w:spacing w:before="80" w:after="80"/>
              <w:jc w:val="center"/>
            </w:pPr>
            <w:r/>
            <w:r>
              <w:rPr>
                <w:b/>
                <w:sz w:val="28"/>
              </w:rPr>
              <w:t>→</w:t>
            </w:r>
          </w:p>
        </w:tc>
        <w:tc>
          <w:tcPr>
            <w:tcW w:type="dxa" w:w="1008"/>
            <w:shd w:fill="D9E2F3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Kap. 6–7</w:t>
            </w:r>
            <w:r>
              <w:rPr>
                <w:sz w:val="18"/>
              </w:rPr>
              <w:br/>
            </w:r>
            <w:r>
              <w:rPr>
                <w:rFonts w:ascii="Calibri" w:hAnsi="Calibri"/>
                <w:b w:val="0"/>
                <w:sz w:val="18"/>
              </w:rPr>
              <w:t>Lösungsraum &amp;</w:t>
            </w:r>
            <w:r>
              <w:rPr>
                <w:sz w:val="18"/>
              </w:rPr>
              <w:br/>
            </w:r>
            <w:r>
              <w:rPr>
                <w:rFonts w:ascii="Calibri" w:hAnsi="Calibri"/>
                <w:b w:val="0"/>
                <w:sz w:val="18"/>
              </w:rPr>
              <w:t>Bewertung</w:t>
            </w:r>
          </w:p>
        </w:tc>
        <w:tc>
          <w:tcPr>
            <w:tcW w:type="dxa" w:w="1008"/>
          </w:tcPr>
          <w:p>
            <w:pPr>
              <w:spacing w:before="80" w:after="80"/>
              <w:jc w:val="center"/>
            </w:pPr>
            <w:r/>
            <w:r>
              <w:rPr>
                <w:b/>
                <w:sz w:val="28"/>
              </w:rPr>
              <w:t>→</w:t>
            </w:r>
          </w:p>
        </w:tc>
        <w:tc>
          <w:tcPr>
            <w:tcW w:type="dxa" w:w="1008"/>
            <w:shd w:fill="D9E2F3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Kap. 8–9</w:t>
            </w:r>
            <w:r>
              <w:rPr>
                <w:sz w:val="18"/>
              </w:rPr>
              <w:br/>
            </w:r>
            <w:r>
              <w:rPr>
                <w:rFonts w:ascii="Calibri" w:hAnsi="Calibri"/>
                <w:b w:val="0"/>
                <w:sz w:val="18"/>
              </w:rPr>
              <w:t>MVP &amp;</w:t>
            </w:r>
            <w:r>
              <w:rPr>
                <w:sz w:val="18"/>
              </w:rPr>
              <w:br/>
            </w:r>
            <w:r>
              <w:rPr>
                <w:rFonts w:ascii="Calibri" w:hAnsi="Calibri"/>
                <w:b w:val="0"/>
                <w:sz w:val="18"/>
              </w:rPr>
              <w:t>Validierung</w:t>
            </w:r>
          </w:p>
        </w:tc>
        <w:tc>
          <w:tcPr>
            <w:tcW w:type="dxa" w:w="1008"/>
          </w:tcPr>
          <w:p>
            <w:pPr>
              <w:spacing w:before="80" w:after="80"/>
              <w:jc w:val="center"/>
            </w:pPr>
            <w:r/>
            <w:r>
              <w:rPr>
                <w:b/>
                <w:sz w:val="28"/>
              </w:rPr>
              <w:t>→</w:t>
            </w:r>
          </w:p>
        </w:tc>
        <w:tc>
          <w:tcPr>
            <w:tcW w:type="dxa" w:w="1008"/>
            <w:shd w:fill="D9E2F3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Kap. 10</w:t>
            </w:r>
            <w:r>
              <w:rPr>
                <w:sz w:val="18"/>
              </w:rPr>
              <w:br/>
            </w:r>
            <w:r>
              <w:rPr>
                <w:rFonts w:ascii="Calibri" w:hAnsi="Calibri"/>
                <w:b w:val="0"/>
                <w:sz w:val="18"/>
              </w:rPr>
              <w:t>Fazit &amp;</w:t>
            </w:r>
            <w:r>
              <w:rPr>
                <w:sz w:val="18"/>
              </w:rPr>
              <w:br/>
            </w:r>
            <w:r>
              <w:rPr>
                <w:rFonts w:ascii="Calibri" w:hAnsi="Calibri"/>
                <w:b w:val="0"/>
                <w:sz w:val="18"/>
              </w:rPr>
              <w:t>Ausblick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Relevance Cycle</w:t>
            </w:r>
          </w:p>
        </w:tc>
        <w:tc>
          <w:tcPr>
            <w:tcW w:type="dxa" w:w="1008"/>
          </w:tcPr>
          <w:p/>
        </w:tc>
        <w:tc>
          <w:tcPr>
            <w:tcW w:type="dxa" w:w="3024"/>
            <w:gridSpan w:val="3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Rigor Cycle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Artefakt-Evaluation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</w:tbl>
    <w:p>
      <w:pPr>
        <w:spacing w:before="120" w:after="120"/>
        <w:pBdr>
          <w:bottom w:val="single" w:sz="4" w:space="1" w:color="000000"/>
        </w:pBdr>
      </w:pPr>
    </w:p>
    <w:p>
      <w:pPr>
        <w:pStyle w:val="Heading1"/>
      </w:pPr>
      <w:r>
        <w:rPr>
          <w:color w:val="000000"/>
        </w:rPr>
        <w:t>Strukturelle Entscheidungen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18"/>
        <w:gridCol w:w="5953"/>
      </w:tblGrid>
      <w:tr>
        <w:tc>
          <w:tcPr>
            <w:tcW w:type="dxa" w:w="4535"/>
            <w:shd w:fill="D9E2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Entscheidung</w:t>
            </w:r>
          </w:p>
        </w:tc>
        <w:tc>
          <w:tcPr>
            <w:tcW w:type="dxa" w:w="4535"/>
            <w:shd w:fill="D9E2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Begründung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DSR als Methodik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Zwei Artefakte im Zentrum: Scoring-Modell + MVP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Kap. 2.5 Entscheidungsmethoden</w:t>
              <w:br/>
              <w:t>im Software Engineering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Theoretische Basis für Kap. 7 — Methodenwahl (AHP, Nutzwertanalyse etc.) wird hier fundiert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Kap. 4.4 Datenbereitstellung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Janine: explizit abzudeckendes Thema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Kap. 6.6/6.7 Referenzprojekte +</w:t>
              <w:br/>
              <w:t>Machbarkeitseinschätzung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Janines Kernkriterium: Umsetzbarkeit als Vorfilter vor dem Scoring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Kap. 7.1 Wahl der</w:t>
              <w:br/>
              <w:t>Bewertungsmethodik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Sachse: Warum dieses Bewertungsverfahren? — explizit begründen</w:t>
            </w:r>
          </w:p>
        </w:tc>
      </w:tr>
    </w:tbl>
    <w:p>
      <w:pPr>
        <w:spacing w:before="120" w:after="120"/>
        <w:pBdr>
          <w:bottom w:val="single" w:sz="4" w:space="1" w:color="000000"/>
        </w:pBdr>
      </w:pPr>
    </w:p>
    <w:p>
      <w:pPr>
        <w:pStyle w:val="Heading1"/>
      </w:pPr>
      <w:r>
        <w:rPr>
          <w:color w:val="000000"/>
        </w:rPr>
        <w:t>Zeitplan</w:t>
      </w:r>
    </w:p>
    <w:p>
      <w:r>
        <w:rPr>
          <w:rFonts w:ascii="Calibri" w:hAnsi="Calibri"/>
          <w:i/>
          <w:sz w:val="22"/>
        </w:rPr>
        <w:t>Das Schreiben der Kapitel läuft parallel zu jeder Phase — nicht erst am Ende.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701"/>
        <w:gridCol w:w="1984"/>
        <w:gridCol w:w="3118"/>
        <w:gridCol w:w="2268"/>
      </w:tblGrid>
      <w:tr>
        <w:tc>
          <w:tcPr>
            <w:tcW w:type="dxa" w:w="2268"/>
            <w:shd w:fill="D9E2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2268"/>
            <w:shd w:fill="D9E2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Zeitraum</w:t>
            </w:r>
          </w:p>
        </w:tc>
        <w:tc>
          <w:tcPr>
            <w:tcW w:type="dxa" w:w="2268"/>
            <w:shd w:fill="D9E2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Schwerpunkt</w:t>
            </w:r>
          </w:p>
        </w:tc>
        <w:tc>
          <w:tcPr>
            <w:tcW w:type="dxa" w:w="2268"/>
            <w:shd w:fill="D9E2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Parallel schreiben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Orientierung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20. Apr – 7. Mai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Onboarding, Systemlandschaft, Stakeholder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Kap. 1, 3 + Literatur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Anforderungen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8. Mai – 24. Mai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Interviews, Requirements erheben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Kap. 2, 4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Analyse &amp; Modell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25. Mai – 14. Jun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Lösungsraum, Scoring-Modell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Kap. 5, 6, 7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MVP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15. Jun – 30. Jun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MVP umsetzen und validieren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Kap. 8, 9, 10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Puffer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1. Jul – 9. Jul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Korrekturen, Feinschliff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268"/>
            <w:shd w:fill="FFF2C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Abgabe</w:t>
            </w:r>
          </w:p>
        </w:tc>
        <w:tc>
          <w:tcPr>
            <w:tcW w:type="dxa" w:w="2268"/>
            <w:shd w:fill="FFF2C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10. Juli 2026</w:t>
            </w:r>
          </w:p>
        </w:tc>
        <w:tc>
          <w:tcPr>
            <w:tcW w:type="dxa" w:w="2268"/>
            <w:shd w:fill="FFF2CC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268"/>
            <w:shd w:fill="FFF2CC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