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32"/>
        </w:rPr>
        <w:t>Gliederung und Zeitplan</w:t>
      </w:r>
    </w:p>
    <w:p>
      <w:pPr>
        <w:jc w:val="center"/>
      </w:pPr>
      <w:r>
        <w:rPr>
          <w:rFonts w:ascii="Calibri" w:hAnsi="Calibri"/>
          <w:sz w:val="20"/>
        </w:rPr>
        <w:t>Stand: 22. April 2026</w:t>
      </w:r>
    </w:p>
    <w:p>
      <w:pPr>
        <w:spacing w:before="120" w:after="12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Titel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Ein Mehrkriterien-Entscheidungsmodell zur Auswahl eines KPI-Hub-Integrationsansatzes in einer fragmentierten Enterprise-Systemlandschaft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Verfasser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Haakon Bessert (Matrikelnr. 3005149)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Praxispartner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SAP SE — Janine Steidelmüller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Betreuer DHSN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Prof. Dr.-Ing. Jürgen Sachse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Abgabe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10. Juli 2026</w:t>
            </w:r>
          </w:p>
        </w:tc>
      </w:tr>
    </w:tbl>
    <w:p>
      <w:pPr>
        <w:spacing w:before="120" w:after="120"/>
        <w:pBdr>
          <w:bottom w:val="single" w:sz="4" w:space="1" w:color="000000"/>
        </w:pBdr>
      </w:pPr>
    </w:p>
    <w:p>
      <w:pPr>
        <w:pStyle w:val="Heading1"/>
      </w:pPr>
      <w:r>
        <w:rPr>
          <w:color w:val="000000"/>
        </w:rPr>
        <w:t>Gliederung</w:t>
      </w:r>
    </w:p>
    <w:p>
      <w:r>
        <w:t>Die Arbeit umfasst 10 Kapitel auf 62 Seiten. Der detaillierte Aufbau ist nachfolgend dargestellt.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850"/>
        <w:gridCol w:w="6803"/>
        <w:gridCol w:w="850"/>
      </w:tblGrid>
      <w:tr>
        <w:tc>
          <w:tcPr>
            <w:tcW w:type="dxa" w:w="3024"/>
            <w:shd w:fill="D9E2F3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Nr.</w:t>
            </w:r>
          </w:p>
        </w:tc>
        <w:tc>
          <w:tcPr>
            <w:tcW w:type="dxa" w:w="3024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Kapitel</w:t>
            </w:r>
          </w:p>
        </w:tc>
        <w:tc>
          <w:tcPr>
            <w:tcW w:type="dxa" w:w="3024"/>
            <w:shd w:fill="D9E2F3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S.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Einleitung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Grundlagen und Stand der Forschung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Methodik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Ausgangssituation und Systemlandschaft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Anforderungsanalyse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Lösungsraum und Architektur-/Tooloptionen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7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Entscheidungs- und Bewertungsmodell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MVP: Design, Umsetzung und Validierung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8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Ergebnisse und Diskussion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</w:tr>
      <w:tr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10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Fazit und Ausblick</w:t>
            </w:r>
          </w:p>
        </w:tc>
        <w:tc>
          <w:tcPr>
            <w:tcW w:type="dxa" w:w="3024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</w:tr>
      <w:tr>
        <w:tc>
          <w:tcPr>
            <w:tcW w:type="dxa" w:w="3024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3024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Gesamt</w:t>
            </w:r>
          </w:p>
        </w:tc>
        <w:tc>
          <w:tcPr>
            <w:tcW w:type="dxa" w:w="3024"/>
            <w:shd w:fill="D9E2F3"/>
          </w:tcPr>
          <w:p>
            <w:pPr>
              <w:spacing w:before="40" w:after="40"/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62</w:t>
            </w:r>
          </w:p>
        </w:tc>
      </w:tr>
    </w:tbl>
    <w:p>
      <w:pPr>
        <w:pStyle w:val="Heading2"/>
      </w:pPr>
      <w:r>
        <w:rPr>
          <w:color w:val="000000"/>
        </w:rPr>
        <w:t>Detaillierte Untergliederung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1  Einleitung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6  Lösungsraum und Architektur-/Tooloptionen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1.1  Ausgangssituation und Problemstellung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6.1  Identifikation relevanter Lösungsansätze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1.2  Lösungsrelevanz und Motivation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6.2  Portal-/Dashboard-Föderation (Embedding)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1.3  Einordnung in die Wirtschaftsinformatik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6.3  Zentrale BI-Aggregation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1.4  Zielsetzung und Forschungsfrage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6.4  Low-Code / No-Code Plattformen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1.5  Aufbau der Arbeit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6.5  Kundenspezifische Webanwendung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6.6  Referenzprojekte bei SAP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2  Grundlagen und Stand der Forschung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6.7  Vergleichende Übersicht und Machbarkeitseinschätzung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2.1  KPI-Management und Business Intelligence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2.2  Enterprise-Systemintegration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7  Entscheidungs- und Bewertungsmodell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2.3  Data Governance und Zugriffskontrolle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7.1  Wahl der Bewertungsmethodik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2.4  Entscheidungsmethoden im Software Engineering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7.2  Aufbau des Scoring-Modells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2.5  Defizite bestehender Ansätze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7.3  Bewertung der Lösungsoptionen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7.4  Ergebnis und Empfehlung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3  Methodik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7.5  Sensitivitätsanalyse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3.1  Forschungsansatz (Design Science Research)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3.2  Literaturrecherche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8  MVP: Design, Umsetzung und Validierung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3.3  Ergebniserwartung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8.1  MVP-Zielsetzung und Scope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3.4  Vorgehen im Überblick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8.2  Architektur und Design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8.3  Umsetzung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4  Ausgangssituation und Systemlandschaft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8.4  Validierung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4.1  Organisatorischer Kontext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4.2  Bestehende Systemlandschaft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9  Ergebnisse und Diskussion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4.3  Ist-Zustand der KPI-Versorgung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9.1  Ergebnisse der Bewertung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4.4  Datenbereitstellung und Schnittstellenlandschaft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9.2  Beantwortung der Forschungsfrage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4.5  Identifizierte Problemfelder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9.3  Kritische Diskussion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9.4  Vergleich mit Ergebniserwartung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5  Anforderungsanalyse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5.1  Vorgehen bei der Anforderungserhebung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10  Fazit und Ausblick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5.2  Stakeholder und Use Cases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10.1  Fazit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5.3  Funktionale Anforderungen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10.2  Beitrag der Arbeit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5.4  Nicht-funktionale Anforderungen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10.3  Ausblick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  <w:t>5.5  Priorisierung der Anforderungen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18"/>
              </w:rPr>
            </w:r>
          </w:p>
        </w:tc>
      </w:tr>
    </w:tbl>
    <w:p>
      <w:pPr>
        <w:spacing w:before="120" w:after="120"/>
        <w:pBdr>
          <w:bottom w:val="single" w:sz="4" w:space="1" w:color="000000"/>
        </w:pBdr>
      </w:pPr>
    </w:p>
    <w:p>
      <w:pPr>
        <w:pStyle w:val="Heading1"/>
      </w:pPr>
      <w:r>
        <w:rPr>
          <w:color w:val="000000"/>
        </w:rPr>
        <w:t>Roter Faden</w:t>
      </w:r>
    </w:p>
    <w:p>
      <w:r>
        <w:rPr>
          <w:rFonts w:ascii="Calibri" w:hAnsi="Calibri"/>
          <w:sz w:val="22"/>
        </w:rPr>
        <w:t>Die Kapitelstruktur folgt dem DSR-Prozessmodell nach Peffers et al. (2007) — von der Problemdefinition über die Artefaktkonstruktion bis zur Evaluation: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D9E2F3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Kap. 1–4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Problem &amp;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Systemlandschaft</w:t>
            </w:r>
          </w:p>
        </w:tc>
        <w:tc>
          <w:tcPr>
            <w:tcW w:type="dxa" w:w="1008"/>
          </w:tcPr>
          <w:p>
            <w:pPr>
              <w:spacing w:before="80" w:after="80"/>
              <w:jc w:val="center"/>
            </w:pPr>
            <w:r/>
            <w:r>
              <w:rPr>
                <w:b/>
                <w:sz w:val="28"/>
              </w:rPr>
              <w:t>→</w:t>
            </w:r>
          </w:p>
        </w:tc>
        <w:tc>
          <w:tcPr>
            <w:tcW w:type="dxa" w:w="1008"/>
            <w:shd w:fill="D9E2F3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Kap. 5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Anforderungs-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analyse</w:t>
            </w:r>
          </w:p>
        </w:tc>
        <w:tc>
          <w:tcPr>
            <w:tcW w:type="dxa" w:w="1008"/>
          </w:tcPr>
          <w:p>
            <w:pPr>
              <w:spacing w:before="80" w:after="80"/>
              <w:jc w:val="center"/>
            </w:pPr>
            <w:r/>
            <w:r>
              <w:rPr>
                <w:b/>
                <w:sz w:val="28"/>
              </w:rPr>
              <w:t>→</w:t>
            </w:r>
          </w:p>
        </w:tc>
        <w:tc>
          <w:tcPr>
            <w:tcW w:type="dxa" w:w="1008"/>
            <w:shd w:fill="D9E2F3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Kap. 6–7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Lösungsraum &amp;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Bewertung</w:t>
            </w:r>
          </w:p>
        </w:tc>
        <w:tc>
          <w:tcPr>
            <w:tcW w:type="dxa" w:w="1008"/>
          </w:tcPr>
          <w:p>
            <w:pPr>
              <w:spacing w:before="80" w:after="80"/>
              <w:jc w:val="center"/>
            </w:pPr>
            <w:r/>
            <w:r>
              <w:rPr>
                <w:b/>
                <w:sz w:val="28"/>
              </w:rPr>
              <w:t>→</w:t>
            </w:r>
          </w:p>
        </w:tc>
        <w:tc>
          <w:tcPr>
            <w:tcW w:type="dxa" w:w="1008"/>
            <w:shd w:fill="D9E2F3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Kap. 8–9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MVP &amp;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Validierung</w:t>
            </w:r>
          </w:p>
        </w:tc>
        <w:tc>
          <w:tcPr>
            <w:tcW w:type="dxa" w:w="1008"/>
          </w:tcPr>
          <w:p>
            <w:pPr>
              <w:spacing w:before="80" w:after="80"/>
              <w:jc w:val="center"/>
            </w:pPr>
            <w:r/>
            <w:r>
              <w:rPr>
                <w:b/>
                <w:sz w:val="28"/>
              </w:rPr>
              <w:t>→</w:t>
            </w:r>
          </w:p>
        </w:tc>
        <w:tc>
          <w:tcPr>
            <w:tcW w:type="dxa" w:w="1008"/>
            <w:shd w:fill="D9E2F3"/>
          </w:tcPr>
          <w:p>
            <w:pPr>
              <w:spacing w:before="80" w:after="80"/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Kap. 10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Fazit &amp;</w:t>
            </w:r>
            <w:r>
              <w:rPr>
                <w:sz w:val="18"/>
              </w:rPr>
              <w:br/>
            </w:r>
            <w:r>
              <w:rPr>
                <w:rFonts w:ascii="Calibri" w:hAnsi="Calibri"/>
                <w:b w:val="0"/>
                <w:sz w:val="18"/>
              </w:rPr>
              <w:t>Ausblick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Relevance Cycle</w:t>
            </w:r>
          </w:p>
        </w:tc>
        <w:tc>
          <w:tcPr>
            <w:tcW w:type="dxa" w:w="1008"/>
          </w:tcPr>
          <w:p/>
        </w:tc>
        <w:tc>
          <w:tcPr>
            <w:tcW w:type="dxa" w:w="3024"/>
            <w:gridSpan w:val="3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Rigor Cycle</w:t>
            </w:r>
          </w:p>
        </w:tc>
        <w:tc>
          <w:tcPr>
            <w:tcW w:type="dxa" w:w="1008"/>
          </w:tcPr>
          <w:p/>
        </w:tc>
        <w:tc>
          <w:tcPr>
            <w:tcW w:type="dxa" w:w="1008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Artefakt-Evaluation</w:t>
            </w:r>
          </w:p>
        </w:tc>
        <w:tc>
          <w:tcPr>
            <w:tcW w:type="dxa" w:w="1008"/>
          </w:tcPr>
          <w:p/>
        </w:tc>
        <w:tc>
          <w:tcPr>
            <w:tcW w:type="dxa" w:w="1008"/>
          </w:tcPr>
          <w:p/>
        </w:tc>
      </w:tr>
    </w:tbl>
    <w:p>
      <w:pPr>
        <w:spacing w:before="120" w:after="120"/>
        <w:pBdr>
          <w:bottom w:val="single" w:sz="4" w:space="1" w:color="000000"/>
        </w:pBdr>
      </w:pPr>
    </w:p>
    <w:p>
      <w:pPr>
        <w:pStyle w:val="Heading1"/>
      </w:pPr>
      <w:r>
        <w:rPr>
          <w:color w:val="000000"/>
        </w:rPr>
        <w:t>Strukturelle Entscheidungen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3118"/>
        <w:gridCol w:w="5953"/>
      </w:tblGrid>
      <w:tr>
        <w:tc>
          <w:tcPr>
            <w:tcW w:type="dxa" w:w="4535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Entscheidung</w:t>
            </w:r>
          </w:p>
        </w:tc>
        <w:tc>
          <w:tcPr>
            <w:tcW w:type="dxa" w:w="4535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Begründung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DSR als Methodik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Zwei Artefakte im Zentrum: Scoring-Modell + MVP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Kap. 2.5 Entscheidungsmethoden</w:t>
              <w:br/>
              <w:t>im Software Engineering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Theoretische Basis für Kap. 7 — Methodenwahl (AHP, Nutzwertanalyse etc.) wird hier fundiert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Kap. 4.4 Datenbereitstellung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Janine: explizit abzudeckendes Thema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Kap. 6.6/6.7 Referenzprojekte +</w:t>
              <w:br/>
              <w:t>Machbarkeitseinschätzung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Janines Kernkriterium: Umsetzbarkeit als Vorfilter vor dem Scoring</w:t>
            </w:r>
          </w:p>
        </w:tc>
      </w:tr>
      <w:tr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Kap. 7.1 Wahl der</w:t>
              <w:br/>
              <w:t>Bewertungsmethodik</w:t>
            </w:r>
          </w:p>
        </w:tc>
        <w:tc>
          <w:tcPr>
            <w:tcW w:type="dxa" w:w="4535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Sachse: Warum dieses Bewertungsverfahren? — explizit begründen</w:t>
            </w:r>
          </w:p>
        </w:tc>
      </w:tr>
    </w:tbl>
    <w:p>
      <w:pPr>
        <w:spacing w:before="120" w:after="120"/>
        <w:pBdr>
          <w:bottom w:val="single" w:sz="4" w:space="1" w:color="000000"/>
        </w:pBdr>
      </w:pPr>
    </w:p>
    <w:p>
      <w:pPr>
        <w:pStyle w:val="Heading1"/>
      </w:pPr>
      <w:r>
        <w:rPr>
          <w:color w:val="000000"/>
        </w:rPr>
        <w:t>Zeitplan</w:t>
      </w:r>
    </w:p>
    <w:p>
      <w:r>
        <w:rPr>
          <w:rFonts w:ascii="Calibri" w:hAnsi="Calibri"/>
          <w:i/>
          <w:sz w:val="22"/>
        </w:rPr>
        <w:t>Das Schreiben der Kapitel läuft parallel zu jeder Phase — nicht erst am Ende.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701"/>
        <w:gridCol w:w="1984"/>
        <w:gridCol w:w="3118"/>
        <w:gridCol w:w="2268"/>
      </w:tblGrid>
      <w:tr>
        <w:tc>
          <w:tcPr>
            <w:tcW w:type="dxa" w:w="2268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Phase</w:t>
            </w:r>
          </w:p>
        </w:tc>
        <w:tc>
          <w:tcPr>
            <w:tcW w:type="dxa" w:w="2268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Zeitraum</w:t>
            </w:r>
          </w:p>
        </w:tc>
        <w:tc>
          <w:tcPr>
            <w:tcW w:type="dxa" w:w="2268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Schwerpunkt</w:t>
            </w:r>
          </w:p>
        </w:tc>
        <w:tc>
          <w:tcPr>
            <w:tcW w:type="dxa" w:w="2268"/>
            <w:shd w:fill="D9E2F3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Parallel schreiben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Orientierung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20. Apr – 7. Mai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Onboarding, Systemlandschaft, Stakeholder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Kap. 1, 3 + Literatur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Anforderungen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8. Mai – 24. Mai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Interviews, Requirements erheben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Kap. 2, 4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Analyse &amp; Modell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25. Mai – 14. Jun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Lösungsraum, Scoring-Modell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Kap. 5, 6, 7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MVP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15. Jun – 30. Jun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MVP umsetzen und validieren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Kap. 8, 9, 10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Puffer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1. Jul – 9. Jul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Korrekturen, Feinschliff</w:t>
            </w:r>
          </w:p>
        </w:tc>
        <w:tc>
          <w:tcPr>
            <w:tcW w:type="dxa" w:w="2268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  <w:t>—</w:t>
            </w:r>
          </w:p>
        </w:tc>
      </w:tr>
      <w:tr>
        <w:tc>
          <w:tcPr>
            <w:tcW w:type="dxa" w:w="2268"/>
            <w:shd w:fill="FFF2CC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Abgabe</w:t>
            </w:r>
          </w:p>
        </w:tc>
        <w:tc>
          <w:tcPr>
            <w:tcW w:type="dxa" w:w="2268"/>
            <w:shd w:fill="FFF2CC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sz w:val="20"/>
              </w:rPr>
              <w:t>10. Juli 2026</w:t>
            </w:r>
          </w:p>
        </w:tc>
        <w:tc>
          <w:tcPr>
            <w:tcW w:type="dxa" w:w="2268"/>
            <w:shd w:fill="FFF2CC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  <w:tc>
          <w:tcPr>
            <w:tcW w:type="dxa" w:w="2268"/>
            <w:shd w:fill="FFF2CC"/>
          </w:tcPr>
          <w:p>
            <w:pPr>
              <w:spacing w:before="40" w:after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</w:tbl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