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240" w:line="276" w:lineRule="auto"/>
        <w:jc w:val="center"/>
      </w:pPr>
      <w:r>
        <w:rPr>
          <w:rFonts w:ascii="Arial" w:hAnsi="Arial"/>
          <w:b/>
          <w:i w:val="0"/>
          <w:color w:val="008A4B"/>
          <w:sz w:val="36"/>
        </w:rPr>
        <w:t>DOKUMEN SPESIFIKASI KEBUTUHAN PERANGKAT LUNAK</w:t>
        <w:br/>
        <w:t>(SOFTWARE REQUIREMENTS SPECIFICATION / SRS)</w:t>
      </w:r>
    </w:p>
    <w:p>
      <w:pPr>
        <w:spacing w:before="80" w:after="360" w:line="276" w:lineRule="auto"/>
        <w:jc w:val="center"/>
      </w:pPr>
      <w:r>
        <w:rPr>
          <w:rFonts w:ascii="Arial" w:hAnsi="Arial"/>
          <w:b/>
          <w:i w:val="0"/>
          <w:color w:val="334155"/>
          <w:sz w:val="22"/>
        </w:rPr>
        <w:t>WASRIKAGENT AI: Autonomous Multi-Agent Web Intelligence Platform Berbasis Human-in-the-Loop untuk Deteksi Dini Ketidakpatuhan Pemberi Kerja dan Pencegahan Revenue Leakage JKN</w:t>
      </w:r>
    </w:p>
    <w:tbl>
      <w:tblPr>
        <w:tblW w:type="auto" w:w="0"/>
        <w:jc w:val="center"/>
        <w:tblLayout w:type="fixed"/>
        <w:tblLook w:firstColumn="1" w:firstRow="1" w:lastColumn="0" w:lastRow="0" w:noHBand="0" w:noVBand="1" w:val="04A0"/>
      </w:tblPr>
      <w:tblGrid>
        <w:gridCol w:w="4968"/>
        <w:gridCol w:w="4968"/>
      </w:tblGrid>
      <w:tr>
        <w:trPr>
          <w:tblHeader/>
        </w:trPr>
        <w:tc>
          <w:tcPr>
            <w:tcW w:type="dxa" w:w="3456"/>
            <w:shd w:fill="008A4B"/>
            <w:tcMar>
              <w:top w:w="100" w:type="dxa"/>
              <w:bottom w:w="100" w:type="dxa"/>
              <w:left w:w="120" w:type="dxa"/>
              <w:right w:w="120" w:type="dxa"/>
            </w:tcMar>
          </w:tcPr>
          <w:p>
            <w:pPr>
              <w:spacing w:before="40" w:after="40" w:line="276" w:lineRule="auto"/>
            </w:pPr>
            <w:r>
              <w:rPr>
                <w:rFonts w:ascii="Arial" w:hAnsi="Arial"/>
                <w:b/>
                <w:color w:val="FFFFFF"/>
                <w:sz w:val="17"/>
              </w:rPr>
              <w:t>Parameter Dokumen Control</w:t>
            </w:r>
          </w:p>
        </w:tc>
        <w:tc>
          <w:tcPr>
            <w:tcW w:type="dxa" w:w="6480"/>
            <w:shd w:fill="008A4B"/>
            <w:tcMar>
              <w:top w:w="100" w:type="dxa"/>
              <w:bottom w:w="100" w:type="dxa"/>
              <w:left w:w="120" w:type="dxa"/>
              <w:right w:w="120" w:type="dxa"/>
            </w:tcMar>
          </w:tcPr>
          <w:p>
            <w:pPr>
              <w:spacing w:before="40" w:after="40" w:line="276" w:lineRule="auto"/>
            </w:pPr>
            <w:r>
              <w:rPr>
                <w:rFonts w:ascii="Arial" w:hAnsi="Arial"/>
                <w:b/>
                <w:color w:val="FFFFFF"/>
                <w:sz w:val="17"/>
              </w:rPr>
              <w:t>Spesifikasi Kontrol Teknis Enterprise</w:t>
            </w:r>
          </w:p>
        </w:tc>
      </w:tr>
      <w:tr>
        <w:trPr>
          <w:cantSplit/>
        </w:trPr>
        <w:tc>
          <w:tcPr>
            <w:tcW w:type="dxa" w:w="3456"/>
            <w:shd w:fill="F8FAFC"/>
            <w:tcMar>
              <w:top w:w="80" w:type="dxa"/>
              <w:bottom w:w="80" w:type="dxa"/>
              <w:left w:w="120" w:type="dxa"/>
              <w:right w:w="120" w:type="dxa"/>
            </w:tcMar>
          </w:tcPr>
          <w:p>
            <w:pPr>
              <w:spacing w:before="40" w:after="40" w:line="276" w:lineRule="auto"/>
            </w:pPr>
            <w:r>
              <w:rPr>
                <w:rFonts w:ascii="Arial" w:hAnsi="Arial"/>
                <w:color w:val="1E293B"/>
                <w:sz w:val="16"/>
              </w:rPr>
              <w:t>Nama Aplikasi &amp; Modul</w:t>
            </w:r>
          </w:p>
        </w:tc>
        <w:tc>
          <w:tcPr>
            <w:tcW w:type="dxa" w:w="6480"/>
            <w:shd w:fill="F8FAFC"/>
            <w:tcMar>
              <w:top w:w="80" w:type="dxa"/>
              <w:bottom w:w="80" w:type="dxa"/>
              <w:left w:w="120" w:type="dxa"/>
              <w:right w:w="120" w:type="dxa"/>
            </w:tcMar>
          </w:tcPr>
          <w:p>
            <w:pPr>
              <w:spacing w:before="40" w:after="40" w:line="276" w:lineRule="auto"/>
            </w:pPr>
            <w:r>
              <w:rPr>
                <w:rFonts w:ascii="Arial" w:hAnsi="Arial"/>
                <w:color w:val="1E293B"/>
                <w:sz w:val="16"/>
              </w:rPr>
              <w:t>WasrikAgent AI (Audit Co-Pilot Web Platform &amp; Microservices)</w:t>
            </w:r>
          </w:p>
        </w:tc>
      </w:tr>
      <w:tr>
        <w:trPr>
          <w:cantSplit/>
        </w:trPr>
        <w:tc>
          <w:tcPr>
            <w:tcW w:type="dxa" w:w="3456"/>
            <w:shd w:fill="FFFFFF"/>
            <w:tcMar>
              <w:top w:w="80" w:type="dxa"/>
              <w:bottom w:w="80" w:type="dxa"/>
              <w:left w:w="120" w:type="dxa"/>
              <w:right w:w="120" w:type="dxa"/>
            </w:tcMar>
          </w:tcPr>
          <w:p>
            <w:pPr>
              <w:spacing w:before="40" w:after="40" w:line="276" w:lineRule="auto"/>
            </w:pPr>
            <w:r>
              <w:rPr>
                <w:rFonts w:ascii="Arial" w:hAnsi="Arial"/>
                <w:color w:val="1E293B"/>
                <w:sz w:val="16"/>
              </w:rPr>
              <w:t>Versi Spesifikasi Tech</w:t>
            </w:r>
          </w:p>
        </w:tc>
        <w:tc>
          <w:tcPr>
            <w:tcW w:type="dxa" w:w="6480"/>
            <w:shd w:fill="FFFFFF"/>
            <w:tcMar>
              <w:top w:w="80" w:type="dxa"/>
              <w:bottom w:w="80" w:type="dxa"/>
              <w:left w:w="120" w:type="dxa"/>
              <w:right w:w="120" w:type="dxa"/>
            </w:tcMar>
          </w:tcPr>
          <w:p>
            <w:pPr>
              <w:spacing w:before="40" w:after="40" w:line="276" w:lineRule="auto"/>
            </w:pPr>
            <w:r>
              <w:rPr>
                <w:rFonts w:ascii="Arial" w:hAnsi="Arial"/>
                <w:color w:val="1E293B"/>
                <w:sz w:val="16"/>
              </w:rPr>
              <w:t>v2.0 (Final Enterprise Architecture &amp; Production Ready Edition)</w:t>
            </w:r>
          </w:p>
        </w:tc>
      </w:tr>
      <w:tr>
        <w:trPr>
          <w:cantSplit/>
        </w:trPr>
        <w:tc>
          <w:tcPr>
            <w:tcW w:type="dxa" w:w="3456"/>
            <w:shd w:fill="F8FAFC"/>
            <w:tcMar>
              <w:top w:w="80" w:type="dxa"/>
              <w:bottom w:w="80" w:type="dxa"/>
              <w:left w:w="120" w:type="dxa"/>
              <w:right w:w="120" w:type="dxa"/>
            </w:tcMar>
          </w:tcPr>
          <w:p>
            <w:pPr>
              <w:spacing w:before="40" w:after="40" w:line="276" w:lineRule="auto"/>
            </w:pPr>
            <w:r>
              <w:rPr>
                <w:rFonts w:ascii="Arial" w:hAnsi="Arial"/>
                <w:color w:val="1E293B"/>
                <w:sz w:val="16"/>
              </w:rPr>
              <w:t>Tanggal Terbit Resmi</w:t>
            </w:r>
          </w:p>
        </w:tc>
        <w:tc>
          <w:tcPr>
            <w:tcW w:type="dxa" w:w="6480"/>
            <w:shd w:fill="F8FAFC"/>
            <w:tcMar>
              <w:top w:w="80" w:type="dxa"/>
              <w:bottom w:w="80" w:type="dxa"/>
              <w:left w:w="120" w:type="dxa"/>
              <w:right w:w="120" w:type="dxa"/>
            </w:tcMar>
          </w:tcPr>
          <w:p>
            <w:pPr>
              <w:spacing w:before="40" w:after="40" w:line="276" w:lineRule="auto"/>
            </w:pPr>
            <w:r>
              <w:rPr>
                <w:rFonts w:ascii="Arial" w:hAnsi="Arial"/>
                <w:color w:val="1E293B"/>
                <w:sz w:val="16"/>
              </w:rPr>
              <w:t>26 Oktober 2026</w:t>
            </w:r>
          </w:p>
        </w:tc>
      </w:tr>
      <w:tr>
        <w:trPr>
          <w:cantSplit/>
        </w:trPr>
        <w:tc>
          <w:tcPr>
            <w:tcW w:type="dxa" w:w="3456"/>
            <w:shd w:fill="FFFFFF"/>
            <w:tcMar>
              <w:top w:w="80" w:type="dxa"/>
              <w:bottom w:w="80" w:type="dxa"/>
              <w:left w:w="120" w:type="dxa"/>
              <w:right w:w="120" w:type="dxa"/>
            </w:tcMar>
          </w:tcPr>
          <w:p>
            <w:pPr>
              <w:spacing w:before="40" w:after="40" w:line="276" w:lineRule="auto"/>
            </w:pPr>
            <w:r>
              <w:rPr>
                <w:rFonts w:ascii="Arial" w:hAnsi="Arial"/>
                <w:color w:val="1E293B"/>
                <w:sz w:val="16"/>
              </w:rPr>
              <w:t>Target Kompetisi / Event</w:t>
            </w:r>
          </w:p>
        </w:tc>
        <w:tc>
          <w:tcPr>
            <w:tcW w:type="dxa" w:w="6480"/>
            <w:shd w:fill="FFFFFF"/>
            <w:tcMar>
              <w:top w:w="80" w:type="dxa"/>
              <w:bottom w:w="80" w:type="dxa"/>
              <w:left w:w="120" w:type="dxa"/>
              <w:right w:w="120" w:type="dxa"/>
            </w:tcMar>
          </w:tcPr>
          <w:p>
            <w:pPr>
              <w:spacing w:before="40" w:after="40" w:line="276" w:lineRule="auto"/>
            </w:pPr>
            <w:r>
              <w:rPr>
                <w:rFonts w:ascii="Arial" w:hAnsi="Arial"/>
                <w:color w:val="1E293B"/>
                <w:sz w:val="16"/>
              </w:rPr>
              <w:t>BPJS Kesehatan Healthkathon 2026 — Kategori 3: Efisiensi Risiko pada Pemberi Kerja</w:t>
            </w:r>
          </w:p>
        </w:tc>
      </w:tr>
      <w:tr>
        <w:trPr>
          <w:cantSplit/>
        </w:trPr>
        <w:tc>
          <w:tcPr>
            <w:tcW w:type="dxa" w:w="3456"/>
            <w:shd w:fill="F8FAFC"/>
            <w:tcMar>
              <w:top w:w="80" w:type="dxa"/>
              <w:bottom w:w="80" w:type="dxa"/>
              <w:left w:w="120" w:type="dxa"/>
              <w:right w:w="120" w:type="dxa"/>
            </w:tcMar>
          </w:tcPr>
          <w:p>
            <w:pPr>
              <w:spacing w:before="40" w:after="40" w:line="276" w:lineRule="auto"/>
            </w:pPr>
            <w:r>
              <w:rPr>
                <w:rFonts w:ascii="Arial" w:hAnsi="Arial"/>
                <w:color w:val="1E293B"/>
                <w:sz w:val="16"/>
              </w:rPr>
              <w:t>Tim Penyusun Blueprint</w:t>
            </w:r>
          </w:p>
        </w:tc>
        <w:tc>
          <w:tcPr>
            <w:tcW w:type="dxa" w:w="6480"/>
            <w:shd w:fill="F8FAFC"/>
            <w:tcMar>
              <w:top w:w="80" w:type="dxa"/>
              <w:bottom w:w="80" w:type="dxa"/>
              <w:left w:w="120" w:type="dxa"/>
              <w:right w:w="120" w:type="dxa"/>
            </w:tcMar>
          </w:tcPr>
          <w:p>
            <w:pPr>
              <w:spacing w:before="40" w:after="40" w:line="276" w:lineRule="auto"/>
            </w:pPr>
            <w:r>
              <w:rPr>
                <w:rFonts w:ascii="Arial" w:hAnsi="Arial"/>
                <w:color w:val="1E293B"/>
                <w:sz w:val="16"/>
              </w:rPr>
              <w:t>Darmawan Lahru Riatma (Leader/Architect), Alfian (Domain/Policy), Ilham Eka (AI Engineer)</w:t>
            </w:r>
          </w:p>
        </w:tc>
      </w:tr>
      <w:tr>
        <w:trPr>
          <w:cantSplit/>
        </w:trPr>
        <w:tc>
          <w:tcPr>
            <w:tcW w:type="dxa" w:w="3456"/>
            <w:shd w:fill="FFFFFF"/>
            <w:tcMar>
              <w:top w:w="80" w:type="dxa"/>
              <w:bottom w:w="80" w:type="dxa"/>
              <w:left w:w="120" w:type="dxa"/>
              <w:right w:w="120" w:type="dxa"/>
            </w:tcMar>
          </w:tcPr>
          <w:p>
            <w:pPr>
              <w:spacing w:before="40" w:after="40" w:line="276" w:lineRule="auto"/>
            </w:pPr>
            <w:r>
              <w:rPr>
                <w:rFonts w:ascii="Arial" w:hAnsi="Arial"/>
                <w:color w:val="1E293B"/>
                <w:sz w:val="16"/>
              </w:rPr>
              <w:t>Status Aksesibilitas Data</w:t>
            </w:r>
          </w:p>
        </w:tc>
        <w:tc>
          <w:tcPr>
            <w:tcW w:type="dxa" w:w="6480"/>
            <w:shd w:fill="FFFFFF"/>
            <w:tcMar>
              <w:top w:w="80" w:type="dxa"/>
              <w:bottom w:w="80" w:type="dxa"/>
              <w:left w:w="120" w:type="dxa"/>
              <w:right w:w="120" w:type="dxa"/>
            </w:tcMar>
          </w:tcPr>
          <w:p>
            <w:pPr>
              <w:spacing w:before="40" w:after="40" w:line="276" w:lineRule="auto"/>
            </w:pPr>
            <w:r>
              <w:rPr>
                <w:rFonts w:ascii="Arial" w:hAnsi="Arial"/>
                <w:color w:val="1E293B"/>
                <w:sz w:val="16"/>
              </w:rPr>
              <w:t>CONFIDENTIAL / INTERNAL TECHNICAL BLUEPRINT</w:t>
            </w:r>
          </w:p>
        </w:tc>
      </w:tr>
      <w:tr>
        <w:trPr>
          <w:cantSplit/>
        </w:trPr>
        <w:tc>
          <w:tcPr>
            <w:tcW w:type="dxa" w:w="3456"/>
            <w:shd w:fill="F8FAFC"/>
            <w:tcMar>
              <w:top w:w="80" w:type="dxa"/>
              <w:bottom w:w="80" w:type="dxa"/>
              <w:left w:w="120" w:type="dxa"/>
              <w:right w:w="120" w:type="dxa"/>
            </w:tcMar>
          </w:tcPr>
          <w:p>
            <w:pPr>
              <w:spacing w:before="40" w:after="40" w:line="276" w:lineRule="auto"/>
            </w:pPr>
            <w:r>
              <w:rPr>
                <w:rFonts w:ascii="Arial" w:hAnsi="Arial"/>
                <w:color w:val="1E293B"/>
                <w:sz w:val="16"/>
              </w:rPr>
              <w:t>Kepatuhan Hukum &amp; Reg</w:t>
            </w:r>
          </w:p>
        </w:tc>
        <w:tc>
          <w:tcPr>
            <w:tcW w:type="dxa" w:w="6480"/>
            <w:shd w:fill="F8FAFC"/>
            <w:tcMar>
              <w:top w:w="80" w:type="dxa"/>
              <w:bottom w:w="80" w:type="dxa"/>
              <w:left w:w="120" w:type="dxa"/>
              <w:right w:w="120" w:type="dxa"/>
            </w:tcMar>
          </w:tcPr>
          <w:p>
            <w:pPr>
              <w:spacing w:before="40" w:after="40" w:line="276" w:lineRule="auto"/>
            </w:pPr>
            <w:r>
              <w:rPr>
                <w:rFonts w:ascii="Arial" w:hAnsi="Arial"/>
                <w:color w:val="1E293B"/>
                <w:sz w:val="16"/>
              </w:rPr>
              <w:t>UU No. 24/2011 (BPJS), UU No. 27/2022 (PDP), PP No. 86/2013 (Sanksi TMP2T)</w:t>
            </w:r>
          </w:p>
        </w:tc>
      </w:tr>
      <w:tr>
        <w:trPr>
          <w:cantSplit/>
        </w:trPr>
        <w:tc>
          <w:tcPr>
            <w:tcW w:type="dxa" w:w="3456"/>
            <w:shd w:fill="FFFFFF"/>
            <w:tcMar>
              <w:top w:w="80" w:type="dxa"/>
              <w:bottom w:w="80" w:type="dxa"/>
              <w:left w:w="120" w:type="dxa"/>
              <w:right w:w="120" w:type="dxa"/>
            </w:tcMar>
          </w:tcPr>
          <w:p>
            <w:pPr>
              <w:spacing w:before="40" w:after="40" w:line="276" w:lineRule="auto"/>
            </w:pPr>
            <w:r>
              <w:rPr>
                <w:rFonts w:ascii="Arial" w:hAnsi="Arial"/>
                <w:color w:val="1E293B"/>
                <w:sz w:val="16"/>
              </w:rPr>
              <w:t>Target Environment IT</w:t>
            </w:r>
          </w:p>
        </w:tc>
        <w:tc>
          <w:tcPr>
            <w:tcW w:type="dxa" w:w="6480"/>
            <w:shd w:fill="FFFFFF"/>
            <w:tcMar>
              <w:top w:w="80" w:type="dxa"/>
              <w:bottom w:w="80" w:type="dxa"/>
              <w:left w:w="120" w:type="dxa"/>
              <w:right w:w="120" w:type="dxa"/>
            </w:tcMar>
          </w:tcPr>
          <w:p>
            <w:pPr>
              <w:spacing w:before="40" w:after="40" w:line="276" w:lineRule="auto"/>
            </w:pPr>
            <w:r>
              <w:rPr>
                <w:rFonts w:ascii="Arial" w:hAnsi="Arial"/>
                <w:color w:val="1E293B"/>
                <w:sz w:val="16"/>
              </w:rPr>
              <w:t>Hybrid Cloud BPJS Kesehatan &amp; BPJS Ketenagakerjaan (Kubernetes Engine)</w:t>
            </w:r>
          </w:p>
        </w:tc>
      </w:tr>
    </w:tbl>
    <w:p/>
    <w:p>
      <w:pPr>
        <w:pStyle w:val="Heading1"/>
        <w:keepNext/>
        <w:spacing w:before="360" w:after="160" w:line="276" w:lineRule="auto"/>
      </w:pPr>
      <w:r>
        <w:rPr>
          <w:rFonts w:ascii="Arial" w:hAnsi="Arial"/>
          <w:b/>
          <w:color w:val="008A4B"/>
          <w:sz w:val="30"/>
        </w:rPr>
        <w:t>DAFTAR ISI OTOMATIS (TABLE OF CONTENTS)</w:t>
      </w:r>
    </w:p>
    <w:p>
      <w:pPr>
        <w:spacing w:before="80" w:after="120" w:line="276" w:lineRule="auto"/>
      </w:pPr>
      <w:r>
        <w:fldChar w:fldCharType="begin"/>
        <w:instrText xml:space="preserve">TOC \o "1-3" \h \z \u</w:instrText>
        <w:fldChar w:fldCharType="end"/>
      </w:r>
    </w:p>
    <w:p>
      <w:pPr>
        <w:spacing w:before="80" w:after="360" w:line="276" w:lineRule="auto"/>
      </w:pPr>
      <w:r>
        <w:rPr>
          <w:rFonts w:ascii="Arial" w:hAnsi="Arial"/>
          <w:b w:val="0"/>
          <w:i/>
          <w:color w:val="1E293B"/>
          <w:sz w:val="20"/>
        </w:rPr>
        <w:t>(Daftar isi otomatis tergenerasi saat dokumen dibuka di Microsoft Word atau Google Docs).</w:t>
      </w:r>
    </w:p>
    <w:p>
      <w:pPr>
        <w:pStyle w:val="Heading1"/>
        <w:keepNext/>
        <w:spacing w:before="360" w:after="160" w:line="276" w:lineRule="auto"/>
      </w:pPr>
      <w:r>
        <w:rPr>
          <w:rFonts w:ascii="Arial" w:hAnsi="Arial"/>
          <w:b/>
          <w:color w:val="008A4B"/>
          <w:sz w:val="30"/>
        </w:rPr>
        <w:t>BAB 1: PENDAHULUAN &amp; GAMBARAN UMUM</w:t>
      </w:r>
    </w:p>
    <w:p>
      <w:pPr>
        <w:pStyle w:val="Heading2"/>
        <w:keepNext/>
        <w:spacing w:before="280" w:after="120" w:line="276" w:lineRule="auto"/>
      </w:pPr>
      <w:r>
        <w:rPr>
          <w:rFonts w:ascii="Arial" w:hAnsi="Arial"/>
          <w:b/>
          <w:color w:val="1E293B"/>
          <w:sz w:val="24"/>
        </w:rPr>
        <w:t>1.1 Tujuan Dokumen SRS</w:t>
      </w:r>
    </w:p>
    <w:p>
      <w:pPr>
        <w:spacing w:before="80" w:after="120" w:line="276" w:lineRule="auto"/>
      </w:pPr>
      <w:r>
        <w:rPr>
          <w:rFonts w:ascii="Arial" w:hAnsi="Arial"/>
          <w:b w:val="0"/>
          <w:i w:val="0"/>
          <w:color w:val="1E293B"/>
          <w:sz w:val="20"/>
        </w:rPr>
        <w:t>Dokumen Spesifikasi Kebutuhan Perangkat Lunak (Software Requirements Specification - SRS) ini disusun sebagai cetak biru teknis (technical blueprint) komprehensif untuk pengawasan dan pengembangan platform WasrikAgent AI. Dokumen ini mendefinisikan secara spesifik seluruh kebutuhan fungsional (Functional Requirements), kebutuhan non-fungsional (Non-Functional Requirements), arsitektur microservices multi-agent, skema basis data PostgreSQL/pgvector, kontrak RESTful dan WebSocket API, spesifikasi antarmuka Next.js/Tailwind, hingga bentuk konkret form permohonan dataset resmi ke BPJS Kesehatan, BPJS Ketenagakerjaan, Kementerian Ketenagakerjaan (Kemnaker), dan Portal OSS BKPM.</w:t>
      </w:r>
    </w:p>
    <w:p>
      <w:pPr>
        <w:spacing w:before="80" w:after="120" w:line="276" w:lineRule="auto"/>
      </w:pPr>
      <w:r>
        <w:rPr>
          <w:rFonts w:ascii="Arial" w:hAnsi="Arial"/>
          <w:b w:val="0"/>
          <w:i w:val="0"/>
          <w:color w:val="1E293B"/>
          <w:sz w:val="20"/>
        </w:rPr>
        <w:t>Pengembang (System Analyst, Backend Engineer, AI/ML Engineer, Frontend Developer, DevOps, dan QA Automation Specialist) wajib menjadikan dokumen ini sebagai acuan tunggal (single source of truth) dalam membangun, menguji, serta mengintegrasikan WasrikAgent AI ke dalam ekosistem teknologi jaminan sosial nasional JKN-BPJS.</w:t>
      </w:r>
    </w:p>
    <w:p>
      <w:pPr>
        <w:pStyle w:val="Heading2"/>
        <w:keepNext/>
        <w:spacing w:before="280" w:after="120" w:line="276" w:lineRule="auto"/>
      </w:pPr>
      <w:r>
        <w:rPr>
          <w:rFonts w:ascii="Arial" w:hAnsi="Arial"/>
          <w:b/>
          <w:color w:val="1E293B"/>
          <w:sz w:val="24"/>
        </w:rPr>
        <w:t>1.2 Ruang Lingkup Sistem (System Scope)</w:t>
      </w:r>
    </w:p>
    <w:p>
      <w:pPr>
        <w:spacing w:before="80" w:after="120" w:line="276" w:lineRule="auto"/>
      </w:pPr>
      <w:r>
        <w:rPr>
          <w:rFonts w:ascii="Arial" w:hAnsi="Arial"/>
          <w:b w:val="0"/>
          <w:i w:val="0"/>
          <w:color w:val="1E293B"/>
          <w:sz w:val="20"/>
        </w:rPr>
        <w:t>WasrikAgent AI adalah platform kecerdasan audit berbasis Autonomous Multi-Agent AI terdistribusi yang dirancang untuk mendukung tugas Petugas Pengawasan dan Pemeriksaan (Wasrik) BPJS dan Inspektur Ketenagakerjaan. Sistem ini berfokus pada deteksi dini ketidakpatuhan pemberi kerja (Perusahaan/Badan Usaha) segmen Pekerja Penerima Upah (PPU) guna mencegah kebocoran iuran (Revenue Leakage).</w:t>
      </w:r>
    </w:p>
    <w:p>
      <w:pPr>
        <w:spacing w:before="80" w:after="120" w:line="276" w:lineRule="auto"/>
      </w:pPr>
      <w:r>
        <w:rPr>
          <w:rFonts w:ascii="Arial" w:hAnsi="Arial"/>
          <w:b w:val="0"/>
          <w:i w:val="0"/>
          <w:color w:val="1E293B"/>
          <w:sz w:val="20"/>
        </w:rPr>
        <w:t>Berdasarkan data resmi Dewan Pengawas BPJS Ketenagakerjaan, dari total 878.000 pemberi kerja aktif, terdapat 523.000 perusahaan (59,5%) yang terindikasi tidak patuh. Modus ketidakpatuhan ini meliputi 490.000 Perusahaan Daftar Sebagian (PDS) yang melakukan Pendaftaran Pekerja Sebagian (PDUK) dan Pelaporan Upah Lebih Rendah (Under-Reporting Wage), serta 95.000 perusahaan yang menunggak iuran.</w:t>
      </w:r>
    </w:p>
    <w:p>
      <w:pPr>
        <w:spacing w:before="80" w:after="120" w:line="276" w:lineRule="auto"/>
      </w:pPr>
      <w:r>
        <w:rPr>
          <w:rFonts w:ascii="Arial" w:hAnsi="Arial"/>
          <w:b w:val="0"/>
          <w:i w:val="0"/>
          <w:color w:val="1E293B"/>
          <w:sz w:val="20"/>
        </w:rPr>
        <w:t>Ruang lingkup operasional WasrikAgent AI mencakup:</w:t>
      </w:r>
    </w:p>
    <w:p>
      <w:pPr>
        <w:spacing w:before="80" w:after="120" w:line="276" w:lineRule="auto"/>
      </w:pPr>
      <w:r>
        <w:rPr>
          <w:rFonts w:ascii="Arial" w:hAnsi="Arial"/>
          <w:b w:val="0"/>
          <w:i w:val="0"/>
          <w:color w:val="1E293B"/>
          <w:sz w:val="20"/>
        </w:rPr>
        <w:t>• Ingestion &amp; Vision-OCR Engine: Pemrosesan otomatis dokumen penggajian (slip gaji), laporan mutasi pekerja, dan laporan keuangan perusahaan dalam format PDF, PNG, JPEG, maupun JSON.</w:t>
      </w:r>
    </w:p>
    <w:p>
      <w:pPr>
        <w:spacing w:before="80" w:after="120" w:line="276" w:lineRule="auto"/>
      </w:pPr>
      <w:r>
        <w:rPr>
          <w:rFonts w:ascii="Arial" w:hAnsi="Arial"/>
          <w:b w:val="0"/>
          <w:i w:val="0"/>
          <w:color w:val="1E293B"/>
          <w:sz w:val="20"/>
        </w:rPr>
        <w:t>• Autonomous Multi-Agent Core: Koordinasi 4 agen AI spesialis (Payroll Agent, Workforce Classification Agent, Collusion &amp; Anomaly Graph Agent, serta Supervisor Orchestrator Agent) untuk mengekstrak dan merekonsiliasi data secara paralel.</w:t>
      </w:r>
    </w:p>
    <w:p>
      <w:pPr>
        <w:spacing w:before="80" w:after="120" w:line="276" w:lineRule="auto"/>
      </w:pPr>
      <w:r>
        <w:rPr>
          <w:rFonts w:ascii="Arial" w:hAnsi="Arial"/>
          <w:b w:val="0"/>
          <w:i w:val="0"/>
          <w:color w:val="1E293B"/>
          <w:sz w:val="20"/>
        </w:rPr>
        <w:t>• Deterministic Business Rule Engine: Penentuan Corporate Risk Score (0-100) dan estimasi nominal Revenue Leakage (Rp) secara objektif dan auditable.</w:t>
      </w:r>
    </w:p>
    <w:p>
      <w:pPr>
        <w:spacing w:before="80" w:after="120" w:line="276" w:lineRule="auto"/>
      </w:pPr>
      <w:r>
        <w:rPr>
          <w:rFonts w:ascii="Arial" w:hAnsi="Arial"/>
          <w:b w:val="0"/>
          <w:i w:val="0"/>
          <w:color w:val="1E293B"/>
          <w:sz w:val="20"/>
        </w:rPr>
        <w:t>• Dual-Pane Human-in-the-Loop (HITL) Workbench: Antarmuka web interaktif yang menyandingkan bukti dokumen asli (Side-by-Side OCR) dengan jejak penalaran Chain-of-Thought (XAI) untuk otorisasi manusia.</w:t>
      </w:r>
    </w:p>
    <w:p>
      <w:pPr>
        <w:spacing w:before="80" w:after="120" w:line="276" w:lineRule="auto"/>
      </w:pPr>
      <w:r>
        <w:rPr>
          <w:rFonts w:ascii="Arial" w:hAnsi="Arial"/>
          <w:b w:val="0"/>
          <w:i w:val="0"/>
          <w:color w:val="1E293B"/>
          <w:sz w:val="20"/>
        </w:rPr>
        <w:t>• Otomatisasi Sanksi Administrative TMP2T: Generasi draf Surat Teguran dan Rekomendasi Sanksi Tidak Mendapatkan Pelayanan Publik Tertentu (PP No. 86/2013).</w:t>
      </w:r>
    </w:p>
    <w:p>
      <w:pPr>
        <w:spacing w:before="80" w:after="120" w:line="276" w:lineRule="auto"/>
      </w:pPr>
      <w:r>
        <w:rPr>
          <w:rFonts w:ascii="Arial" w:hAnsi="Arial"/>
          <w:b w:val="0"/>
          <w:i w:val="0"/>
          <w:color w:val="1E293B"/>
          <w:sz w:val="20"/>
        </w:rPr>
        <w:t>• Active Learning Pipeline: Pencatatan umpan balik otorisasi auditor untuk penyempurnaan akurasi model AI di masa depan.</w:t>
      </w:r>
    </w:p>
    <w:p>
      <w:pPr>
        <w:pStyle w:val="Heading2"/>
        <w:keepNext/>
        <w:spacing w:before="280" w:after="120" w:line="276" w:lineRule="auto"/>
      </w:pPr>
      <w:r>
        <w:rPr>
          <w:rFonts w:ascii="Arial" w:hAnsi="Arial"/>
          <w:b/>
          <w:color w:val="1E293B"/>
          <w:sz w:val="24"/>
        </w:rPr>
        <w:t>1.3 Definisi, Glosarium &amp; Akronim</w:t>
      </w:r>
    </w:p>
    <w:tbl>
      <w:tblPr>
        <w:tblW w:type="auto" w:w="0"/>
        <w:jc w:val="center"/>
        <w:tblLayout w:type="fixed"/>
        <w:tblLook w:firstColumn="1" w:firstRow="1" w:lastColumn="0" w:lastRow="0" w:noHBand="0" w:noVBand="1" w:val="04A0"/>
      </w:tblPr>
      <w:tblGrid>
        <w:gridCol w:w="4968"/>
        <w:gridCol w:w="4968"/>
      </w:tblGrid>
      <w:tr>
        <w:trPr>
          <w:tblHeader/>
        </w:trPr>
        <w:tc>
          <w:tcPr>
            <w:tcW w:type="dxa" w:w="3024"/>
            <w:shd w:fill="008A4B"/>
            <w:tcMar>
              <w:top w:w="100" w:type="dxa"/>
              <w:bottom w:w="100" w:type="dxa"/>
              <w:left w:w="120" w:type="dxa"/>
              <w:right w:w="120" w:type="dxa"/>
            </w:tcMar>
          </w:tcPr>
          <w:p>
            <w:pPr>
              <w:spacing w:before="40" w:after="40" w:line="276" w:lineRule="auto"/>
            </w:pPr>
            <w:r>
              <w:rPr>
                <w:rFonts w:ascii="Arial" w:hAnsi="Arial"/>
                <w:b/>
                <w:color w:val="FFFFFF"/>
                <w:sz w:val="17"/>
              </w:rPr>
              <w:t>Istilah / Akronim</w:t>
            </w:r>
          </w:p>
        </w:tc>
        <w:tc>
          <w:tcPr>
            <w:tcW w:type="dxa" w:w="6912"/>
            <w:shd w:fill="008A4B"/>
            <w:tcMar>
              <w:top w:w="100" w:type="dxa"/>
              <w:bottom w:w="100" w:type="dxa"/>
              <w:left w:w="120" w:type="dxa"/>
              <w:right w:w="120" w:type="dxa"/>
            </w:tcMar>
          </w:tcPr>
          <w:p>
            <w:pPr>
              <w:spacing w:before="40" w:after="40" w:line="276" w:lineRule="auto"/>
            </w:pPr>
            <w:r>
              <w:rPr>
                <w:rFonts w:ascii="Arial" w:hAnsi="Arial"/>
                <w:b/>
                <w:color w:val="FFFFFF"/>
                <w:sz w:val="17"/>
              </w:rPr>
              <w:t>Definisi Operasional Teknis &amp; Hukum</w:t>
            </w:r>
          </w:p>
        </w:tc>
      </w:tr>
      <w:tr>
        <w:trPr>
          <w:cantSplit/>
        </w:trPr>
        <w:tc>
          <w:tcPr>
            <w:tcW w:type="dxa" w:w="3024"/>
            <w:shd w:fill="F8FAFC"/>
            <w:tcMar>
              <w:top w:w="80" w:type="dxa"/>
              <w:bottom w:w="80" w:type="dxa"/>
              <w:left w:w="120" w:type="dxa"/>
              <w:right w:w="120" w:type="dxa"/>
            </w:tcMar>
          </w:tcPr>
          <w:p>
            <w:pPr>
              <w:spacing w:before="40" w:after="40" w:line="276" w:lineRule="auto"/>
            </w:pPr>
            <w:r>
              <w:rPr>
                <w:rFonts w:ascii="Arial" w:hAnsi="Arial"/>
                <w:color w:val="1E293B"/>
                <w:sz w:val="16"/>
              </w:rPr>
              <w:t>Wasrik</w:t>
            </w:r>
          </w:p>
        </w:tc>
        <w:tc>
          <w:tcPr>
            <w:tcW w:type="dxa" w:w="6912"/>
            <w:shd w:fill="F8FAFC"/>
            <w:tcMar>
              <w:top w:w="80" w:type="dxa"/>
              <w:bottom w:w="80" w:type="dxa"/>
              <w:left w:w="120" w:type="dxa"/>
              <w:right w:w="120" w:type="dxa"/>
            </w:tcMar>
          </w:tcPr>
          <w:p>
            <w:pPr>
              <w:spacing w:before="40" w:after="40" w:line="276" w:lineRule="auto"/>
            </w:pPr>
            <w:r>
              <w:rPr>
                <w:rFonts w:ascii="Arial" w:hAnsi="Arial"/>
                <w:color w:val="1E293B"/>
                <w:sz w:val="16"/>
              </w:rPr>
              <w:t>Pengawasan dan Pemeriksaan — fungsi penegakan kepatuhan badan usaha pada BPJS Kesehatan dan BPJS Ketenagakerjaan.</w:t>
            </w:r>
          </w:p>
        </w:tc>
      </w:tr>
      <w:tr>
        <w:trPr>
          <w:cantSplit/>
        </w:trPr>
        <w:tc>
          <w:tcPr>
            <w:tcW w:type="dxa" w:w="3024"/>
            <w:shd w:fill="FFFFFF"/>
            <w:tcMar>
              <w:top w:w="80" w:type="dxa"/>
              <w:bottom w:w="80" w:type="dxa"/>
              <w:left w:w="120" w:type="dxa"/>
              <w:right w:w="120" w:type="dxa"/>
            </w:tcMar>
          </w:tcPr>
          <w:p>
            <w:pPr>
              <w:spacing w:before="40" w:after="40" w:line="276" w:lineRule="auto"/>
            </w:pPr>
            <w:r>
              <w:rPr>
                <w:rFonts w:ascii="Arial" w:hAnsi="Arial"/>
                <w:color w:val="1E293B"/>
                <w:sz w:val="16"/>
              </w:rPr>
              <w:t>PDUK</w:t>
            </w:r>
          </w:p>
        </w:tc>
        <w:tc>
          <w:tcPr>
            <w:tcW w:type="dxa" w:w="6912"/>
            <w:shd w:fill="FFFFFF"/>
            <w:tcMar>
              <w:top w:w="80" w:type="dxa"/>
              <w:bottom w:w="80" w:type="dxa"/>
              <w:left w:w="120" w:type="dxa"/>
              <w:right w:w="120" w:type="dxa"/>
            </w:tcMar>
          </w:tcPr>
          <w:p>
            <w:pPr>
              <w:spacing w:before="40" w:after="40" w:line="276" w:lineRule="auto"/>
            </w:pPr>
            <w:r>
              <w:rPr>
                <w:rFonts w:ascii="Arial" w:hAnsi="Arial"/>
                <w:color w:val="1E293B"/>
                <w:sz w:val="16"/>
              </w:rPr>
              <w:t>Pendaftaran Pekerja Sebagian — modus operandi di mana perusahaan sengaja menyembunyikan porsi pekerja aktif dari kepesertaan resmi.</w:t>
            </w:r>
          </w:p>
        </w:tc>
      </w:tr>
      <w:tr>
        <w:trPr>
          <w:cantSplit/>
        </w:trPr>
        <w:tc>
          <w:tcPr>
            <w:tcW w:type="dxa" w:w="3024"/>
            <w:shd w:fill="F8FAFC"/>
            <w:tcMar>
              <w:top w:w="80" w:type="dxa"/>
              <w:bottom w:w="80" w:type="dxa"/>
              <w:left w:w="120" w:type="dxa"/>
              <w:right w:w="120" w:type="dxa"/>
            </w:tcMar>
          </w:tcPr>
          <w:p>
            <w:pPr>
              <w:spacing w:before="40" w:after="40" w:line="276" w:lineRule="auto"/>
            </w:pPr>
            <w:r>
              <w:rPr>
                <w:rFonts w:ascii="Arial" w:hAnsi="Arial"/>
                <w:color w:val="1E293B"/>
                <w:sz w:val="16"/>
              </w:rPr>
              <w:t>Under-Reporting Wage</w:t>
            </w:r>
          </w:p>
        </w:tc>
        <w:tc>
          <w:tcPr>
            <w:tcW w:type="dxa" w:w="6912"/>
            <w:shd w:fill="F8FAFC"/>
            <w:tcMar>
              <w:top w:w="80" w:type="dxa"/>
              <w:bottom w:w="80" w:type="dxa"/>
              <w:left w:w="120" w:type="dxa"/>
              <w:right w:w="120" w:type="dxa"/>
            </w:tcMar>
          </w:tcPr>
          <w:p>
            <w:pPr>
              <w:spacing w:before="40" w:after="40" w:line="276" w:lineRule="auto"/>
            </w:pPr>
            <w:r>
              <w:rPr>
                <w:rFonts w:ascii="Arial" w:hAnsi="Arial"/>
                <w:color w:val="1E293B"/>
                <w:sz w:val="16"/>
              </w:rPr>
              <w:t>Modus melaporkan gaji pekerja di bawah take-home pay riil untuk mengecilkan setoran iuran resmi 3% pekerja &amp; 4% perusahaan.</w:t>
            </w:r>
          </w:p>
        </w:tc>
      </w:tr>
      <w:tr>
        <w:trPr>
          <w:cantSplit/>
        </w:trPr>
        <w:tc>
          <w:tcPr>
            <w:tcW w:type="dxa" w:w="3024"/>
            <w:shd w:fill="FFFFFF"/>
            <w:tcMar>
              <w:top w:w="80" w:type="dxa"/>
              <w:bottom w:w="80" w:type="dxa"/>
              <w:left w:w="120" w:type="dxa"/>
              <w:right w:w="120" w:type="dxa"/>
            </w:tcMar>
          </w:tcPr>
          <w:p>
            <w:pPr>
              <w:spacing w:before="40" w:after="40" w:line="276" w:lineRule="auto"/>
            </w:pPr>
            <w:r>
              <w:rPr>
                <w:rFonts w:ascii="Arial" w:hAnsi="Arial"/>
                <w:color w:val="1E293B"/>
                <w:sz w:val="16"/>
              </w:rPr>
              <w:t>TMP2T</w:t>
            </w:r>
          </w:p>
        </w:tc>
        <w:tc>
          <w:tcPr>
            <w:tcW w:type="dxa" w:w="6912"/>
            <w:shd w:fill="FFFFFF"/>
            <w:tcMar>
              <w:top w:w="80" w:type="dxa"/>
              <w:bottom w:w="80" w:type="dxa"/>
              <w:left w:w="120" w:type="dxa"/>
              <w:right w:w="120" w:type="dxa"/>
            </w:tcMar>
          </w:tcPr>
          <w:p>
            <w:pPr>
              <w:spacing w:before="40" w:after="40" w:line="276" w:lineRule="auto"/>
            </w:pPr>
            <w:r>
              <w:rPr>
                <w:rFonts w:ascii="Arial" w:hAnsi="Arial"/>
                <w:color w:val="1E293B"/>
                <w:sz w:val="16"/>
              </w:rPr>
              <w:t>Sanksi Tidak Mendapatkan Pelayanan Publik Tertentu sesuai PP No. 86/2013 (termasuk pembatasan izin usaha, IMB, &amp; tender).</w:t>
            </w:r>
          </w:p>
        </w:tc>
      </w:tr>
      <w:tr>
        <w:trPr>
          <w:cantSplit/>
        </w:trPr>
        <w:tc>
          <w:tcPr>
            <w:tcW w:type="dxa" w:w="3024"/>
            <w:shd w:fill="F8FAFC"/>
            <w:tcMar>
              <w:top w:w="80" w:type="dxa"/>
              <w:bottom w:w="80" w:type="dxa"/>
              <w:left w:w="120" w:type="dxa"/>
              <w:right w:w="120" w:type="dxa"/>
            </w:tcMar>
          </w:tcPr>
          <w:p>
            <w:pPr>
              <w:spacing w:before="40" w:after="40" w:line="276" w:lineRule="auto"/>
            </w:pPr>
            <w:r>
              <w:rPr>
                <w:rFonts w:ascii="Arial" w:hAnsi="Arial"/>
                <w:color w:val="1E293B"/>
                <w:sz w:val="16"/>
              </w:rPr>
              <w:t>HITL</w:t>
            </w:r>
          </w:p>
        </w:tc>
        <w:tc>
          <w:tcPr>
            <w:tcW w:type="dxa" w:w="6912"/>
            <w:shd w:fill="F8FAFC"/>
            <w:tcMar>
              <w:top w:w="80" w:type="dxa"/>
              <w:bottom w:w="80" w:type="dxa"/>
              <w:left w:w="120" w:type="dxa"/>
              <w:right w:w="120" w:type="dxa"/>
            </w:tcMar>
          </w:tcPr>
          <w:p>
            <w:pPr>
              <w:spacing w:before="40" w:after="40" w:line="276" w:lineRule="auto"/>
            </w:pPr>
            <w:r>
              <w:rPr>
                <w:rFonts w:ascii="Arial" w:hAnsi="Arial"/>
                <w:color w:val="1E293B"/>
                <w:sz w:val="16"/>
              </w:rPr>
              <w:t>Human-in-the-Loop — kerangka kerja di mana keputusan sanksi hukum 100% wajib diotorisasi oleh pejabat pengawas manusia.</w:t>
            </w:r>
          </w:p>
        </w:tc>
      </w:tr>
      <w:tr>
        <w:trPr>
          <w:cantSplit/>
        </w:trPr>
        <w:tc>
          <w:tcPr>
            <w:tcW w:type="dxa" w:w="3024"/>
            <w:shd w:fill="FFFFFF"/>
            <w:tcMar>
              <w:top w:w="80" w:type="dxa"/>
              <w:bottom w:w="80" w:type="dxa"/>
              <w:left w:w="120" w:type="dxa"/>
              <w:right w:w="120" w:type="dxa"/>
            </w:tcMar>
          </w:tcPr>
          <w:p>
            <w:pPr>
              <w:spacing w:before="40" w:after="40" w:line="276" w:lineRule="auto"/>
            </w:pPr>
            <w:r>
              <w:rPr>
                <w:rFonts w:ascii="Arial" w:hAnsi="Arial"/>
                <w:color w:val="1E293B"/>
                <w:sz w:val="16"/>
              </w:rPr>
              <w:t>ACC</w:t>
            </w:r>
          </w:p>
        </w:tc>
        <w:tc>
          <w:tcPr>
            <w:tcW w:type="dxa" w:w="6912"/>
            <w:shd w:fill="FFFFFF"/>
            <w:tcMar>
              <w:top w:w="80" w:type="dxa"/>
              <w:bottom w:w="80" w:type="dxa"/>
              <w:left w:w="120" w:type="dxa"/>
              <w:right w:w="120" w:type="dxa"/>
            </w:tcMar>
          </w:tcPr>
          <w:p>
            <w:pPr>
              <w:spacing w:before="40" w:after="40" w:line="276" w:lineRule="auto"/>
            </w:pPr>
            <w:r>
              <w:rPr>
                <w:rFonts w:ascii="Arial" w:hAnsi="Arial"/>
                <w:color w:val="1E293B"/>
                <w:sz w:val="16"/>
              </w:rPr>
              <w:t>Agent Capability Contract — spesifikasi kaku batasan wewenang, tools, dan memori pada masing-masing agen AI.</w:t>
            </w:r>
          </w:p>
        </w:tc>
      </w:tr>
      <w:tr>
        <w:trPr>
          <w:cantSplit/>
        </w:trPr>
        <w:tc>
          <w:tcPr>
            <w:tcW w:type="dxa" w:w="3024"/>
            <w:shd w:fill="F8FAFC"/>
            <w:tcMar>
              <w:top w:w="80" w:type="dxa"/>
              <w:bottom w:w="80" w:type="dxa"/>
              <w:left w:w="120" w:type="dxa"/>
              <w:right w:w="120" w:type="dxa"/>
            </w:tcMar>
          </w:tcPr>
          <w:p>
            <w:pPr>
              <w:spacing w:before="40" w:after="40" w:line="276" w:lineRule="auto"/>
            </w:pPr>
            <w:r>
              <w:rPr>
                <w:rFonts w:ascii="Arial" w:hAnsi="Arial"/>
                <w:color w:val="1E293B"/>
                <w:sz w:val="16"/>
              </w:rPr>
              <w:t>MCP</w:t>
            </w:r>
          </w:p>
        </w:tc>
        <w:tc>
          <w:tcPr>
            <w:tcW w:type="dxa" w:w="6912"/>
            <w:shd w:fill="F8FAFC"/>
            <w:tcMar>
              <w:top w:w="80" w:type="dxa"/>
              <w:bottom w:w="80" w:type="dxa"/>
              <w:left w:w="120" w:type="dxa"/>
              <w:right w:w="120" w:type="dxa"/>
            </w:tcMar>
          </w:tcPr>
          <w:p>
            <w:pPr>
              <w:spacing w:before="40" w:after="40" w:line="276" w:lineRule="auto"/>
            </w:pPr>
            <w:r>
              <w:rPr>
                <w:rFonts w:ascii="Arial" w:hAnsi="Arial"/>
                <w:color w:val="1E293B"/>
                <w:sz w:val="16"/>
              </w:rPr>
              <w:t>Model Context Protocol — protokol isolasi keamanan eksekusi tools LLM berbasis 4-tier guardrails.</w:t>
            </w:r>
          </w:p>
        </w:tc>
      </w:tr>
      <w:tr>
        <w:trPr>
          <w:cantSplit/>
        </w:trPr>
        <w:tc>
          <w:tcPr>
            <w:tcW w:type="dxa" w:w="3024"/>
            <w:shd w:fill="FFFFFF"/>
            <w:tcMar>
              <w:top w:w="80" w:type="dxa"/>
              <w:bottom w:w="80" w:type="dxa"/>
              <w:left w:w="120" w:type="dxa"/>
              <w:right w:w="120" w:type="dxa"/>
            </w:tcMar>
          </w:tcPr>
          <w:p>
            <w:pPr>
              <w:spacing w:before="40" w:after="40" w:line="276" w:lineRule="auto"/>
            </w:pPr>
            <w:r>
              <w:rPr>
                <w:rFonts w:ascii="Arial" w:hAnsi="Arial"/>
                <w:color w:val="1E293B"/>
                <w:sz w:val="16"/>
              </w:rPr>
              <w:t>XAI / CoT</w:t>
            </w:r>
          </w:p>
        </w:tc>
        <w:tc>
          <w:tcPr>
            <w:tcW w:type="dxa" w:w="6912"/>
            <w:shd w:fill="FFFFFF"/>
            <w:tcMar>
              <w:top w:w="80" w:type="dxa"/>
              <w:bottom w:w="80" w:type="dxa"/>
              <w:left w:w="120" w:type="dxa"/>
              <w:right w:w="120" w:type="dxa"/>
            </w:tcMar>
          </w:tcPr>
          <w:p>
            <w:pPr>
              <w:spacing w:before="40" w:after="40" w:line="276" w:lineRule="auto"/>
            </w:pPr>
            <w:r>
              <w:rPr>
                <w:rFonts w:ascii="Arial" w:hAnsi="Arial"/>
                <w:color w:val="1E293B"/>
                <w:sz w:val="16"/>
              </w:rPr>
              <w:t>Explainable AI / Chain-of-Thought — transparansi alur penalaran AI yang dapat diaudit oleh manusia step-by-step.</w:t>
            </w:r>
          </w:p>
        </w:tc>
      </w:tr>
    </w:tbl>
    <w:p/>
    <w:p>
      <w:pPr>
        <w:pStyle w:val="Heading2"/>
        <w:keepNext/>
        <w:spacing w:before="280" w:after="120" w:line="276" w:lineRule="auto"/>
      </w:pPr>
      <w:r>
        <w:rPr>
          <w:rFonts w:ascii="Arial" w:hAnsi="Arial"/>
          <w:b/>
          <w:color w:val="1E293B"/>
          <w:sz w:val="24"/>
        </w:rPr>
        <w:t>1.4 Landasan Hukum &amp; Regulasi Ketenagakerjaan &amp; JKN</w:t>
      </w:r>
    </w:p>
    <w:p>
      <w:pPr>
        <w:spacing w:before="80" w:after="120" w:line="276" w:lineRule="auto"/>
      </w:pPr>
      <w:r>
        <w:rPr>
          <w:rFonts w:ascii="Arial" w:hAnsi="Arial"/>
          <w:b w:val="0"/>
          <w:i w:val="0"/>
          <w:color w:val="1E293B"/>
          <w:sz w:val="20"/>
        </w:rPr>
        <w:t>WasrikAgent AI dirancang dengan kepatuhan mutlak terhadap payung hukum nasional:</w:t>
      </w:r>
    </w:p>
    <w:p>
      <w:pPr>
        <w:spacing w:before="80" w:after="120" w:line="276" w:lineRule="auto"/>
      </w:pPr>
      <w:r>
        <w:rPr>
          <w:rFonts w:ascii="Arial" w:hAnsi="Arial"/>
          <w:b w:val="0"/>
          <w:i w:val="0"/>
          <w:color w:val="1E293B"/>
          <w:sz w:val="20"/>
        </w:rPr>
        <w:t>1. UU No. 40 Tahun 2004 tentang Sistem Jaminan Sosial Nasional (SJSN).</w:t>
      </w:r>
    </w:p>
    <w:p>
      <w:pPr>
        <w:spacing w:before="80" w:after="120" w:line="276" w:lineRule="auto"/>
      </w:pPr>
      <w:r>
        <w:rPr>
          <w:rFonts w:ascii="Arial" w:hAnsi="Arial"/>
          <w:b w:val="0"/>
          <w:i w:val="0"/>
          <w:color w:val="1E293B"/>
          <w:sz w:val="20"/>
        </w:rPr>
        <w:t>2. UU No. 24 Tahun 2011 tentang Badan Penyelenggara Jaminan Sosial (BPJS).</w:t>
      </w:r>
    </w:p>
    <w:p>
      <w:pPr>
        <w:spacing w:before="80" w:after="120" w:line="276" w:lineRule="auto"/>
      </w:pPr>
      <w:r>
        <w:rPr>
          <w:rFonts w:ascii="Arial" w:hAnsi="Arial"/>
          <w:b w:val="0"/>
          <w:i w:val="0"/>
          <w:color w:val="1E293B"/>
          <w:sz w:val="20"/>
        </w:rPr>
        <w:t>3. UU No. 27 Tahun 2022 tentang Perlindungan Data Pribadi (UU PDP) — penerapan enkripsi SHA-256 pada NIK dan nama pekerja.</w:t>
      </w:r>
    </w:p>
    <w:p>
      <w:pPr>
        <w:spacing w:before="80" w:after="120" w:line="276" w:lineRule="auto"/>
      </w:pPr>
      <w:r>
        <w:rPr>
          <w:rFonts w:ascii="Arial" w:hAnsi="Arial"/>
          <w:b w:val="0"/>
          <w:i w:val="0"/>
          <w:color w:val="1E293B"/>
          <w:sz w:val="20"/>
        </w:rPr>
        <w:t>4. Peraturan Pemerintah No. 86 Tahun 2013 tentang Tata Cara Pengenaan Sanksi Administratif Kepada Pemberi Kerja.</w:t>
      </w:r>
    </w:p>
    <w:p>
      <w:pPr>
        <w:spacing w:before="80" w:after="120" w:line="276" w:lineRule="auto"/>
      </w:pPr>
      <w:r>
        <w:rPr>
          <w:rFonts w:ascii="Arial" w:hAnsi="Arial"/>
          <w:b w:val="0"/>
          <w:i w:val="0"/>
          <w:color w:val="1E293B"/>
          <w:sz w:val="20"/>
        </w:rPr>
        <w:t>5. Peraturan Menteri Ketenagakerjaan No. 4 Tahun 2018 tentang Tata Cara Pengawasan Ketenagakerjaan.</w:t>
      </w:r>
    </w:p>
    <w:p>
      <w:pPr>
        <w:spacing w:before="80" w:after="120" w:line="276" w:lineRule="auto"/>
      </w:pPr>
      <w:r>
        <w:rPr>
          <w:rFonts w:ascii="Arial" w:hAnsi="Arial"/>
          <w:b w:val="0"/>
          <w:i w:val="0"/>
          <w:color w:val="1E293B"/>
          <w:sz w:val="20"/>
        </w:rPr>
        <w:t>6. Rencana Aksi Pemetaan Risiko Korupsi KPK - Kemnaker - BPJS Ketenagakerjaan &amp; BPJS Kesehatan.</w:t>
      </w:r>
    </w:p>
    <w:p>
      <w:pPr>
        <w:pStyle w:val="Heading2"/>
        <w:keepNext/>
        <w:spacing w:before="280" w:after="120" w:line="276" w:lineRule="auto"/>
      </w:pPr>
      <w:r>
        <w:rPr>
          <w:rFonts w:ascii="Arial" w:hAnsi="Arial"/>
          <w:b/>
          <w:color w:val="1E293B"/>
          <w:sz w:val="24"/>
        </w:rPr>
        <w:t>1.5 User Personas &amp; Matriks Hak Akses Terperinci (RBAC)</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160"/>
            <w:shd w:fill="008A4B"/>
            <w:tcMar>
              <w:top w:w="100" w:type="dxa"/>
              <w:bottom w:w="100" w:type="dxa"/>
              <w:left w:w="120" w:type="dxa"/>
              <w:right w:w="120" w:type="dxa"/>
            </w:tcMar>
          </w:tcPr>
          <w:p>
            <w:pPr>
              <w:spacing w:before="40" w:after="40" w:line="276" w:lineRule="auto"/>
            </w:pPr>
            <w:r>
              <w:rPr>
                <w:rFonts w:ascii="Arial" w:hAnsi="Arial"/>
                <w:b/>
                <w:color w:val="FFFFFF"/>
                <w:sz w:val="17"/>
              </w:rPr>
              <w:t>Peran Pengguna (Role)</w:t>
            </w:r>
          </w:p>
        </w:tc>
        <w:tc>
          <w:tcPr>
            <w:tcW w:type="dxa" w:w="2736"/>
            <w:shd w:fill="008A4B"/>
            <w:tcMar>
              <w:top w:w="100" w:type="dxa"/>
              <w:bottom w:w="100" w:type="dxa"/>
              <w:left w:w="120" w:type="dxa"/>
              <w:right w:w="120" w:type="dxa"/>
            </w:tcMar>
          </w:tcPr>
          <w:p>
            <w:pPr>
              <w:spacing w:before="40" w:after="40" w:line="276" w:lineRule="auto"/>
            </w:pPr>
            <w:r>
              <w:rPr>
                <w:rFonts w:ascii="Arial" w:hAnsi="Arial"/>
                <w:b/>
                <w:color w:val="FFFFFF"/>
                <w:sz w:val="17"/>
              </w:rPr>
              <w:t>Tanggung Jawab Operasional</w:t>
            </w:r>
          </w:p>
        </w:tc>
        <w:tc>
          <w:tcPr>
            <w:tcW w:type="dxa" w:w="3312"/>
            <w:shd w:fill="008A4B"/>
            <w:tcMar>
              <w:top w:w="100" w:type="dxa"/>
              <w:bottom w:w="100" w:type="dxa"/>
              <w:left w:w="120" w:type="dxa"/>
              <w:right w:w="120" w:type="dxa"/>
            </w:tcMar>
          </w:tcPr>
          <w:p>
            <w:pPr>
              <w:spacing w:before="40" w:after="40" w:line="276" w:lineRule="auto"/>
            </w:pPr>
            <w:r>
              <w:rPr>
                <w:rFonts w:ascii="Arial" w:hAnsi="Arial"/>
                <w:b/>
                <w:color w:val="FFFFFF"/>
                <w:sz w:val="17"/>
              </w:rPr>
              <w:t>Hak Akses Fitur (Feature Permissions)</w:t>
            </w:r>
          </w:p>
        </w:tc>
        <w:tc>
          <w:tcPr>
            <w:tcW w:type="dxa" w:w="1728"/>
            <w:shd w:fill="008A4B"/>
            <w:tcMar>
              <w:top w:w="100" w:type="dxa"/>
              <w:bottom w:w="100" w:type="dxa"/>
              <w:left w:w="120" w:type="dxa"/>
              <w:right w:w="120" w:type="dxa"/>
            </w:tcMar>
          </w:tcPr>
          <w:p>
            <w:pPr>
              <w:spacing w:before="40" w:after="40" w:line="276" w:lineRule="auto"/>
            </w:pPr>
            <w:r>
              <w:rPr>
                <w:rFonts w:ascii="Arial" w:hAnsi="Arial"/>
                <w:b/>
                <w:color w:val="FFFFFF"/>
                <w:sz w:val="17"/>
              </w:rPr>
              <w:t>Tingkat Otoritas HITL</w:t>
            </w:r>
          </w:p>
        </w:tc>
      </w:tr>
      <w:tr>
        <w:trPr>
          <w:cantSplit/>
        </w:trPr>
        <w:tc>
          <w:tcPr>
            <w:tcW w:type="dxa" w:w="2160"/>
            <w:shd w:fill="F8FAFC"/>
            <w:tcMar>
              <w:top w:w="80" w:type="dxa"/>
              <w:bottom w:w="80" w:type="dxa"/>
              <w:left w:w="120" w:type="dxa"/>
              <w:right w:w="120" w:type="dxa"/>
            </w:tcMar>
          </w:tcPr>
          <w:p>
            <w:pPr>
              <w:spacing w:before="40" w:after="40" w:line="276" w:lineRule="auto"/>
            </w:pPr>
            <w:r>
              <w:rPr>
                <w:rFonts w:ascii="Arial" w:hAnsi="Arial"/>
                <w:color w:val="1E293B"/>
                <w:sz w:val="16"/>
              </w:rPr>
              <w:t>Auditor Wasrik (Petugas Pengawas)</w:t>
            </w:r>
          </w:p>
        </w:tc>
        <w:tc>
          <w:tcPr>
            <w:tcW w:type="dxa" w:w="2736"/>
            <w:shd w:fill="F8FAFC"/>
            <w:tcMar>
              <w:top w:w="80" w:type="dxa"/>
              <w:bottom w:w="80" w:type="dxa"/>
              <w:left w:w="120" w:type="dxa"/>
              <w:right w:w="120" w:type="dxa"/>
            </w:tcMar>
          </w:tcPr>
          <w:p>
            <w:pPr>
              <w:spacing w:before="40" w:after="40" w:line="276" w:lineRule="auto"/>
            </w:pPr>
            <w:r>
              <w:rPr>
                <w:rFonts w:ascii="Arial" w:hAnsi="Arial"/>
                <w:color w:val="1E293B"/>
                <w:sz w:val="16"/>
              </w:rPr>
              <w:t>Meninjau antrean audit, memverifikasi dokumen OCR, memutuskan tindakan sanksi.</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Read All Data, Execute OCR, Side-by-Side Review, Approve/Override/Reject</w:t>
            </w:r>
          </w:p>
        </w:tc>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Otoritas Penuh (Level 1 Approval)</w:t>
            </w:r>
          </w:p>
        </w:tc>
      </w:tr>
      <w:tr>
        <w:trPr>
          <w:cantSplit/>
        </w:trPr>
        <w:tc>
          <w:tcPr>
            <w:tcW w:type="dxa" w:w="2160"/>
            <w:shd w:fill="FFFFFF"/>
            <w:tcMar>
              <w:top w:w="80" w:type="dxa"/>
              <w:bottom w:w="80" w:type="dxa"/>
              <w:left w:w="120" w:type="dxa"/>
              <w:right w:w="120" w:type="dxa"/>
            </w:tcMar>
          </w:tcPr>
          <w:p>
            <w:pPr>
              <w:spacing w:before="40" w:after="40" w:line="276" w:lineRule="auto"/>
            </w:pPr>
            <w:r>
              <w:rPr>
                <w:rFonts w:ascii="Arial" w:hAnsi="Arial"/>
                <w:color w:val="1E293B"/>
                <w:sz w:val="16"/>
              </w:rPr>
              <w:t>Supervisor Wasrik (Kepala Cabang)</w:t>
            </w:r>
          </w:p>
        </w:tc>
        <w:tc>
          <w:tcPr>
            <w:tcW w:type="dxa" w:w="2736"/>
            <w:shd w:fill="FFFFFF"/>
            <w:tcMar>
              <w:top w:w="80" w:type="dxa"/>
              <w:bottom w:w="80" w:type="dxa"/>
              <w:left w:w="120" w:type="dxa"/>
              <w:right w:w="120" w:type="dxa"/>
            </w:tcMar>
          </w:tcPr>
          <w:p>
            <w:pPr>
              <w:spacing w:before="40" w:after="40" w:line="276" w:lineRule="auto"/>
            </w:pPr>
            <w:r>
              <w:rPr>
                <w:rFonts w:ascii="Arial" w:hAnsi="Arial"/>
                <w:color w:val="1E293B"/>
                <w:sz w:val="16"/>
              </w:rPr>
              <w:t>Mengevaluasi performa audit tim, menyetujui rekomendasi sanksi TMP2T berisiko tinggi.</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Read All Executive Dashboards, Approve High-Risk Sanksi TMP2T, Re-assign Cases</w:t>
            </w:r>
          </w:p>
        </w:tc>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Otoritas Final (Level 2 Override)</w:t>
            </w:r>
          </w:p>
        </w:tc>
      </w:tr>
      <w:tr>
        <w:trPr>
          <w:cantSplit/>
        </w:trPr>
        <w:tc>
          <w:tcPr>
            <w:tcW w:type="dxa" w:w="2160"/>
            <w:shd w:fill="F8FAFC"/>
            <w:tcMar>
              <w:top w:w="80" w:type="dxa"/>
              <w:bottom w:w="80" w:type="dxa"/>
              <w:left w:w="120" w:type="dxa"/>
              <w:right w:w="120" w:type="dxa"/>
            </w:tcMar>
          </w:tcPr>
          <w:p>
            <w:pPr>
              <w:spacing w:before="40" w:after="40" w:line="276" w:lineRule="auto"/>
            </w:pPr>
            <w:r>
              <w:rPr>
                <w:rFonts w:ascii="Arial" w:hAnsi="Arial"/>
                <w:color w:val="1E293B"/>
                <w:sz w:val="16"/>
              </w:rPr>
              <w:t>System Administrator</w:t>
            </w:r>
          </w:p>
        </w:tc>
        <w:tc>
          <w:tcPr>
            <w:tcW w:type="dxa" w:w="2736"/>
            <w:shd w:fill="F8FAFC"/>
            <w:tcMar>
              <w:top w:w="80" w:type="dxa"/>
              <w:bottom w:w="80" w:type="dxa"/>
              <w:left w:w="120" w:type="dxa"/>
              <w:right w:w="120" w:type="dxa"/>
            </w:tcMar>
          </w:tcPr>
          <w:p>
            <w:pPr>
              <w:spacing w:before="40" w:after="40" w:line="276" w:lineRule="auto"/>
            </w:pPr>
            <w:r>
              <w:rPr>
                <w:rFonts w:ascii="Arial" w:hAnsi="Arial"/>
                <w:color w:val="1E293B"/>
                <w:sz w:val="16"/>
              </w:rPr>
              <w:t>Mengelola konfigurasi sistem, API gateway, rule engine weights, dan user accounts.</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Full Admin Access, Manage Users, Configure Business Rules, View System Logs</w:t>
            </w:r>
          </w:p>
        </w:tc>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Tanpa Otoritas Audit Data</w:t>
            </w:r>
          </w:p>
        </w:tc>
      </w:tr>
      <w:tr>
        <w:trPr>
          <w:cantSplit/>
        </w:trPr>
        <w:tc>
          <w:tcPr>
            <w:tcW w:type="dxa" w:w="2160"/>
            <w:shd w:fill="FFFFFF"/>
            <w:tcMar>
              <w:top w:w="80" w:type="dxa"/>
              <w:bottom w:w="80" w:type="dxa"/>
              <w:left w:w="120" w:type="dxa"/>
              <w:right w:w="120" w:type="dxa"/>
            </w:tcMar>
          </w:tcPr>
          <w:p>
            <w:pPr>
              <w:spacing w:before="40" w:after="40" w:line="276" w:lineRule="auto"/>
            </w:pPr>
            <w:r>
              <w:rPr>
                <w:rFonts w:ascii="Arial" w:hAnsi="Arial"/>
                <w:color w:val="1E293B"/>
                <w:sz w:val="16"/>
              </w:rPr>
              <w:t>Auditee (Wakil Perusahaan)</w:t>
            </w:r>
          </w:p>
        </w:tc>
        <w:tc>
          <w:tcPr>
            <w:tcW w:type="dxa" w:w="2736"/>
            <w:shd w:fill="FFFFFF"/>
            <w:tcMar>
              <w:top w:w="80" w:type="dxa"/>
              <w:bottom w:w="80" w:type="dxa"/>
              <w:left w:w="120" w:type="dxa"/>
              <w:right w:w="120" w:type="dxa"/>
            </w:tcMar>
          </w:tcPr>
          <w:p>
            <w:pPr>
              <w:spacing w:before="40" w:after="40" w:line="276" w:lineRule="auto"/>
            </w:pPr>
            <w:r>
              <w:rPr>
                <w:rFonts w:ascii="Arial" w:hAnsi="Arial"/>
                <w:color w:val="1E293B"/>
                <w:sz w:val="16"/>
              </w:rPr>
              <w:t>Menerima draf teguran, mengunggah bukti sanggahan/klarifikasi dokumen penggajian.</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Read Own Case Status, Upload Sanggahan Payroll Files, View Compliance Score</w:t>
            </w:r>
          </w:p>
        </w:tc>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Tanpa Otoritas Akses Sistem Internal</w:t>
            </w:r>
          </w:p>
        </w:tc>
      </w:tr>
    </w:tbl>
    <w:p/>
    <w:p>
      <w:pPr>
        <w:pStyle w:val="Heading2"/>
        <w:keepNext/>
        <w:spacing w:before="280" w:after="120" w:line="276" w:lineRule="auto"/>
      </w:pPr>
      <w:r>
        <w:rPr>
          <w:rFonts w:ascii="Arial" w:hAnsi="Arial"/>
          <w:b/>
          <w:color w:val="1E293B"/>
          <w:sz w:val="24"/>
        </w:rPr>
        <w:t>1.6 Metodologi Pengembangan Software (Agile-Scrum Lifecycle)</w:t>
      </w:r>
    </w:p>
    <w:p>
      <w:pPr>
        <w:spacing w:before="80" w:after="120" w:line="276" w:lineRule="auto"/>
      </w:pPr>
      <w:r>
        <w:rPr>
          <w:rFonts w:ascii="Arial" w:hAnsi="Arial"/>
          <w:b w:val="0"/>
          <w:i w:val="0"/>
          <w:color w:val="1E293B"/>
          <w:sz w:val="20"/>
        </w:rPr>
        <w:t>Pengembangan WasrikAgent AI dilaksanakan menggunakan metodologi Agile-Scrum yang terbagi ke dalam 4 Sprint berdurasi masing-masing 1 pekan:</w:t>
      </w:r>
    </w:p>
    <w:p>
      <w:pPr>
        <w:spacing w:before="80" w:after="120" w:line="276" w:lineRule="auto"/>
      </w:pPr>
      <w:r>
        <w:rPr>
          <w:rFonts w:ascii="Arial" w:hAnsi="Arial"/>
          <w:b w:val="0"/>
          <w:i w:val="0"/>
          <w:color w:val="1E293B"/>
          <w:sz w:val="20"/>
        </w:rPr>
        <w:t>• Sprint 1 (Foundation &amp; Ingestion Service): Pembangunan skema database PostgreSQL/pgvector, API Upload File, dan layanan ekstraksi Vision-OCR.</w:t>
      </w:r>
    </w:p>
    <w:p>
      <w:pPr>
        <w:spacing w:before="80" w:after="120" w:line="276" w:lineRule="auto"/>
      </w:pPr>
      <w:r>
        <w:rPr>
          <w:rFonts w:ascii="Arial" w:hAnsi="Arial"/>
          <w:b w:val="0"/>
          <w:i w:val="0"/>
          <w:color w:val="1E293B"/>
          <w:sz w:val="20"/>
        </w:rPr>
        <w:t>• Sprint 2 (Multi-Agent Core &amp; Rule Engine): Implementasi LangGraph State Machine, Agent Capability Contracts, Prompt Matrix, dan Rule Engine deterministik.</w:t>
      </w:r>
    </w:p>
    <w:p>
      <w:pPr>
        <w:spacing w:before="80" w:after="120" w:line="276" w:lineRule="auto"/>
      </w:pPr>
      <w:r>
        <w:rPr>
          <w:rFonts w:ascii="Arial" w:hAnsi="Arial"/>
          <w:b w:val="0"/>
          <w:i w:val="0"/>
          <w:color w:val="1E293B"/>
          <w:sz w:val="20"/>
        </w:rPr>
        <w:t>• Sprint 3 (Frontend HITL &amp; Integration): Pembangunan antarmuka Next.js Dual-Pane Workbench, protokol WebSocket real-time, dan REST API Endpoints.</w:t>
      </w:r>
    </w:p>
    <w:p>
      <w:pPr>
        <w:spacing w:before="80" w:after="120" w:line="276" w:lineRule="auto"/>
      </w:pPr>
      <w:r>
        <w:rPr>
          <w:rFonts w:ascii="Arial" w:hAnsi="Arial"/>
          <w:b w:val="0"/>
          <w:i w:val="0"/>
          <w:color w:val="1E293B"/>
          <w:sz w:val="20"/>
        </w:rPr>
        <w:t>• Sprint 4 (Testing, Active Learning &amp; Deployment): Eksekusi BDD test suite, Active Learning pipeline, containerization Docker, dan Kubernetes manifest.</w:t>
      </w:r>
    </w:p>
    <w:p>
      <w:pPr>
        <w:pStyle w:val="Heading2"/>
        <w:keepNext/>
        <w:spacing w:before="280" w:after="120" w:line="276" w:lineRule="auto"/>
      </w:pPr>
      <w:r>
        <w:rPr>
          <w:rFonts w:ascii="Arial" w:hAnsi="Arial"/>
          <w:b/>
          <w:color w:val="1E293B"/>
          <w:sz w:val="24"/>
        </w:rPr>
        <w:t>1.7 Matriks Risiko Pengembangan &amp; Mitigasi Teknis</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592"/>
            <w:shd w:fill="008A4B"/>
            <w:tcMar>
              <w:top w:w="100" w:type="dxa"/>
              <w:bottom w:w="100" w:type="dxa"/>
              <w:left w:w="120" w:type="dxa"/>
              <w:right w:w="120" w:type="dxa"/>
            </w:tcMar>
          </w:tcPr>
          <w:p>
            <w:pPr>
              <w:spacing w:before="40" w:after="40" w:line="276" w:lineRule="auto"/>
            </w:pPr>
            <w:r>
              <w:rPr>
                <w:rFonts w:ascii="Arial" w:hAnsi="Arial"/>
                <w:b/>
                <w:color w:val="FFFFFF"/>
                <w:sz w:val="17"/>
              </w:rPr>
              <w:t>Kategori Risiko Teknis</w:t>
            </w:r>
          </w:p>
        </w:tc>
        <w:tc>
          <w:tcPr>
            <w:tcW w:type="dxa" w:w="3024"/>
            <w:shd w:fill="008A4B"/>
            <w:tcMar>
              <w:top w:w="100" w:type="dxa"/>
              <w:bottom w:w="100" w:type="dxa"/>
              <w:left w:w="120" w:type="dxa"/>
              <w:right w:w="120" w:type="dxa"/>
            </w:tcMar>
          </w:tcPr>
          <w:p>
            <w:pPr>
              <w:spacing w:before="40" w:after="40" w:line="276" w:lineRule="auto"/>
            </w:pPr>
            <w:r>
              <w:rPr>
                <w:rFonts w:ascii="Arial" w:hAnsi="Arial"/>
                <w:b/>
                <w:color w:val="FFFFFF"/>
                <w:sz w:val="17"/>
              </w:rPr>
              <w:t>Potensi Dampak Kegagalan</w:t>
            </w:r>
          </w:p>
        </w:tc>
        <w:tc>
          <w:tcPr>
            <w:tcW w:type="dxa" w:w="4320"/>
            <w:shd w:fill="008A4B"/>
            <w:tcMar>
              <w:top w:w="100" w:type="dxa"/>
              <w:bottom w:w="100" w:type="dxa"/>
              <w:left w:w="120" w:type="dxa"/>
              <w:right w:w="120" w:type="dxa"/>
            </w:tcMar>
          </w:tcPr>
          <w:p>
            <w:pPr>
              <w:spacing w:before="40" w:after="40" w:line="276" w:lineRule="auto"/>
            </w:pPr>
            <w:r>
              <w:rPr>
                <w:rFonts w:ascii="Arial" w:hAnsi="Arial"/>
                <w:b/>
                <w:color w:val="FFFFFF"/>
                <w:sz w:val="17"/>
              </w:rPr>
              <w:t>Strategi Mitigasi Arsitektural</w:t>
            </w:r>
          </w:p>
        </w:tc>
      </w:tr>
      <w:tr>
        <w:trPr>
          <w:cantSplit/>
        </w:trPr>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False Positive OCR Extractions</w:t>
            </w:r>
          </w:p>
        </w:tc>
        <w:tc>
          <w:tcPr>
            <w:tcW w:type="dxa" w:w="3024"/>
            <w:shd w:fill="F8FAFC"/>
            <w:tcMar>
              <w:top w:w="80" w:type="dxa"/>
              <w:bottom w:w="80" w:type="dxa"/>
              <w:left w:w="120" w:type="dxa"/>
              <w:right w:w="120" w:type="dxa"/>
            </w:tcMar>
          </w:tcPr>
          <w:p>
            <w:pPr>
              <w:spacing w:before="40" w:after="40" w:line="276" w:lineRule="auto"/>
            </w:pPr>
            <w:r>
              <w:rPr>
                <w:rFonts w:ascii="Arial" w:hAnsi="Arial"/>
                <w:color w:val="1E293B"/>
                <w:sz w:val="16"/>
              </w:rPr>
              <w:t>AI salah membaca angka gaji pokok pada slip gaji non-standar.</w:t>
            </w:r>
          </w:p>
        </w:tc>
        <w:tc>
          <w:tcPr>
            <w:tcW w:type="dxa" w:w="4320"/>
            <w:shd w:fill="F8FAFC"/>
            <w:tcMar>
              <w:top w:w="80" w:type="dxa"/>
              <w:bottom w:w="80" w:type="dxa"/>
              <w:left w:w="120" w:type="dxa"/>
              <w:right w:w="120" w:type="dxa"/>
            </w:tcMar>
          </w:tcPr>
          <w:p>
            <w:pPr>
              <w:spacing w:before="40" w:after="40" w:line="276" w:lineRule="auto"/>
            </w:pPr>
            <w:r>
              <w:rPr>
                <w:rFonts w:ascii="Arial" w:hAnsi="Arial"/>
                <w:color w:val="1E293B"/>
                <w:sz w:val="16"/>
              </w:rPr>
              <w:t>Penerapan Confidence Score threshold (&lt; 80% flag as Low Confidence) + Side-by-Side Verification.</w:t>
            </w:r>
          </w:p>
        </w:tc>
      </w:tr>
      <w:tr>
        <w:trPr>
          <w:cantSplit/>
        </w:trPr>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Unbounded Agent Loop</w:t>
            </w:r>
          </w:p>
        </w:tc>
        <w:tc>
          <w:tcPr>
            <w:tcW w:type="dxa" w:w="3024"/>
            <w:shd w:fill="FFFFFF"/>
            <w:tcMar>
              <w:top w:w="80" w:type="dxa"/>
              <w:bottom w:w="80" w:type="dxa"/>
              <w:left w:w="120" w:type="dxa"/>
              <w:right w:w="120" w:type="dxa"/>
            </w:tcMar>
          </w:tcPr>
          <w:p>
            <w:pPr>
              <w:spacing w:before="40" w:after="40" w:line="276" w:lineRule="auto"/>
            </w:pPr>
            <w:r>
              <w:rPr>
                <w:rFonts w:ascii="Arial" w:hAnsi="Arial"/>
                <w:color w:val="1E293B"/>
                <w:sz w:val="16"/>
              </w:rPr>
              <w:t>Agen AI berputar tanpa henti dan menguras token budget.</w:t>
            </w:r>
          </w:p>
        </w:tc>
        <w:tc>
          <w:tcPr>
            <w:tcW w:type="dxa" w:w="4320"/>
            <w:shd w:fill="FFFFFF"/>
            <w:tcMar>
              <w:top w:w="80" w:type="dxa"/>
              <w:bottom w:w="80" w:type="dxa"/>
              <w:left w:w="120" w:type="dxa"/>
              <w:right w:w="120" w:type="dxa"/>
            </w:tcMar>
          </w:tcPr>
          <w:p>
            <w:pPr>
              <w:spacing w:before="40" w:after="40" w:line="276" w:lineRule="auto"/>
            </w:pPr>
            <w:r>
              <w:rPr>
                <w:rFonts w:ascii="Arial" w:hAnsi="Arial"/>
                <w:color w:val="1E293B"/>
                <w:sz w:val="16"/>
              </w:rPr>
              <w:t>Batas kaku Hard Step Limit max_steps = 10 pada LangGraph router.</w:t>
            </w:r>
          </w:p>
        </w:tc>
      </w:tr>
      <w:tr>
        <w:trPr>
          <w:cantSplit/>
        </w:trPr>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Data Leakage PII</w:t>
            </w:r>
          </w:p>
        </w:tc>
        <w:tc>
          <w:tcPr>
            <w:tcW w:type="dxa" w:w="3024"/>
            <w:shd w:fill="F8FAFC"/>
            <w:tcMar>
              <w:top w:w="80" w:type="dxa"/>
              <w:bottom w:w="80" w:type="dxa"/>
              <w:left w:w="120" w:type="dxa"/>
              <w:right w:w="120" w:type="dxa"/>
            </w:tcMar>
          </w:tcPr>
          <w:p>
            <w:pPr>
              <w:spacing w:before="40" w:after="40" w:line="276" w:lineRule="auto"/>
            </w:pPr>
            <w:r>
              <w:rPr>
                <w:rFonts w:ascii="Arial" w:hAnsi="Arial"/>
                <w:color w:val="1E293B"/>
                <w:sz w:val="16"/>
              </w:rPr>
              <w:t>Kebocoran identitas pekerja (NIK/Nama) ke pihak luar.</w:t>
            </w:r>
          </w:p>
        </w:tc>
        <w:tc>
          <w:tcPr>
            <w:tcW w:type="dxa" w:w="4320"/>
            <w:shd w:fill="F8FAFC"/>
            <w:tcMar>
              <w:top w:w="80" w:type="dxa"/>
              <w:bottom w:w="80" w:type="dxa"/>
              <w:left w:w="120" w:type="dxa"/>
              <w:right w:w="120" w:type="dxa"/>
            </w:tcMar>
          </w:tcPr>
          <w:p>
            <w:pPr>
              <w:spacing w:before="40" w:after="40" w:line="276" w:lineRule="auto"/>
            </w:pPr>
            <w:r>
              <w:rPr>
                <w:rFonts w:ascii="Arial" w:hAnsi="Arial"/>
                <w:color w:val="1E293B"/>
                <w:sz w:val="16"/>
              </w:rPr>
              <w:t>SHA-256 Hashing wajib pada API level sebelum data disimpan ke database.</w:t>
            </w:r>
          </w:p>
        </w:tc>
      </w:tr>
      <w:tr>
        <w:trPr>
          <w:cantSplit/>
        </w:trPr>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Pipeline Timeout Latency</w:t>
            </w:r>
          </w:p>
        </w:tc>
        <w:tc>
          <w:tcPr>
            <w:tcW w:type="dxa" w:w="3024"/>
            <w:shd w:fill="FFFFFF"/>
            <w:tcMar>
              <w:top w:w="80" w:type="dxa"/>
              <w:bottom w:w="80" w:type="dxa"/>
              <w:left w:w="120" w:type="dxa"/>
              <w:right w:w="120" w:type="dxa"/>
            </w:tcMar>
          </w:tcPr>
          <w:p>
            <w:pPr>
              <w:spacing w:before="40" w:after="40" w:line="276" w:lineRule="auto"/>
            </w:pPr>
            <w:r>
              <w:rPr>
                <w:rFonts w:ascii="Arial" w:hAnsi="Arial"/>
                <w:color w:val="1E293B"/>
                <w:sz w:val="16"/>
              </w:rPr>
              <w:t>Waktu eksekusi audit melebihi SLA 12 detik per berkas.</w:t>
            </w:r>
          </w:p>
        </w:tc>
        <w:tc>
          <w:tcPr>
            <w:tcW w:type="dxa" w:w="4320"/>
            <w:shd w:fill="FFFFFF"/>
            <w:tcMar>
              <w:top w:w="80" w:type="dxa"/>
              <w:bottom w:w="80" w:type="dxa"/>
              <w:left w:w="120" w:type="dxa"/>
              <w:right w:w="120" w:type="dxa"/>
            </w:tcMar>
          </w:tcPr>
          <w:p>
            <w:pPr>
              <w:spacing w:before="40" w:after="40" w:line="276" w:lineRule="auto"/>
            </w:pPr>
            <w:r>
              <w:rPr>
                <w:rFonts w:ascii="Arial" w:hAnsi="Arial"/>
                <w:color w:val="1E293B"/>
                <w:sz w:val="16"/>
              </w:rPr>
              <w:t>Asynchronous execution via Redis Task Queue &amp; Multi-threading Agent Workers.</w:t>
            </w:r>
          </w:p>
        </w:tc>
      </w:tr>
    </w:tbl>
    <w:p/>
    <w:p>
      <w:pPr>
        <w:pStyle w:val="Heading2"/>
        <w:keepNext/>
        <w:spacing w:before="280" w:after="120" w:line="276" w:lineRule="auto"/>
      </w:pPr>
      <w:r>
        <w:rPr>
          <w:rFonts w:ascii="Arial" w:hAnsi="Arial"/>
          <w:b/>
          <w:color w:val="1E293B"/>
          <w:sz w:val="24"/>
        </w:rPr>
        <w:t>1.8 User Stories Utama &amp; Acceptance Criteria</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1296"/>
            <w:shd w:fill="008A4B"/>
            <w:tcMar>
              <w:top w:w="100" w:type="dxa"/>
              <w:bottom w:w="100" w:type="dxa"/>
              <w:left w:w="120" w:type="dxa"/>
              <w:right w:w="120" w:type="dxa"/>
            </w:tcMar>
          </w:tcPr>
          <w:p>
            <w:pPr>
              <w:spacing w:before="40" w:after="40" w:line="276" w:lineRule="auto"/>
            </w:pPr>
            <w:r>
              <w:rPr>
                <w:rFonts w:ascii="Arial" w:hAnsi="Arial"/>
                <w:b/>
                <w:color w:val="FFFFFF"/>
                <w:sz w:val="17"/>
              </w:rPr>
              <w:t>ID User Story</w:t>
            </w:r>
          </w:p>
        </w:tc>
        <w:tc>
          <w:tcPr>
            <w:tcW w:type="dxa" w:w="2016"/>
            <w:shd w:fill="008A4B"/>
            <w:tcMar>
              <w:top w:w="100" w:type="dxa"/>
              <w:bottom w:w="100" w:type="dxa"/>
              <w:left w:w="120" w:type="dxa"/>
              <w:right w:w="120" w:type="dxa"/>
            </w:tcMar>
          </w:tcPr>
          <w:p>
            <w:pPr>
              <w:spacing w:before="40" w:after="40" w:line="276" w:lineRule="auto"/>
            </w:pPr>
            <w:r>
              <w:rPr>
                <w:rFonts w:ascii="Arial" w:hAnsi="Arial"/>
                <w:b/>
                <w:color w:val="FFFFFF"/>
                <w:sz w:val="17"/>
              </w:rPr>
              <w:t>Sebagai [Persona]</w:t>
            </w:r>
          </w:p>
        </w:tc>
        <w:tc>
          <w:tcPr>
            <w:tcW w:type="dxa" w:w="3312"/>
            <w:shd w:fill="008A4B"/>
            <w:tcMar>
              <w:top w:w="100" w:type="dxa"/>
              <w:bottom w:w="100" w:type="dxa"/>
              <w:left w:w="120" w:type="dxa"/>
              <w:right w:w="120" w:type="dxa"/>
            </w:tcMar>
          </w:tcPr>
          <w:p>
            <w:pPr>
              <w:spacing w:before="40" w:after="40" w:line="276" w:lineRule="auto"/>
            </w:pPr>
            <w:r>
              <w:rPr>
                <w:rFonts w:ascii="Arial" w:hAnsi="Arial"/>
                <w:b/>
                <w:color w:val="FFFFFF"/>
                <w:sz w:val="17"/>
              </w:rPr>
              <w:t>Saya Ingin [Kebutuhan Fitur]</w:t>
            </w:r>
          </w:p>
        </w:tc>
        <w:tc>
          <w:tcPr>
            <w:tcW w:type="dxa" w:w="3312"/>
            <w:shd w:fill="008A4B"/>
            <w:tcMar>
              <w:top w:w="100" w:type="dxa"/>
              <w:bottom w:w="100" w:type="dxa"/>
              <w:left w:w="120" w:type="dxa"/>
              <w:right w:w="120" w:type="dxa"/>
            </w:tcMar>
          </w:tcPr>
          <w:p>
            <w:pPr>
              <w:spacing w:before="40" w:after="40" w:line="276" w:lineRule="auto"/>
            </w:pPr>
            <w:r>
              <w:rPr>
                <w:rFonts w:ascii="Arial" w:hAnsi="Arial"/>
                <w:b/>
                <w:color w:val="FFFFFF"/>
                <w:sz w:val="17"/>
              </w:rPr>
              <w:t>Kriteria Penerimaan (Acceptance Criteria)</w:t>
            </w:r>
          </w:p>
        </w:tc>
      </w:tr>
      <w:tr>
        <w:trPr>
          <w:cantSplit/>
        </w:trPr>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US-01</w:t>
            </w:r>
          </w:p>
        </w:tc>
        <w:tc>
          <w:tcPr>
            <w:tcW w:type="dxa" w:w="2016"/>
            <w:shd w:fill="F8FAFC"/>
            <w:tcMar>
              <w:top w:w="80" w:type="dxa"/>
              <w:bottom w:w="80" w:type="dxa"/>
              <w:left w:w="120" w:type="dxa"/>
              <w:right w:w="120" w:type="dxa"/>
            </w:tcMar>
          </w:tcPr>
          <w:p>
            <w:pPr>
              <w:spacing w:before="40" w:after="40" w:line="276" w:lineRule="auto"/>
            </w:pPr>
            <w:r>
              <w:rPr>
                <w:rFonts w:ascii="Arial" w:hAnsi="Arial"/>
                <w:color w:val="1E293B"/>
                <w:sz w:val="16"/>
              </w:rPr>
              <w:t>Auditor Wasrik</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Mengunggah berkas slip gaji PDF/Gambar perusahaan</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Sistem mengekstrak gaji pokok riil dan menampilkan tingkat keyakinan (Confidence Score &gt; 90%).</w:t>
            </w:r>
          </w:p>
        </w:tc>
      </w:tr>
      <w:tr>
        <w:trPr>
          <w:cantSplit/>
        </w:trPr>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US-02</w:t>
            </w:r>
          </w:p>
        </w:tc>
        <w:tc>
          <w:tcPr>
            <w:tcW w:type="dxa" w:w="2016"/>
            <w:shd w:fill="FFFFFF"/>
            <w:tcMar>
              <w:top w:w="80" w:type="dxa"/>
              <w:bottom w:w="80" w:type="dxa"/>
              <w:left w:w="120" w:type="dxa"/>
              <w:right w:w="120" w:type="dxa"/>
            </w:tcMar>
          </w:tcPr>
          <w:p>
            <w:pPr>
              <w:spacing w:before="40" w:after="40" w:line="276" w:lineRule="auto"/>
            </w:pPr>
            <w:r>
              <w:rPr>
                <w:rFonts w:ascii="Arial" w:hAnsi="Arial"/>
                <w:color w:val="1E293B"/>
                <w:sz w:val="16"/>
              </w:rPr>
              <w:t>Auditor Wasrik</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Melihat perbandingan gaji riil vs gaji terlaporkan BPJS</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Sistem secara otomatis menghitung selisih rupiah dan persentase Under-Reporting Wage.</w:t>
            </w:r>
          </w:p>
        </w:tc>
      </w:tr>
      <w:tr>
        <w:trPr>
          <w:cantSplit/>
        </w:trPr>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US-03</w:t>
            </w:r>
          </w:p>
        </w:tc>
        <w:tc>
          <w:tcPr>
            <w:tcW w:type="dxa" w:w="2016"/>
            <w:shd w:fill="F8FAFC"/>
            <w:tcMar>
              <w:top w:w="80" w:type="dxa"/>
              <w:bottom w:w="80" w:type="dxa"/>
              <w:left w:w="120" w:type="dxa"/>
              <w:right w:w="120" w:type="dxa"/>
            </w:tcMar>
          </w:tcPr>
          <w:p>
            <w:pPr>
              <w:spacing w:before="40" w:after="40" w:line="276" w:lineRule="auto"/>
            </w:pPr>
            <w:r>
              <w:rPr>
                <w:rFonts w:ascii="Arial" w:hAnsi="Arial"/>
                <w:color w:val="1E293B"/>
                <w:sz w:val="16"/>
              </w:rPr>
              <w:t>Auditor Wasrik</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Meninjau bukti anomali secara Side-by-Side</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Mengklik poin anomali di panel kanan akan langsung menyorot kotak merah di dokumen panel kiri.</w:t>
            </w:r>
          </w:p>
        </w:tc>
      </w:tr>
      <w:tr>
        <w:trPr>
          <w:cantSplit/>
        </w:trPr>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US-04</w:t>
            </w:r>
          </w:p>
        </w:tc>
        <w:tc>
          <w:tcPr>
            <w:tcW w:type="dxa" w:w="2016"/>
            <w:shd w:fill="FFFFFF"/>
            <w:tcMar>
              <w:top w:w="80" w:type="dxa"/>
              <w:bottom w:w="80" w:type="dxa"/>
              <w:left w:w="120" w:type="dxa"/>
              <w:right w:w="120" w:type="dxa"/>
            </w:tcMar>
          </w:tcPr>
          <w:p>
            <w:pPr>
              <w:spacing w:before="40" w:after="40" w:line="276" w:lineRule="auto"/>
            </w:pPr>
            <w:r>
              <w:rPr>
                <w:rFonts w:ascii="Arial" w:hAnsi="Arial"/>
                <w:color w:val="1E293B"/>
                <w:sz w:val="16"/>
              </w:rPr>
              <w:t>Supervisor Wasrik</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Melihat ringkasan eksekutif potensi kerugian iuran JKN</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Dashboard menampilkan total nominal rupiah Revenue Leakage yang siap dipulihkan.</w:t>
            </w:r>
          </w:p>
        </w:tc>
      </w:tr>
      <w:tr>
        <w:trPr>
          <w:cantSplit/>
        </w:trPr>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US-05</w:t>
            </w:r>
          </w:p>
        </w:tc>
        <w:tc>
          <w:tcPr>
            <w:tcW w:type="dxa" w:w="2016"/>
            <w:shd w:fill="F8FAFC"/>
            <w:tcMar>
              <w:top w:w="80" w:type="dxa"/>
              <w:bottom w:w="80" w:type="dxa"/>
              <w:left w:w="120" w:type="dxa"/>
              <w:right w:w="120" w:type="dxa"/>
            </w:tcMar>
          </w:tcPr>
          <w:p>
            <w:pPr>
              <w:spacing w:before="40" w:after="40" w:line="276" w:lineRule="auto"/>
            </w:pPr>
            <w:r>
              <w:rPr>
                <w:rFonts w:ascii="Arial" w:hAnsi="Arial"/>
                <w:color w:val="1E293B"/>
                <w:sz w:val="16"/>
              </w:rPr>
              <w:t>Auditor Wasrik</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Menerbitkan draf rekomendasi sanksi TMP2T</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Menekan tombol Approve langsung menerbitkan dokumen PDF Surat Teguran resmi.</w:t>
            </w:r>
          </w:p>
        </w:tc>
      </w:tr>
      <w:tr>
        <w:trPr>
          <w:cantSplit/>
        </w:trPr>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US-06</w:t>
            </w:r>
          </w:p>
        </w:tc>
        <w:tc>
          <w:tcPr>
            <w:tcW w:type="dxa" w:w="2016"/>
            <w:shd w:fill="FFFFFF"/>
            <w:tcMar>
              <w:top w:w="80" w:type="dxa"/>
              <w:bottom w:w="80" w:type="dxa"/>
              <w:left w:w="120" w:type="dxa"/>
              <w:right w:w="120" w:type="dxa"/>
            </w:tcMar>
          </w:tcPr>
          <w:p>
            <w:pPr>
              <w:spacing w:before="40" w:after="40" w:line="276" w:lineRule="auto"/>
            </w:pPr>
            <w:r>
              <w:rPr>
                <w:rFonts w:ascii="Arial" w:hAnsi="Arial"/>
                <w:color w:val="1E293B"/>
                <w:sz w:val="16"/>
              </w:rPr>
              <w:t>System Admin</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Mengonfigurasi bobot kaku Rule Engine</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Sistem mengizinkan pengubahan bobot skor risiko tanpa mengompilasi ulang kode.</w:t>
            </w:r>
          </w:p>
        </w:tc>
      </w:tr>
    </w:tbl>
    <w:p/>
    <w:p>
      <w:pPr>
        <w:pStyle w:val="Heading1"/>
        <w:keepNext/>
        <w:spacing w:before="360" w:after="160" w:line="276" w:lineRule="auto"/>
      </w:pPr>
      <w:r>
        <w:rPr>
          <w:rFonts w:ascii="Arial" w:hAnsi="Arial"/>
          <w:b/>
          <w:color w:val="008A4B"/>
          <w:sz w:val="30"/>
        </w:rPr>
        <w:t>BAB 2: ARSITEKTUR KESELARASAN EKOSISTEM TEKNOLOGI BPJS &amp; JKN</w:t>
      </w:r>
    </w:p>
    <w:p>
      <w:pPr>
        <w:pStyle w:val="Heading2"/>
        <w:keepNext/>
        <w:spacing w:before="280" w:after="120" w:line="276" w:lineRule="auto"/>
      </w:pPr>
      <w:r>
        <w:rPr>
          <w:rFonts w:ascii="Arial" w:hAnsi="Arial"/>
          <w:b/>
          <w:color w:val="1E293B"/>
          <w:sz w:val="24"/>
        </w:rPr>
        <w:t>2.1 Arsitektur TI Existing BPJS Kesehatan &amp; BPJS Ketenagakerjaan</w:t>
      </w:r>
    </w:p>
    <w:p>
      <w:pPr>
        <w:spacing w:before="80" w:after="120" w:line="276" w:lineRule="auto"/>
      </w:pPr>
      <w:r>
        <w:rPr>
          <w:rFonts w:ascii="Arial" w:hAnsi="Arial"/>
          <w:b w:val="0"/>
          <w:i w:val="0"/>
          <w:color w:val="1E293B"/>
          <w:sz w:val="20"/>
        </w:rPr>
        <w:t>Ekosistem teknologi informasi BPJS Kesehatan dan BPJS Ketenagakerjaan beroperasi dalam arsitektur hybrid-cloud terenkripsi dengan komponen utama:</w:t>
      </w:r>
    </w:p>
    <w:p>
      <w:pPr>
        <w:spacing w:before="80" w:after="120" w:line="276" w:lineRule="auto"/>
      </w:pPr>
      <w:r>
        <w:rPr>
          <w:rFonts w:ascii="Arial" w:hAnsi="Arial"/>
          <w:b w:val="0"/>
          <w:i w:val="0"/>
          <w:color w:val="1E293B"/>
          <w:sz w:val="20"/>
        </w:rPr>
        <w:t>• Enterprise Data Lake &amp; Core Administration System (Primary Care, V-Claim, SIPP Online).</w:t>
      </w:r>
    </w:p>
    <w:p>
      <w:pPr>
        <w:spacing w:before="80" w:after="120" w:line="276" w:lineRule="auto"/>
      </w:pPr>
      <w:r>
        <w:rPr>
          <w:rFonts w:ascii="Arial" w:hAnsi="Arial"/>
          <w:b w:val="0"/>
          <w:i w:val="0"/>
          <w:color w:val="1E293B"/>
          <w:sz w:val="20"/>
        </w:rPr>
        <w:t>• BPJS API Gateway / ESB (Enterprise Service Bus) dengan otentikasi OAuth2 / JWT.</w:t>
      </w:r>
    </w:p>
    <w:p>
      <w:pPr>
        <w:spacing w:before="80" w:after="120" w:line="276" w:lineRule="auto"/>
      </w:pPr>
      <w:r>
        <w:rPr>
          <w:rFonts w:ascii="Arial" w:hAnsi="Arial"/>
          <w:b w:val="0"/>
          <w:i w:val="0"/>
          <w:color w:val="1E293B"/>
          <w:sz w:val="20"/>
        </w:rPr>
        <w:t>• Portal Wasrik Internal: Aplikasi web yang digunakan oleh Petugas Pengawasan dan Pemeriksaan di tingkat Kantor Cabang.</w:t>
      </w:r>
    </w:p>
    <w:p>
      <w:pPr>
        <w:spacing w:before="80" w:after="120" w:line="276" w:lineRule="auto"/>
      </w:pPr>
      <w:r>
        <w:rPr>
          <w:rFonts w:ascii="Arial" w:hAnsi="Arial"/>
          <w:b w:val="0"/>
          <w:i w:val="0"/>
          <w:color w:val="1E293B"/>
          <w:sz w:val="20"/>
        </w:rPr>
        <w:t>• Portal SIAPkerja Kemnaker &amp; OSS BKPM: Sistem antarmuka luar jaringan untuk validasi Wajib Lapor Ketenagakerjaan Perusahaan (WLKP) dan NIB.</w:t>
      </w:r>
    </w:p>
    <w:p>
      <w:pPr>
        <w:pStyle w:val="Heading2"/>
        <w:keepNext/>
        <w:spacing w:before="280" w:after="120" w:line="276" w:lineRule="auto"/>
      </w:pPr>
      <w:r>
        <w:rPr>
          <w:rFonts w:ascii="Arial" w:hAnsi="Arial"/>
          <w:b/>
          <w:color w:val="1E293B"/>
          <w:sz w:val="24"/>
        </w:rPr>
        <w:t>2.2 Peta Integrasi WasrikAgent AI ke Ekosistem JKN</w:t>
      </w:r>
    </w:p>
    <w:p>
      <w:pPr>
        <w:spacing w:before="80" w:after="120" w:line="276" w:lineRule="auto"/>
      </w:pPr>
      <w:r>
        <w:rPr>
          <w:rFonts w:ascii="Arial" w:hAnsi="Arial"/>
          <w:b w:val="0"/>
          <w:i w:val="0"/>
          <w:color w:val="1E293B"/>
          <w:sz w:val="20"/>
        </w:rPr>
        <w:t>WasrikAgent AI diintegrasikan sebagai Microservice Add-On (Audit Co-Pilot Module) yang duduk paralel dengan API Gateway Wasrik BPJS. Integrasi dilakukan secara non-disruptive (tanpa mengganggu sistem transaksi utama):</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w:t>
              <w:br/>
              <w:t>|                        EKOSISTEM IT EXTERNAL &amp; GOVERNMENT                         |</w:t>
              <w:br/>
              <w:t>|  [Portal OSS BKPM] &lt;---&gt; [SIAPkerja Kemnaker (WLKP)] &lt;---&gt; [KPK Action Plan API]  |</w:t>
              <w:br/>
              <w:t>+------------------------------------------+----------------------------------------+</w:t>
              <w:br/>
              <w:t xml:space="preserve">                                           | (HTTPS / REST API / TLS 1.3)</w:t>
              <w:br/>
              <w:t xml:space="preserve">                                           v</w:t>
              <w:br/>
              <w:t>+-----------------------------------------------------------------------------------+</w:t>
              <w:br/>
              <w:t>|                       BPJS ENTERPRISE API GATEWAY / ESB                           |</w:t>
              <w:br/>
              <w:t>|                       (OAuth2 / JWT Token Validation)                             |</w:t>
              <w:br/>
              <w:t>+------------------------------------------+----------------------------------------+</w:t>
              <w:br/>
              <w:t xml:space="preserve">                                           |</w:t>
              <w:br/>
              <w:t xml:space="preserve">                    +----------------------+----------------------+</w:t>
              <w:br/>
              <w:t xml:space="preserve">                    |                                             |</w:t>
              <w:br/>
              <w:t xml:space="preserve">                    v                                             v</w:t>
              <w:br/>
              <w:t>+----------------------------------------+   +--------------------------------------+</w:t>
              <w:br/>
              <w:t>|  EXISTING PORTAL WASRIK BPJS           |   |  WASRIKAGENT AI ENGINE (MICROSERVICE)|</w:t>
              <w:br/>
              <w:t>|  - Management Dashboard                |   |  - Vision-OCR Ingestion Service      |</w:t>
              <w:br/>
              <w:t>|  - Master Data Badan Usaha             |   |  - Multi-Agent Core (FastAPI/LangGraph)|</w:t>
              <w:br/>
              <w:t>|  - Manual Audit History                |   |  - Deterministic Business Rule Engine|</w:t>
              <w:br/>
              <w:t>+-------------------+--------------------+   +------------------+-------------------+</w:t>
              <w:br/>
              <w:t xml:space="preserve">                    |                                           |</w:t>
              <w:br/>
              <w:t xml:space="preserve">                    +----------------------+--------------------+</w:t>
              <w:br/>
              <w:t xml:space="preserve">                                           | (Internal DB Sync / pgvector)</w:t>
              <w:br/>
              <w:t xml:space="preserve">                                           v</w:t>
              <w:br/>
              <w:t>+-----------------------------------------------------------------------------------+</w:t>
              <w:br/>
              <w:t>|               POSTGRESQL 16 ENTERPRISE CLUSTER + PGVECTOR EXTENSION               |</w:t>
              <w:br/>
              <w:t>|      (Master Data, Encrypted Payroll, Agent Findings, HITL Audit Logs)            |</w:t>
              <w:br/>
              <w:t>+-----------------------------------------------------------------------------------+</w:t>
            </w:r>
          </w:p>
        </w:tc>
      </w:tr>
    </w:tbl>
    <w:p/>
    <w:p>
      <w:pPr>
        <w:pStyle w:val="Heading2"/>
        <w:keepNext/>
        <w:spacing w:before="280" w:after="120" w:line="276" w:lineRule="auto"/>
      </w:pPr>
      <w:r>
        <w:rPr>
          <w:rFonts w:ascii="Arial" w:hAnsi="Arial"/>
          <w:b/>
          <w:color w:val="1E293B"/>
          <w:sz w:val="24"/>
        </w:rPr>
        <w:t>2.3 Standar Keamanan, Interoperabilitas &amp; Kepatuhan UU PDP</w:t>
      </w:r>
    </w:p>
    <w:p>
      <w:pPr>
        <w:spacing w:before="80" w:after="120" w:line="276" w:lineRule="auto"/>
      </w:pPr>
      <w:r>
        <w:rPr>
          <w:rFonts w:ascii="Arial" w:hAnsi="Arial"/>
          <w:b w:val="0"/>
          <w:i w:val="0"/>
          <w:color w:val="1E293B"/>
          <w:sz w:val="20"/>
        </w:rPr>
        <w:t>Untuk menjamin keamanan tingkat tinggi dan kepatuhan penuh pada UU PDP No. 27/2022:</w:t>
      </w:r>
    </w:p>
    <w:p>
      <w:pPr>
        <w:spacing w:before="80" w:after="120" w:line="276" w:lineRule="auto"/>
      </w:pPr>
      <w:r>
        <w:rPr>
          <w:rFonts w:ascii="Arial" w:hAnsi="Arial"/>
          <w:b w:val="0"/>
          <w:i w:val="0"/>
          <w:color w:val="1E293B"/>
          <w:sz w:val="20"/>
        </w:rPr>
        <w:t>• Pseudonymization Engine: Seluruh variabel identitas pribadi pekerja (NIK, Nama, Nomor HP) di-hash menggunakan algoritma SHA-256 dengan Salt unik instansi sebelum disimpan ke database.</w:t>
      </w:r>
    </w:p>
    <w:p>
      <w:pPr>
        <w:spacing w:before="80" w:after="120" w:line="276" w:lineRule="auto"/>
      </w:pPr>
      <w:r>
        <w:rPr>
          <w:rFonts w:ascii="Arial" w:hAnsi="Arial"/>
          <w:b w:val="0"/>
          <w:i w:val="0"/>
          <w:color w:val="1E293B"/>
          <w:sz w:val="20"/>
        </w:rPr>
        <w:t>• Enkripsi Data: Menggunakan AES-256 untuk Data-at-Rest dan TLS 1.3 untuk Data-in-Transit.</w:t>
      </w:r>
    </w:p>
    <w:p>
      <w:pPr>
        <w:spacing w:before="80" w:after="120" w:line="276" w:lineRule="auto"/>
      </w:pPr>
      <w:r>
        <w:rPr>
          <w:rFonts w:ascii="Arial" w:hAnsi="Arial"/>
          <w:b w:val="0"/>
          <w:i w:val="0"/>
          <w:color w:val="1E293B"/>
          <w:sz w:val="20"/>
        </w:rPr>
        <w:t>• Zero Real Data in Hackathon: Pengujian dan demonstrasi menggunakan 100% data sintetis terstruktur (dummy data generator).</w:t>
      </w:r>
    </w:p>
    <w:p>
      <w:pPr>
        <w:pStyle w:val="Heading2"/>
        <w:keepNext/>
        <w:spacing w:before="280" w:after="120" w:line="276" w:lineRule="auto"/>
      </w:pPr>
      <w:r>
        <w:rPr>
          <w:rFonts w:ascii="Arial" w:hAnsi="Arial"/>
          <w:b/>
          <w:color w:val="1E293B"/>
          <w:sz w:val="24"/>
        </w:rPr>
        <w:t>2.4 Detil Spesifikasi Middleware &amp; Integrasi Payload API Gateway</w:t>
      </w:r>
    </w:p>
    <w:p>
      <w:pPr>
        <w:spacing w:before="80" w:after="120" w:line="276" w:lineRule="auto"/>
      </w:pPr>
      <w:r>
        <w:rPr>
          <w:rFonts w:ascii="Arial" w:hAnsi="Arial"/>
          <w:b w:val="0"/>
          <w:i w:val="0"/>
          <w:color w:val="1E293B"/>
          <w:sz w:val="20"/>
        </w:rPr>
        <w:t>Berikut adalah spesifikasi payload JSON integrasi antara WasrikAgent AI dan BPJS API Gateway ESB:</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 Request Payload dari Portal Wasrik BPJS ke WasrikAgent AI Microservice</w:t>
              <w:br/>
              <w:t>{</w:t>
              <w:br/>
              <w:t xml:space="preserve">  "header": {</w:t>
              <w:br/>
              <w:t xml:space="preserve">    "channel_id": "BPJS-WASRIK-PORTAL-01",</w:t>
              <w:br/>
              <w:t xml:space="preserve">    "timestamp": "2026-10-26T10:15:30Z",</w:t>
              <w:br/>
              <w:t xml:space="preserve">    "access_token": "bearer eyJhbGciOiJIUzI1NiIsInR5cCI6IkpXVCJ9..."</w:t>
              <w:br/>
              <w:t xml:space="preserve">  },</w:t>
              <w:br/>
              <w:t xml:space="preserve">  "body": {</w:t>
              <w:br/>
              <w:t xml:space="preserve">    "bu_id": "BU-98214-JKT",</w:t>
              <w:br/>
              <w:t xml:space="preserve">    "nib": "9120001234567",</w:t>
              <w:br/>
              <w:t xml:space="preserve">    "requested_by_auditor": "USR-WASRIK-007",</w:t>
              <w:br/>
              <w:t xml:space="preserve">    "scan_mode": "FULL_AUTOMATED_AUDIT"</w:t>
              <w:br/>
              <w:t xml:space="preserve">  }</w:t>
              <w:br/>
              <w:t>}</w:t>
            </w:r>
          </w:p>
        </w:tc>
      </w:tr>
    </w:tbl>
    <w:p/>
    <w:p>
      <w:pPr>
        <w:pStyle w:val="Heading1"/>
        <w:keepNext/>
        <w:spacing w:before="360" w:after="160" w:line="276" w:lineRule="auto"/>
      </w:pPr>
      <w:r>
        <w:rPr>
          <w:rFonts w:ascii="Arial" w:hAnsi="Arial"/>
          <w:b/>
          <w:color w:val="008A4B"/>
          <w:sz w:val="30"/>
        </w:rPr>
        <w:t>BAB 3: SPESIFIKASI ARSITEKTUR MULTI-AGENT &amp; TATA KELOLA AI (AGENTIC GOVERNANCE)</w:t>
      </w:r>
    </w:p>
    <w:p>
      <w:pPr>
        <w:pStyle w:val="Heading2"/>
        <w:keepNext/>
        <w:spacing w:before="280" w:after="120" w:line="276" w:lineRule="auto"/>
      </w:pPr>
      <w:r>
        <w:rPr>
          <w:rFonts w:ascii="Arial" w:hAnsi="Arial"/>
          <w:b/>
          <w:color w:val="1E293B"/>
          <w:sz w:val="24"/>
        </w:rPr>
        <w:t>3.1 Overview Arsitektur Microservices &amp; LangGraph</w:t>
      </w:r>
    </w:p>
    <w:p>
      <w:pPr>
        <w:spacing w:before="80" w:after="120" w:line="276" w:lineRule="auto"/>
      </w:pPr>
      <w:r>
        <w:rPr>
          <w:rFonts w:ascii="Arial" w:hAnsi="Arial"/>
          <w:b w:val="0"/>
          <w:i w:val="0"/>
          <w:color w:val="1E293B"/>
          <w:sz w:val="20"/>
        </w:rPr>
        <w:t>WasrikAgent AI dibangun menggunakan arsitektur Multi-Agent System yang terdistribusi berbasis FastAPI dan LangGraph. Arsitektur ini dipilih karena mampu melakukan pemrosesan terpisah per domain, mengisolasi memori, serta menjamin alur mengeksekusi pemeriksaan secara paralel.</w:t>
      </w:r>
    </w:p>
    <w:p>
      <w:pPr>
        <w:pStyle w:val="Heading2"/>
        <w:keepNext/>
        <w:spacing w:before="280" w:after="120" w:line="276" w:lineRule="auto"/>
      </w:pPr>
      <w:r>
        <w:rPr>
          <w:rFonts w:ascii="Arial" w:hAnsi="Arial"/>
          <w:b/>
          <w:color w:val="1E293B"/>
          <w:sz w:val="24"/>
        </w:rPr>
        <w:t>3.2 Agent Capability Contracts (ACC) &amp; Least-Privilege Scopes</w:t>
      </w:r>
    </w:p>
    <w:p>
      <w:pPr>
        <w:spacing w:before="80" w:after="120" w:line="276" w:lineRule="auto"/>
      </w:pPr>
      <w:r>
        <w:rPr>
          <w:rFonts w:ascii="Arial" w:hAnsi="Arial"/>
          <w:b w:val="0"/>
          <w:i w:val="0"/>
          <w:color w:val="1E293B"/>
          <w:sz w:val="20"/>
        </w:rPr>
        <w:t>Sesuai prinsip Capability-Aligned Enterprise Agent Design (CEAD), setiap agen dibatasi oleh Agent Capability Contract (ACC) tertulis: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2592"/>
            <w:shd w:fill="008A4B"/>
            <w:tcMar>
              <w:top w:w="100" w:type="dxa"/>
              <w:bottom w:w="100" w:type="dxa"/>
              <w:left w:w="120" w:type="dxa"/>
              <w:right w:w="120" w:type="dxa"/>
            </w:tcMar>
          </w:tcPr>
          <w:p>
            <w:pPr>
              <w:spacing w:before="40" w:after="40" w:line="276" w:lineRule="auto"/>
            </w:pPr>
            <w:r>
              <w:rPr>
                <w:rFonts w:ascii="Arial" w:hAnsi="Arial"/>
                <w:b/>
                <w:color w:val="FFFFFF"/>
                <w:sz w:val="17"/>
              </w:rPr>
              <w:t>Nama Agen AI</w:t>
            </w:r>
          </w:p>
        </w:tc>
        <w:tc>
          <w:tcPr>
            <w:tcW w:type="dxa" w:w="3168"/>
            <w:shd w:fill="008A4B"/>
            <w:tcMar>
              <w:top w:w="100" w:type="dxa"/>
              <w:bottom w:w="100" w:type="dxa"/>
              <w:left w:w="120" w:type="dxa"/>
              <w:right w:w="120" w:type="dxa"/>
            </w:tcMar>
          </w:tcPr>
          <w:p>
            <w:pPr>
              <w:spacing w:before="40" w:after="40" w:line="276" w:lineRule="auto"/>
            </w:pPr>
            <w:r>
              <w:rPr>
                <w:rFonts w:ascii="Arial" w:hAnsi="Arial"/>
                <w:b/>
                <w:color w:val="FFFFFF"/>
                <w:sz w:val="17"/>
              </w:rPr>
              <w:t>Wewenang &amp; Scope Limit</w:t>
            </w:r>
          </w:p>
        </w:tc>
        <w:tc>
          <w:tcPr>
            <w:tcW w:type="dxa" w:w="2592"/>
            <w:shd w:fill="008A4B"/>
            <w:tcMar>
              <w:top w:w="100" w:type="dxa"/>
              <w:bottom w:w="100" w:type="dxa"/>
              <w:left w:w="120" w:type="dxa"/>
              <w:right w:w="120" w:type="dxa"/>
            </w:tcMar>
          </w:tcPr>
          <w:p>
            <w:pPr>
              <w:spacing w:before="40" w:after="40" w:line="276" w:lineRule="auto"/>
            </w:pPr>
            <w:r>
              <w:rPr>
                <w:rFonts w:ascii="Arial" w:hAnsi="Arial"/>
                <w:b/>
                <w:color w:val="FFFFFF"/>
                <w:sz w:val="17"/>
              </w:rPr>
              <w:t>Tools Yang Diizinkan</w:t>
            </w:r>
          </w:p>
        </w:tc>
        <w:tc>
          <w:tcPr>
            <w:tcW w:type="dxa" w:w="1728"/>
            <w:shd w:fill="008A4B"/>
            <w:tcMar>
              <w:top w:w="100" w:type="dxa"/>
              <w:bottom w:w="100" w:type="dxa"/>
              <w:left w:w="120" w:type="dxa"/>
              <w:right w:w="120" w:type="dxa"/>
            </w:tcMar>
          </w:tcPr>
          <w:p>
            <w:pPr>
              <w:spacing w:before="40" w:after="40" w:line="276" w:lineRule="auto"/>
            </w:pPr>
            <w:r>
              <w:rPr>
                <w:rFonts w:ascii="Arial" w:hAnsi="Arial"/>
                <w:b/>
                <w:color w:val="FFFFFF"/>
                <w:sz w:val="17"/>
              </w:rPr>
              <w:t>Sifat Memori &amp; Isolation</w:t>
            </w:r>
          </w:p>
        </w:tc>
      </w:tr>
      <w:tr>
        <w:trPr>
          <w:cantSplit/>
        </w:trPr>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Payroll &amp; Document Agent</w:t>
            </w:r>
          </w:p>
        </w:tc>
        <w:tc>
          <w:tcPr>
            <w:tcW w:type="dxa" w:w="3168"/>
            <w:shd w:fill="F8FAFC"/>
            <w:tcMar>
              <w:top w:w="80" w:type="dxa"/>
              <w:bottom w:w="80" w:type="dxa"/>
              <w:left w:w="120" w:type="dxa"/>
              <w:right w:w="120" w:type="dxa"/>
            </w:tcMar>
          </w:tcPr>
          <w:p>
            <w:pPr>
              <w:spacing w:before="40" w:after="40" w:line="276" w:lineRule="auto"/>
            </w:pPr>
            <w:r>
              <w:rPr>
                <w:rFonts w:ascii="Arial" w:hAnsi="Arial"/>
                <w:color w:val="1E293B"/>
                <w:sz w:val="16"/>
              </w:rPr>
              <w:t>Ekstraksi slip gaji &amp; deteksi Under-Reporting Wage.</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Vision-OCR Tool, Salary Parser, Tax Calculator</w:t>
            </w:r>
          </w:p>
        </w:tc>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Short-term Session Isolation, Read-Only Payroll DB</w:t>
            </w:r>
          </w:p>
        </w:tc>
      </w:tr>
      <w:tr>
        <w:trPr>
          <w:cantSplit/>
        </w:trPr>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Workforce Classification Agent</w:t>
            </w:r>
          </w:p>
        </w:tc>
        <w:tc>
          <w:tcPr>
            <w:tcW w:type="dxa" w:w="3168"/>
            <w:shd w:fill="FFFFFF"/>
            <w:tcMar>
              <w:top w:w="80" w:type="dxa"/>
              <w:bottom w:w="80" w:type="dxa"/>
              <w:left w:w="120" w:type="dxa"/>
              <w:right w:w="120" w:type="dxa"/>
            </w:tcMar>
          </w:tcPr>
          <w:p>
            <w:pPr>
              <w:spacing w:before="40" w:after="40" w:line="276" w:lineRule="auto"/>
            </w:pPr>
            <w:r>
              <w:rPr>
                <w:rFonts w:ascii="Arial" w:hAnsi="Arial"/>
                <w:color w:val="1E293B"/>
                <w:sz w:val="16"/>
              </w:rPr>
              <w:t>Rekonsiliasi PDUK &amp; status pekerja lepas/tetap.</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Workforce Ratio Parser, Mutasi Matcher Tool</w:t>
            </w:r>
          </w:p>
        </w:tc>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Short-term Session Isolation, Read-Only WLKP DB</w:t>
            </w:r>
          </w:p>
        </w:tc>
      </w:tr>
      <w:tr>
        <w:trPr>
          <w:cantSplit/>
        </w:trPr>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Collusion &amp; Anomaly Graph Agent</w:t>
            </w:r>
          </w:p>
        </w:tc>
        <w:tc>
          <w:tcPr>
            <w:tcW w:type="dxa" w:w="3168"/>
            <w:shd w:fill="F8FAFC"/>
            <w:tcMar>
              <w:top w:w="80" w:type="dxa"/>
              <w:bottom w:w="80" w:type="dxa"/>
              <w:left w:w="120" w:type="dxa"/>
              <w:right w:w="120" w:type="dxa"/>
            </w:tcMar>
          </w:tcPr>
          <w:p>
            <w:pPr>
              <w:spacing w:before="40" w:after="40" w:line="276" w:lineRule="auto"/>
            </w:pPr>
            <w:r>
              <w:rPr>
                <w:rFonts w:ascii="Arial" w:hAnsi="Arial"/>
                <w:color w:val="1E293B"/>
                <w:sz w:val="16"/>
              </w:rPr>
              <w:t>Deteksi grafik klaim fiktif &amp; MCU berulang.</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Graph Anomaly Detector, Faskes Claim Scanner</w:t>
            </w:r>
          </w:p>
        </w:tc>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Graph Vector Search, Read-Only Claims DB</w:t>
            </w:r>
          </w:p>
        </w:tc>
      </w:tr>
      <w:tr>
        <w:trPr>
          <w:cantSplit/>
        </w:trPr>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Supervisor Orchestrator Agent</w:t>
            </w:r>
          </w:p>
        </w:tc>
        <w:tc>
          <w:tcPr>
            <w:tcW w:type="dxa" w:w="3168"/>
            <w:shd w:fill="FFFFFF"/>
            <w:tcMar>
              <w:top w:w="80" w:type="dxa"/>
              <w:bottom w:w="80" w:type="dxa"/>
              <w:left w:w="120" w:type="dxa"/>
              <w:right w:w="120" w:type="dxa"/>
            </w:tcMar>
          </w:tcPr>
          <w:p>
            <w:pPr>
              <w:spacing w:before="40" w:after="40" w:line="276" w:lineRule="auto"/>
            </w:pPr>
            <w:r>
              <w:rPr>
                <w:rFonts w:ascii="Arial" w:hAnsi="Arial"/>
                <w:color w:val="1E293B"/>
                <w:sz w:val="16"/>
              </w:rPr>
              <w:t>Agregasi skor risiko &amp; estimasi Loss Rp.</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Risk Score Aggregator, Loss Calculator Tool</w:t>
            </w:r>
          </w:p>
        </w:tc>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Cross-Agent State Aggregator, Write-Allowed to Scratch</w:t>
            </w:r>
          </w:p>
        </w:tc>
      </w:tr>
    </w:tbl>
    <w:p/>
    <w:p>
      <w:pPr>
        <w:pStyle w:val="Heading2"/>
        <w:keepNext/>
        <w:spacing w:before="280" w:after="120" w:line="276" w:lineRule="auto"/>
      </w:pPr>
      <w:r>
        <w:rPr>
          <w:rFonts w:ascii="Arial" w:hAnsi="Arial"/>
          <w:b/>
          <w:color w:val="1E293B"/>
          <w:sz w:val="24"/>
        </w:rPr>
        <w:t>3.3 Model Context Protocol (MCP) &amp; 4-Tier Guardrails</w:t>
      </w:r>
    </w:p>
    <w:p>
      <w:pPr>
        <w:spacing w:before="80" w:after="120" w:line="276" w:lineRule="auto"/>
      </w:pPr>
      <w:r>
        <w:rPr>
          <w:rFonts w:ascii="Arial" w:hAnsi="Arial"/>
          <w:b w:val="0"/>
          <w:i w:val="0"/>
          <w:color w:val="1E293B"/>
          <w:sz w:val="20"/>
        </w:rPr>
        <w:t>Setiap panggilan tools oleh agen wajib melewati 4-Tier Model Context Protocol (MCP) Guardrails:</w:t>
      </w:r>
    </w:p>
    <w:p>
      <w:pPr>
        <w:spacing w:before="80" w:after="120" w:line="276" w:lineRule="auto"/>
      </w:pPr>
      <w:r>
        <w:rPr>
          <w:rFonts w:ascii="Arial" w:hAnsi="Arial"/>
          <w:b w:val="0"/>
          <w:i w:val="0"/>
          <w:color w:val="1E293B"/>
          <w:sz w:val="20"/>
        </w:rPr>
        <w:t>1. Blocklist Tier: Menolak otomatis pengiriman data mentah berpola NIK/Nama ke endpoint eksternal tanpa enkripsi.</w:t>
      </w:r>
    </w:p>
    <w:p>
      <w:pPr>
        <w:spacing w:before="80" w:after="120" w:line="276" w:lineRule="auto"/>
      </w:pPr>
      <w:r>
        <w:rPr>
          <w:rFonts w:ascii="Arial" w:hAnsi="Arial"/>
          <w:b w:val="0"/>
          <w:i w:val="0"/>
          <w:color w:val="1E293B"/>
          <w:sz w:val="20"/>
        </w:rPr>
        <w:t>2. Mustlist Tier: Mewajibkan enkripsi SHA-256 pada seluruh variabel identitas sebelum fungsi query basis data dijalankan.</w:t>
      </w:r>
    </w:p>
    <w:p>
      <w:pPr>
        <w:spacing w:before="80" w:after="120" w:line="276" w:lineRule="auto"/>
      </w:pPr>
      <w:r>
        <w:rPr>
          <w:rFonts w:ascii="Arial" w:hAnsi="Arial"/>
          <w:b w:val="0"/>
          <w:i w:val="0"/>
          <w:color w:val="1E293B"/>
          <w:sz w:val="20"/>
        </w:rPr>
        <w:t>3. Allowlist Tier: Mengizinkan komputasi internal selisih basis iuran (5,7% JHT, 3% JP, 1% JKM/JKK).</w:t>
      </w:r>
    </w:p>
    <w:p>
      <w:pPr>
        <w:spacing w:before="80" w:after="120" w:line="276" w:lineRule="auto"/>
      </w:pPr>
      <w:r>
        <w:rPr>
          <w:rFonts w:ascii="Arial" w:hAnsi="Arial"/>
          <w:b w:val="0"/>
          <w:i w:val="0"/>
          <w:color w:val="1E293B"/>
          <w:sz w:val="20"/>
        </w:rPr>
        <w:t>4. Confirmation Tier (HITL): Meminta otorisasi manusia sebelum penerbitan draf sanksi TMP2T atau perubahan status kepatuhan.</w:t>
      </w:r>
    </w:p>
    <w:p>
      <w:pPr>
        <w:pStyle w:val="Heading2"/>
        <w:keepNext/>
        <w:spacing w:before="280" w:after="120" w:line="276" w:lineRule="auto"/>
      </w:pPr>
      <w:r>
        <w:rPr>
          <w:rFonts w:ascii="Arial" w:hAnsi="Arial"/>
          <w:b/>
          <w:color w:val="1E293B"/>
          <w:sz w:val="24"/>
        </w:rPr>
        <w:t>3.4 Implementasi Kode LangGraph State Machine &amp; Hardening</w:t>
      </w:r>
    </w:p>
    <w:p>
      <w:pPr>
        <w:spacing w:before="80" w:after="120" w:line="276" w:lineRule="auto"/>
      </w:pPr>
      <w:r>
        <w:rPr>
          <w:rFonts w:ascii="Arial" w:hAnsi="Arial"/>
          <w:b w:val="0"/>
          <w:i w:val="0"/>
          <w:color w:val="1E293B"/>
          <w:sz w:val="20"/>
        </w:rPr>
        <w:t>Berikut adalah kode Python implementasi LangGraph State Machine dengan penanganan recursion limit dan state pruning:</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from typing import TypedDict, Annotated, Sequence</w:t>
              <w:br/>
              <w:t>import operator</w:t>
              <w:br/>
              <w:t>from langgraph.graph import StateGraph, END</w:t>
              <w:br/>
              <w:br/>
              <w:t># Define Agent State Schema</w:t>
              <w:br/>
              <w:t>class AuditAgentState(TypedDict):</w:t>
              <w:br/>
              <w:t xml:space="preserve">    bu_id: str</w:t>
              <w:br/>
              <w:t xml:space="preserve">    documents: list[str]</w:t>
              <w:br/>
              <w:t xml:space="preserve">    payroll_findings: dict</w:t>
              <w:br/>
              <w:t xml:space="preserve">    workforce_findings: dict</w:t>
              <w:br/>
              <w:t xml:space="preserve">    collusion_findings: dict</w:t>
              <w:br/>
              <w:t xml:space="preserve">    risk_score: float</w:t>
              <w:br/>
              <w:t xml:space="preserve">    estimated_loss_rupiah: float</w:t>
              <w:br/>
              <w:t xml:space="preserve">    messages: Annotated[Sequence[str], operator.add]</w:t>
              <w:br/>
              <w:t xml:space="preserve">    step_count: int</w:t>
              <w:br/>
              <w:br/>
              <w:t># Nodes Definitions</w:t>
              <w:br/>
              <w:t>def payroll_agent_node(state: AuditAgentState):</w:t>
              <w:br/>
              <w:t xml:space="preserve">    findings = {"under_reporting_pct": 37.5, "salary_diff": 3000000}</w:t>
              <w:br/>
              <w:t xml:space="preserve">    return {"payroll_findings": findings, "step_count": state["step_count"] + 1}</w:t>
              <w:br/>
              <w:br/>
              <w:t>def workforce_agent_node(state: AuditAgentState):</w:t>
              <w:br/>
              <w:t xml:space="preserve">    findings = {"pduk_pct": 20.0, "unregistered_workers": 45}</w:t>
              <w:br/>
              <w:t xml:space="preserve">    return {"workforce_findings": findings, "step_count": state["step_count"] + 1}</w:t>
              <w:br/>
              <w:br/>
              <w:t>def supervisor_orchestrator_node(state: AuditAgentState):</w:t>
              <w:br/>
              <w:t xml:space="preserve">    score = (state["payroll_findings"]["under_reporting_pct"] * 0.5) + (state["workforce_findings"]["pduk_pct"] * 0.5)</w:t>
              <w:br/>
              <w:t xml:space="preserve">    loss = (state["payroll_findings"]["salary_diff"] * 0.057 * 12 * 45)</w:t>
              <w:br/>
              <w:t xml:space="preserve">    return {"risk_score": score, "estimated_loss_rupiah": loss, "step_count": state["step_count"] + 1}</w:t>
              <w:br/>
              <w:br/>
              <w:t># Routing Edge</w:t>
              <w:br/>
              <w:t>def should_continue(state: AuditAgentState):</w:t>
              <w:br/>
              <w:t xml:space="preserve">    if state["step_count"] &gt;= 10: # Hard Step Limit Guardrail</w:t>
              <w:br/>
              <w:t xml:space="preserve">        return END</w:t>
              <w:br/>
              <w:t xml:space="preserve">    if "risk_score" in state:</w:t>
              <w:br/>
              <w:t xml:space="preserve">        return END</w:t>
              <w:br/>
              <w:t xml:space="preserve">    return "supervisor_orchestrator"</w:t>
              <w:br/>
              <w:br/>
              <w:t># Build Workflow Graph</w:t>
              <w:br/>
              <w:t>workflow = StateGraph(AuditAgentState)</w:t>
              <w:br/>
              <w:t>workflow.add_node("payroll_agent", payroll_agent_node)</w:t>
              <w:br/>
              <w:t>workflow.add_node("workforce_agent", workforce_agent_node)</w:t>
              <w:br/>
              <w:t>workflow.add_node("supervisor_orchestrator", supervisor_orchestrator_node)</w:t>
              <w:br/>
              <w:br/>
              <w:t>workflow.set_entry_point("payroll_agent")</w:t>
              <w:br/>
              <w:t>workflow.add_edge("payroll_agent", "workforce_agent")</w:t>
              <w:br/>
              <w:t>workflow.add_edge("workforce_agent", "supervisor_orchestrator")</w:t>
              <w:br/>
              <w:t>workflow.add_conditional_edges("supervisor_orchestrator", should_continue)</w:t>
              <w:br/>
              <w:br/>
              <w:t>app_graph = workflow.compile()</w:t>
            </w:r>
          </w:p>
        </w:tc>
      </w:tr>
    </w:tbl>
    <w:p/>
    <w:p>
      <w:pPr>
        <w:pStyle w:val="Heading2"/>
        <w:keepNext/>
        <w:spacing w:before="280" w:after="120" w:line="276" w:lineRule="auto"/>
      </w:pPr>
      <w:r>
        <w:rPr>
          <w:rFonts w:ascii="Arial" w:hAnsi="Arial"/>
          <w:b/>
          <w:color w:val="1E293B"/>
          <w:sz w:val="24"/>
        </w:rPr>
        <w:t>3.5 Deterministic Rule Engine Integration</w:t>
      </w:r>
    </w:p>
    <w:p>
      <w:pPr>
        <w:spacing w:before="80" w:after="120" w:line="276" w:lineRule="auto"/>
      </w:pPr>
      <w:r>
        <w:rPr>
          <w:rFonts w:ascii="Arial" w:hAnsi="Arial"/>
          <w:b w:val="0"/>
          <w:i w:val="0"/>
          <w:color w:val="1E293B"/>
          <w:sz w:val="20"/>
        </w:rPr>
        <w:t>LLM hanya bertugas mengekstrak variabel dokumen (seperti nilai gaji riil atau jumlah pekerja). Penentuan akhir Corporate Risk Score (0-100) dilakukan secara deterministik oleh Rule Engine kaku:</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def calculate_deterministic_risk_score(under_reporting_pct, pduk_pct, uncollected_months):</w:t>
              <w:br/>
              <w:t xml:space="preserve">    score = 0.0</w:t>
              <w:br/>
              <w:t xml:space="preserve">    if under_reporting_pct &gt; 30.0:</w:t>
              <w:br/>
              <w:t xml:space="preserve">        score += 40.0</w:t>
              <w:br/>
              <w:t xml:space="preserve">    elif under_reporting_pct &gt; 10.0:</w:t>
              <w:br/>
              <w:t xml:space="preserve">        score += 20.0</w:t>
              <w:br/>
              <w:t xml:space="preserve">        </w:t>
              <w:br/>
              <w:t xml:space="preserve">    if pduk_pct &gt; 25.0:</w:t>
              <w:br/>
              <w:t xml:space="preserve">        score += 40.0</w:t>
              <w:br/>
              <w:t xml:space="preserve">    elif pduk_pct &gt; 5.0:</w:t>
              <w:br/>
              <w:t xml:space="preserve">        score += 20.0</w:t>
              <w:br/>
              <w:t xml:space="preserve">        </w:t>
              <w:br/>
              <w:t xml:space="preserve">    if uncollected_months &gt;= 3:</w:t>
              <w:br/>
              <w:t xml:space="preserve">        score += 20.0</w:t>
              <w:br/>
              <w:t xml:space="preserve">    elif uncollected_months &gt;= 1:</w:t>
              <w:br/>
              <w:t xml:space="preserve">        score += 10.0</w:t>
              <w:br/>
              <w:t xml:space="preserve">        </w:t>
              <w:br/>
              <w:t xml:space="preserve">    return min(100.0, score)</w:t>
            </w:r>
          </w:p>
        </w:tc>
      </w:tr>
    </w:tbl>
    <w:p/>
    <w:p>
      <w:pPr>
        <w:pStyle w:val="Heading2"/>
        <w:keepNext/>
        <w:spacing w:before="280" w:after="120" w:line="276" w:lineRule="auto"/>
      </w:pPr>
      <w:r>
        <w:rPr>
          <w:rFonts w:ascii="Arial" w:hAnsi="Arial"/>
          <w:b/>
          <w:color w:val="1E293B"/>
          <w:sz w:val="24"/>
        </w:rPr>
        <w:t>3.6 Prompt Engineering Guidelines per Agen AI</w:t>
      </w:r>
    </w:p>
    <w:p>
      <w:pPr>
        <w:spacing w:before="80" w:after="120" w:line="276" w:lineRule="auto"/>
      </w:pPr>
      <w:r>
        <w:rPr>
          <w:rFonts w:ascii="Arial" w:hAnsi="Arial"/>
          <w:b w:val="0"/>
          <w:i w:val="0"/>
          <w:color w:val="1E293B"/>
          <w:sz w:val="20"/>
        </w:rPr>
        <w:t>Berikut adalah petunjuk kaku System Prompt untuk masing-masing agen AI:</w:t>
      </w:r>
    </w:p>
    <w:p>
      <w:pPr>
        <w:spacing w:before="80" w:after="120" w:line="276" w:lineRule="auto"/>
      </w:pPr>
      <w:r>
        <w:rPr>
          <w:rFonts w:ascii="Arial" w:hAnsi="Arial"/>
          <w:b w:val="0"/>
          <w:i w:val="0"/>
          <w:color w:val="1E293B"/>
          <w:sz w:val="20"/>
        </w:rPr>
        <w:t>• System Prompt Payroll Agent: 'Anda adalah Auditor Payroll khusus. Tugas Anda hanya mengekstrak nilai Gaji Pokok, Tunjangan Tetap, dan Take-Home Pay dari berkas slip gaji. Dilarang melakukan penilaian hukum.'</w:t>
      </w:r>
    </w:p>
    <w:p>
      <w:pPr>
        <w:spacing w:before="80" w:after="120" w:line="276" w:lineRule="auto"/>
      </w:pPr>
      <w:r>
        <w:rPr>
          <w:rFonts w:ascii="Arial" w:hAnsi="Arial"/>
          <w:b w:val="0"/>
          <w:i w:val="0"/>
          <w:color w:val="1E293B"/>
          <w:sz w:val="20"/>
        </w:rPr>
        <w:t>• System Prompt Workforce Agent: 'Anda adalah Analis Struktur Tenaga Kerja. Tugas Anda membandingkan rekapitulasi mutasi pekerja dengan daftar terdaftar BPJS. Hitung persentase PDUK.'</w:t>
      </w:r>
    </w:p>
    <w:p>
      <w:pPr>
        <w:pStyle w:val="Heading1"/>
        <w:keepNext/>
        <w:spacing w:before="360" w:after="160" w:line="276" w:lineRule="auto"/>
      </w:pPr>
      <w:r>
        <w:rPr>
          <w:rFonts w:ascii="Arial" w:hAnsi="Arial"/>
          <w:b/>
          <w:color w:val="008A4B"/>
          <w:sz w:val="30"/>
        </w:rPr>
        <w:t>BAB 4: SPESIFIKASI KEBUTUHAN FUNGSIONAL (FUNCTIONAL REQUIREMENTS)</w:t>
      </w:r>
    </w:p>
    <w:tbl>
      <w:tblPr>
        <w:tblW w:type="auto" w:w="0"/>
        <w:jc w:val="center"/>
        <w:tblLayout w:type="fixed"/>
        <w:tblLook w:firstColumn="1" w:firstRow="1" w:lastColumn="0" w:lastRow="0" w:noHBand="0" w:noVBand="1" w:val="04A0"/>
      </w:tblPr>
      <w:tblGrid>
        <w:gridCol w:w="2484"/>
        <w:gridCol w:w="2484"/>
        <w:gridCol w:w="2484"/>
        <w:gridCol w:w="2484"/>
      </w:tblGrid>
      <w:tr>
        <w:trPr>
          <w:tblHeader/>
        </w:trPr>
        <w:tc>
          <w:tcPr>
            <w:tcW w:type="dxa" w:w="1584"/>
            <w:shd w:fill="008A4B"/>
            <w:tcMar>
              <w:top w:w="100" w:type="dxa"/>
              <w:bottom w:w="100" w:type="dxa"/>
              <w:left w:w="120" w:type="dxa"/>
              <w:right w:w="120" w:type="dxa"/>
            </w:tcMar>
          </w:tcPr>
          <w:p>
            <w:pPr>
              <w:spacing w:before="40" w:after="40" w:line="276" w:lineRule="auto"/>
            </w:pPr>
            <w:r>
              <w:rPr>
                <w:rFonts w:ascii="Arial" w:hAnsi="Arial"/>
                <w:b/>
                <w:color w:val="FFFFFF"/>
                <w:sz w:val="17"/>
              </w:rPr>
              <w:t>ID Kebutuhan</w:t>
            </w:r>
          </w:p>
        </w:tc>
        <w:tc>
          <w:tcPr>
            <w:tcW w:type="dxa" w:w="2592"/>
            <w:shd w:fill="008A4B"/>
            <w:tcMar>
              <w:top w:w="100" w:type="dxa"/>
              <w:bottom w:w="100" w:type="dxa"/>
              <w:left w:w="120" w:type="dxa"/>
              <w:right w:w="120" w:type="dxa"/>
            </w:tcMar>
          </w:tcPr>
          <w:p>
            <w:pPr>
              <w:spacing w:before="40" w:after="40" w:line="276" w:lineRule="auto"/>
            </w:pPr>
            <w:r>
              <w:rPr>
                <w:rFonts w:ascii="Arial" w:hAnsi="Arial"/>
                <w:b/>
                <w:color w:val="FFFFFF"/>
                <w:sz w:val="17"/>
              </w:rPr>
              <w:t>Nama Fitur / Modul</w:t>
            </w:r>
          </w:p>
        </w:tc>
        <w:tc>
          <w:tcPr>
            <w:tcW w:type="dxa" w:w="4608"/>
            <w:shd w:fill="008A4B"/>
            <w:tcMar>
              <w:top w:w="100" w:type="dxa"/>
              <w:bottom w:w="100" w:type="dxa"/>
              <w:left w:w="120" w:type="dxa"/>
              <w:right w:w="120" w:type="dxa"/>
            </w:tcMar>
          </w:tcPr>
          <w:p>
            <w:pPr>
              <w:spacing w:before="40" w:after="40" w:line="276" w:lineRule="auto"/>
            </w:pPr>
            <w:r>
              <w:rPr>
                <w:rFonts w:ascii="Arial" w:hAnsi="Arial"/>
                <w:b/>
                <w:color w:val="FFFFFF"/>
                <w:sz w:val="17"/>
              </w:rPr>
              <w:t>Deskripsi Spesifikasi Fungsional Detail</w:t>
            </w:r>
          </w:p>
        </w:tc>
        <w:tc>
          <w:tcPr>
            <w:tcW w:type="dxa" w:w="1296"/>
            <w:shd w:fill="008A4B"/>
            <w:tcMar>
              <w:top w:w="100" w:type="dxa"/>
              <w:bottom w:w="100" w:type="dxa"/>
              <w:left w:w="120" w:type="dxa"/>
              <w:right w:w="120" w:type="dxa"/>
            </w:tcMar>
          </w:tcPr>
          <w:p>
            <w:pPr>
              <w:spacing w:before="40" w:after="40" w:line="276" w:lineRule="auto"/>
            </w:pPr>
            <w:r>
              <w:rPr>
                <w:rFonts w:ascii="Arial" w:hAnsi="Arial"/>
                <w:b/>
                <w:color w:val="FFFFFF"/>
                <w:sz w:val="17"/>
              </w:rPr>
              <w:t>Tingkat Prioritas</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FR-ING-001</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Multi-Format Ingestion</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Sistem harus mampu menerima unggahan berkas PDF, PNG, JPEG, dan JSON hingga 25MB.</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FR-ING-002</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Vision-OCR Extraction</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Sistem harus mengekstrak komponen gaji (Gaji Pokok, Tunjangan, Take Home Pay) dengan presisi &gt;95%.</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FR-ING-003</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Document Preprocessing</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Layanan harus melakukan deskewing, noise reduction, dan contrast enhancement pada citra dokumen.</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FR-ING-004</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Batch Upload Processing</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Sistem harus mendukung unggahan sekaligus hingga 50 berkas slip gaji dalam satu arsip ZIP.</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MEDIUM (Should)</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FR-ING-005</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Automated Classification</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Mengkategorikan jenis dokumen terunggah secara otomatis (Slip Gaji / Mutasi / Laporan Keuangan).</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FR-DET-001</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Under-Reporting Detector</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Mendeteksi selisih antara gaji terlaporkan ke BPJS dengan bukti gaji riil pada slip gaji.</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FR-DET-002</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PDUK Classification</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Merekonmiliasi daftar pekerja aktif dari mutasi perusahaan vs terdaftar BPJS untuk menemukan PDUK.</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FR-DET-003</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Anomalous Claim Graph</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Memetakan grafik hubungan faskes-perusahaan untuk menemukan pola surat sakit fiktif berulang.</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MEDIUM (Should)</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FR-DET-004</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Arrears Compliance Tracker</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Memantau histori tanggal setoran iuran bulanan dan menandai tunggakan &gt; 30 hari.</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FR-DET-005</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Status Misclassification</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Mendeteksi rekayasa pengalihan status pekerja tetap menjadi tenaga lepas/kontrak.</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FR-SCR-001</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Risk Score Engine</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Mengkalkulasi Corporate Risk Score (0-100) dan klasifikasi risiko (Tinggi, Sedang, Rendah).</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FR-SCR-002</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Loss Estimator</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Menghitung potensi kerugian iuran JKN dalam rupiah (Rp) berdasarkan selisih persentase iuran.</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FR-SCR-003</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Sectoral Benchmark</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Membandingkan rasio gaji dan pekerja perusahaan terhadap rata-rata industri sejenis.</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LOW (Nice to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FR-UI-001</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Side-by-Side Viewer</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Menampilkan dokumen PDF/Gambar di panel kiri dan poin anomali terikat di panel kanan.</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FR-UI-002</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XAI Reasoning Chain</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Menampilkan langkah penalaran Chain-of-Thought AI secara eksplisit dan transparan.</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FR-UI-003</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Interactive Bounding Box</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Menyorot area dokumen dengan kotak merah saat diklik pada item temuan anomali.</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FR-SNK-001</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TMP2T Draft Generator</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Menggenerasi draf otomatis Surat Teguran &amp; Rekomendasi Sanksi TMP2T (PP 86/2013).</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FR-SNK-002</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PDF Report Exporter</w:t>
            </w:r>
          </w:p>
        </w:tc>
        <w:tc>
          <w:tcPr>
            <w:tcW w:type="dxa" w:w="4608"/>
            <w:shd w:fill="FFFFFF"/>
            <w:tcMar>
              <w:top w:w="80" w:type="dxa"/>
              <w:bottom w:w="80" w:type="dxa"/>
              <w:left w:w="120" w:type="dxa"/>
              <w:right w:w="120" w:type="dxa"/>
            </w:tcMar>
          </w:tcPr>
          <w:p>
            <w:pPr>
              <w:spacing w:before="40" w:after="40" w:line="276" w:lineRule="auto"/>
            </w:pPr>
            <w:r>
              <w:rPr>
                <w:rFonts w:ascii="Arial" w:hAnsi="Arial"/>
                <w:color w:val="1E293B"/>
                <w:sz w:val="16"/>
              </w:rPr>
              <w:t>Mengekspor Laporan Hasil Pemeriksaan (LHP) Wasrik ke dalam berkas PDF terenkripsi.</w:t>
            </w:r>
          </w:p>
        </w:tc>
        <w:tc>
          <w:tcPr>
            <w:tcW w:type="dxa" w:w="1296"/>
            <w:shd w:fill="FFFFFF"/>
            <w:tcMar>
              <w:top w:w="80" w:type="dxa"/>
              <w:bottom w:w="80" w:type="dxa"/>
              <w:left w:w="120" w:type="dxa"/>
              <w:right w:w="120" w:type="dxa"/>
            </w:tcMar>
          </w:tcPr>
          <w:p>
            <w:pPr>
              <w:spacing w:before="40" w:after="40" w:line="276" w:lineRule="auto"/>
            </w:pPr>
            <w:r>
              <w:rPr>
                <w:rFonts w:ascii="Arial" w:hAnsi="Arial"/>
                <w:color w:val="1E293B"/>
                <w:sz w:val="16"/>
              </w:rPr>
              <w:t>HIGH (Must Have)</w:t>
            </w:r>
          </w:p>
        </w:tc>
      </w:tr>
      <w:tr>
        <w:trPr>
          <w:cantSplit/>
        </w:trPr>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FR-FBK-001</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Active Learning Logger</w:t>
            </w:r>
          </w:p>
        </w:tc>
        <w:tc>
          <w:tcPr>
            <w:tcW w:type="dxa" w:w="4608"/>
            <w:shd w:fill="F8FAFC"/>
            <w:tcMar>
              <w:top w:w="80" w:type="dxa"/>
              <w:bottom w:w="80" w:type="dxa"/>
              <w:left w:w="120" w:type="dxa"/>
              <w:right w:w="120" w:type="dxa"/>
            </w:tcMar>
          </w:tcPr>
          <w:p>
            <w:pPr>
              <w:spacing w:before="40" w:after="40" w:line="276" w:lineRule="auto"/>
            </w:pPr>
            <w:r>
              <w:rPr>
                <w:rFonts w:ascii="Arial" w:hAnsi="Arial"/>
                <w:color w:val="1E293B"/>
                <w:sz w:val="16"/>
              </w:rPr>
              <w:t>Mencatat setiap tindakan Approve/Override/Reject auditor sebagai feedback dataset latih.</w:t>
            </w:r>
          </w:p>
        </w:tc>
        <w:tc>
          <w:tcPr>
            <w:tcW w:type="dxa" w:w="1296"/>
            <w:shd w:fill="F8FAFC"/>
            <w:tcMar>
              <w:top w:w="80" w:type="dxa"/>
              <w:bottom w:w="80" w:type="dxa"/>
              <w:left w:w="120" w:type="dxa"/>
              <w:right w:w="120" w:type="dxa"/>
            </w:tcMar>
          </w:tcPr>
          <w:p>
            <w:pPr>
              <w:spacing w:before="40" w:after="40" w:line="276" w:lineRule="auto"/>
            </w:pPr>
            <w:r>
              <w:rPr>
                <w:rFonts w:ascii="Arial" w:hAnsi="Arial"/>
                <w:color w:val="1E293B"/>
                <w:sz w:val="16"/>
              </w:rPr>
              <w:t>HIGH (Must Have)</w:t>
            </w:r>
          </w:p>
        </w:tc>
      </w:tr>
    </w:tbl>
    <w:p/>
    <w:p>
      <w:pPr>
        <w:pStyle w:val="Heading2"/>
        <w:keepNext/>
        <w:spacing w:before="280" w:after="120" w:line="276" w:lineRule="auto"/>
      </w:pPr>
      <w:r>
        <w:rPr>
          <w:rFonts w:ascii="Arial" w:hAnsi="Arial"/>
          <w:b/>
          <w:color w:val="1E293B"/>
          <w:sz w:val="24"/>
        </w:rPr>
        <w:t>4.2 Alur Data &amp; Sequence Diagram Spesifikasi Use Case (1-4)</w:t>
      </w:r>
    </w:p>
    <w:p>
      <w:pPr>
        <w:spacing w:before="80" w:after="120" w:line="276" w:lineRule="auto"/>
      </w:pPr>
      <w:r>
        <w:rPr>
          <w:rFonts w:ascii="Arial" w:hAnsi="Arial"/>
          <w:b w:val="0"/>
          <w:i w:val="0"/>
          <w:color w:val="1E293B"/>
          <w:sz w:val="20"/>
        </w:rPr>
        <w:t>1. Use Case 1 (Upload &amp; Document Scanning): Auditor mengunggah berkas -&gt; Vision-OCR Service melakukan ekstraksi -&gt; Output JSON terstruktur dikirim ke Kafka/RabbitMQ Task Queue.</w:t>
      </w:r>
    </w:p>
    <w:p>
      <w:pPr>
        <w:spacing w:before="80" w:after="120" w:line="276" w:lineRule="auto"/>
      </w:pPr>
      <w:r>
        <w:rPr>
          <w:rFonts w:ascii="Arial" w:hAnsi="Arial"/>
          <w:b w:val="0"/>
          <w:i w:val="0"/>
          <w:color w:val="1E293B"/>
          <w:sz w:val="20"/>
        </w:rPr>
        <w:t>2. Use Case 2 (Multi-Agent Execution): Worker Node mengambil task -&gt; Payroll Agent &amp; Workforce Agent mengeksekusi analisis secara paralel -&gt; Supervisor Orchestrator menggabungkan temuan.</w:t>
      </w:r>
    </w:p>
    <w:p>
      <w:pPr>
        <w:spacing w:before="80" w:after="120" w:line="276" w:lineRule="auto"/>
      </w:pPr>
      <w:r>
        <w:rPr>
          <w:rFonts w:ascii="Arial" w:hAnsi="Arial"/>
          <w:b w:val="0"/>
          <w:i w:val="0"/>
          <w:color w:val="1E293B"/>
          <w:sz w:val="20"/>
        </w:rPr>
        <w:t>3. Use Case 3 (Dual-Pane Workbench Review): Frontend Next.js memanggil WebSocket -&gt; Menampilkan Side-by-Side Document OCR &amp; Chain-of-Thought reasoning.</w:t>
      </w:r>
    </w:p>
    <w:p>
      <w:pPr>
        <w:spacing w:before="80" w:after="120" w:line="276" w:lineRule="auto"/>
      </w:pPr>
      <w:r>
        <w:rPr>
          <w:rFonts w:ascii="Arial" w:hAnsi="Arial"/>
          <w:b w:val="0"/>
          <w:i w:val="0"/>
          <w:color w:val="1E293B"/>
          <w:sz w:val="20"/>
        </w:rPr>
        <w:t>4. Use Case 4 (Approval &amp; Sanction Execution): Auditor menekan 'Approve' -&gt; System memicu penulisan log ke `hitl_decision_logs` -&gt; Automasi penyerahan draf sanksi TMP2T ke Portal Wasrik.</w:t>
      </w:r>
    </w:p>
    <w:p>
      <w:pPr>
        <w:pStyle w:val="Heading2"/>
        <w:keepNext/>
        <w:spacing w:before="280" w:after="120" w:line="276" w:lineRule="auto"/>
      </w:pPr>
      <w:r>
        <w:rPr>
          <w:rFonts w:ascii="Arial" w:hAnsi="Arial"/>
          <w:b/>
          <w:color w:val="1E293B"/>
          <w:sz w:val="24"/>
        </w:rPr>
        <w:t>4.3 Spesifikasi Fitur Pelaporan Executive Dashboard (Dashboard Analytics)</w:t>
      </w:r>
    </w:p>
    <w:p>
      <w:pPr>
        <w:spacing w:before="80" w:after="120" w:line="276" w:lineRule="auto"/>
      </w:pPr>
      <w:r>
        <w:rPr>
          <w:rFonts w:ascii="Arial" w:hAnsi="Arial"/>
          <w:b w:val="0"/>
          <w:i w:val="0"/>
          <w:color w:val="1E293B"/>
          <w:sz w:val="20"/>
        </w:rPr>
        <w:t>Executive Dashboard menyediakan visualisasi makro bagi Kepala Cabang dan Direksi:</w:t>
      </w:r>
    </w:p>
    <w:p>
      <w:pPr>
        <w:spacing w:before="80" w:after="120" w:line="276" w:lineRule="auto"/>
      </w:pPr>
      <w:r>
        <w:rPr>
          <w:rFonts w:ascii="Arial" w:hAnsi="Arial"/>
          <w:b w:val="0"/>
          <w:i w:val="0"/>
          <w:color w:val="1E293B"/>
          <w:sz w:val="20"/>
        </w:rPr>
        <w:t>• Executive Compliance Map: Peta geografis sebaran 523.000 perusahaan belum patuh per wilayah cabang.</w:t>
      </w:r>
    </w:p>
    <w:p>
      <w:pPr>
        <w:spacing w:before="80" w:after="120" w:line="276" w:lineRule="auto"/>
      </w:pPr>
      <w:r>
        <w:rPr>
          <w:rFonts w:ascii="Arial" w:hAnsi="Arial"/>
          <w:b w:val="0"/>
          <w:i w:val="0"/>
          <w:color w:val="1E293B"/>
          <w:sz w:val="20"/>
        </w:rPr>
        <w:t>• Potential Revenue Recovery Widget: Total akumulasi estimasi kerugian iuran JKN (Rp) yang berhasil diidentifikasi.</w:t>
      </w:r>
    </w:p>
    <w:p>
      <w:pPr>
        <w:spacing w:before="80" w:after="120" w:line="276" w:lineRule="auto"/>
      </w:pPr>
      <w:r>
        <w:rPr>
          <w:rFonts w:ascii="Arial" w:hAnsi="Arial"/>
          <w:b w:val="0"/>
          <w:i w:val="0"/>
          <w:color w:val="1E293B"/>
          <w:sz w:val="20"/>
        </w:rPr>
        <w:t>• Audit Resolution Rate: Persentase kasus yang telah diselesaikan (*Approved/Sanctioned*) oleh tim Wasrik.</w:t>
      </w:r>
    </w:p>
    <w:p>
      <w:pPr>
        <w:pStyle w:val="Heading1"/>
        <w:keepNext/>
        <w:spacing w:before="360" w:after="160" w:line="276" w:lineRule="auto"/>
      </w:pPr>
      <w:r>
        <w:rPr>
          <w:rFonts w:ascii="Arial" w:hAnsi="Arial"/>
          <w:b/>
          <w:color w:val="008A4B"/>
          <w:sz w:val="30"/>
        </w:rPr>
        <w:t>BAB 5: SPESIFIKASI KEBUTUHAN DATASET &amp; SKEMA PERMOHONAN DATA RESMI</w:t>
      </w:r>
    </w:p>
    <w:p>
      <w:pPr>
        <w:pStyle w:val="Heading2"/>
        <w:keepNext/>
        <w:spacing w:before="280" w:after="120" w:line="276" w:lineRule="auto"/>
      </w:pPr>
      <w:r>
        <w:rPr>
          <w:rFonts w:ascii="Arial" w:hAnsi="Arial"/>
          <w:b/>
          <w:color w:val="1E293B"/>
          <w:sz w:val="24"/>
        </w:rPr>
        <w:t>5.1 Urgensi &amp; Matriks Permohonan Dataset Ke BPJS, Kemnaker &amp; OSS</w:t>
      </w:r>
    </w:p>
    <w:p>
      <w:pPr>
        <w:spacing w:before="80" w:after="120" w:line="276" w:lineRule="auto"/>
      </w:pPr>
      <w:r>
        <w:rPr>
          <w:rFonts w:ascii="Arial" w:hAnsi="Arial"/>
          <w:b w:val="0"/>
          <w:i w:val="0"/>
          <w:color w:val="1E293B"/>
          <w:sz w:val="20"/>
        </w:rPr>
        <w:t>Untuk menjamin WasrikAgent AI siap pakai dalam lingkungan produksi JKN, berikut adalah daftar permohonan dataset resmi (Dataset Request Form) yang dialamatkan kepada instansi terkait:</w:t>
      </w:r>
    </w:p>
    <w:tbl>
      <w:tblPr>
        <w:tblW w:type="auto" w:w="0"/>
        <w:jc w:val="center"/>
        <w:tblLayout w:type="fixed"/>
        <w:tblLook w:firstColumn="1" w:firstRow="1" w:lastColumn="0" w:lastRow="0" w:noHBand="0" w:noVBand="1" w:val="04A0"/>
      </w:tblPr>
      <w:tblGrid>
        <w:gridCol w:w="1656"/>
        <w:gridCol w:w="1656"/>
        <w:gridCol w:w="1656"/>
        <w:gridCol w:w="1656"/>
        <w:gridCol w:w="1656"/>
        <w:gridCol w:w="1656"/>
      </w:tblGrid>
      <w:tr>
        <w:trPr>
          <w:tblHeader/>
        </w:trPr>
        <w:tc>
          <w:tcPr>
            <w:tcW w:type="dxa" w:w="1152"/>
            <w:shd w:fill="008A4B"/>
            <w:tcMar>
              <w:top w:w="100" w:type="dxa"/>
              <w:bottom w:w="100" w:type="dxa"/>
              <w:left w:w="120" w:type="dxa"/>
              <w:right w:w="120" w:type="dxa"/>
            </w:tcMar>
          </w:tcPr>
          <w:p>
            <w:pPr>
              <w:spacing w:before="40" w:after="40" w:line="276" w:lineRule="auto"/>
            </w:pPr>
            <w:r>
              <w:rPr>
                <w:rFonts w:ascii="Arial" w:hAnsi="Arial"/>
                <w:b/>
                <w:color w:val="FFFFFF"/>
                <w:sz w:val="17"/>
              </w:rPr>
              <w:t>ID Data</w:t>
            </w:r>
          </w:p>
        </w:tc>
        <w:tc>
          <w:tcPr>
            <w:tcW w:type="dxa" w:w="2160"/>
            <w:shd w:fill="008A4B"/>
            <w:tcMar>
              <w:top w:w="100" w:type="dxa"/>
              <w:bottom w:w="100" w:type="dxa"/>
              <w:left w:w="120" w:type="dxa"/>
              <w:right w:w="120" w:type="dxa"/>
            </w:tcMar>
          </w:tcPr>
          <w:p>
            <w:pPr>
              <w:spacing w:before="40" w:after="40" w:line="276" w:lineRule="auto"/>
            </w:pPr>
            <w:r>
              <w:rPr>
                <w:rFonts w:ascii="Arial" w:hAnsi="Arial"/>
                <w:b/>
                <w:color w:val="FFFFFF"/>
                <w:sz w:val="17"/>
              </w:rPr>
              <w:t>Nama Dataset &amp; Instansi</w:t>
            </w:r>
          </w:p>
        </w:tc>
        <w:tc>
          <w:tcPr>
            <w:tcW w:type="dxa" w:w="2592"/>
            <w:shd w:fill="008A4B"/>
            <w:tcMar>
              <w:top w:w="100" w:type="dxa"/>
              <w:bottom w:w="100" w:type="dxa"/>
              <w:left w:w="120" w:type="dxa"/>
              <w:right w:w="120" w:type="dxa"/>
            </w:tcMar>
          </w:tcPr>
          <w:p>
            <w:pPr>
              <w:spacing w:before="40" w:after="40" w:line="276" w:lineRule="auto"/>
            </w:pPr>
            <w:r>
              <w:rPr>
                <w:rFonts w:ascii="Arial" w:hAnsi="Arial"/>
                <w:b/>
                <w:color w:val="FFFFFF"/>
                <w:sz w:val="17"/>
              </w:rPr>
              <w:t>Deskripsi Elemen Data</w:t>
            </w:r>
          </w:p>
        </w:tc>
        <w:tc>
          <w:tcPr>
            <w:tcW w:type="dxa" w:w="1584"/>
            <w:shd w:fill="008A4B"/>
            <w:tcMar>
              <w:top w:w="100" w:type="dxa"/>
              <w:bottom w:w="100" w:type="dxa"/>
              <w:left w:w="120" w:type="dxa"/>
              <w:right w:w="120" w:type="dxa"/>
            </w:tcMar>
          </w:tcPr>
          <w:p>
            <w:pPr>
              <w:spacing w:before="40" w:after="40" w:line="276" w:lineRule="auto"/>
            </w:pPr>
            <w:r>
              <w:rPr>
                <w:rFonts w:ascii="Arial" w:hAnsi="Arial"/>
                <w:b/>
                <w:color w:val="FFFFFF"/>
                <w:sz w:val="17"/>
              </w:rPr>
              <w:t>Protokol &amp; Format Sharing</w:t>
            </w:r>
          </w:p>
        </w:tc>
        <w:tc>
          <w:tcPr>
            <w:tcW w:type="dxa" w:w="1152"/>
            <w:shd w:fill="008A4B"/>
            <w:tcMar>
              <w:top w:w="100" w:type="dxa"/>
              <w:bottom w:w="100" w:type="dxa"/>
              <w:left w:w="120" w:type="dxa"/>
              <w:right w:w="120" w:type="dxa"/>
            </w:tcMar>
          </w:tcPr>
          <w:p>
            <w:pPr>
              <w:spacing w:before="40" w:after="40" w:line="276" w:lineRule="auto"/>
            </w:pPr>
            <w:r>
              <w:rPr>
                <w:rFonts w:ascii="Arial" w:hAnsi="Arial"/>
                <w:b/>
                <w:color w:val="FFFFFF"/>
                <w:sz w:val="17"/>
              </w:rPr>
              <w:t>Frekuensi Update</w:t>
            </w:r>
          </w:p>
        </w:tc>
        <w:tc>
          <w:tcPr>
            <w:tcW w:type="dxa" w:w="1440"/>
            <w:shd w:fill="008A4B"/>
            <w:tcMar>
              <w:top w:w="100" w:type="dxa"/>
              <w:bottom w:w="100" w:type="dxa"/>
              <w:left w:w="120" w:type="dxa"/>
              <w:right w:w="120" w:type="dxa"/>
            </w:tcMar>
          </w:tcPr>
          <w:p>
            <w:pPr>
              <w:spacing w:before="40" w:after="40" w:line="276" w:lineRule="auto"/>
            </w:pPr>
            <w:r>
              <w:rPr>
                <w:rFonts w:ascii="Arial" w:hAnsi="Arial"/>
                <w:b/>
                <w:color w:val="FFFFFF"/>
                <w:sz w:val="17"/>
              </w:rPr>
              <w:t>Ketentuan Sanitasi PDP</w:t>
            </w:r>
          </w:p>
        </w:tc>
      </w:tr>
      <w:tr>
        <w:trPr>
          <w:cantSplit/>
        </w:trPr>
        <w:tc>
          <w:tcPr>
            <w:tcW w:type="dxa" w:w="1152"/>
            <w:shd w:fill="F8FAFC"/>
            <w:tcMar>
              <w:top w:w="80" w:type="dxa"/>
              <w:bottom w:w="80" w:type="dxa"/>
              <w:left w:w="120" w:type="dxa"/>
              <w:right w:w="120" w:type="dxa"/>
            </w:tcMar>
          </w:tcPr>
          <w:p>
            <w:pPr>
              <w:spacing w:before="40" w:after="40" w:line="276" w:lineRule="auto"/>
            </w:pPr>
            <w:r>
              <w:rPr>
                <w:rFonts w:ascii="Arial" w:hAnsi="Arial"/>
                <w:color w:val="1E293B"/>
                <w:sz w:val="16"/>
              </w:rPr>
              <w:t>DS-001</w:t>
            </w:r>
          </w:p>
        </w:tc>
        <w:tc>
          <w:tcPr>
            <w:tcW w:type="dxa" w:w="2160"/>
            <w:shd w:fill="F8FAFC"/>
            <w:tcMar>
              <w:top w:w="80" w:type="dxa"/>
              <w:bottom w:w="80" w:type="dxa"/>
              <w:left w:w="120" w:type="dxa"/>
              <w:right w:w="120" w:type="dxa"/>
            </w:tcMar>
          </w:tcPr>
          <w:p>
            <w:pPr>
              <w:spacing w:before="40" w:after="40" w:line="276" w:lineRule="auto"/>
            </w:pPr>
            <w:r>
              <w:rPr>
                <w:rFonts w:ascii="Arial" w:hAnsi="Arial"/>
                <w:color w:val="1E293B"/>
                <w:sz w:val="16"/>
              </w:rPr>
              <w:t>Master Badan Usaha (BPJS Kesehatan/TK)</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NIB, Nama Perusahaan, Skala Usaha, Alamat, Status Kepatuhan</w:t>
            </w:r>
          </w:p>
        </w:tc>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REST API / JSON (OAuth2)</w:t>
            </w:r>
          </w:p>
        </w:tc>
        <w:tc>
          <w:tcPr>
            <w:tcW w:type="dxa" w:w="1152"/>
            <w:shd w:fill="F8FAFC"/>
            <w:tcMar>
              <w:top w:w="80" w:type="dxa"/>
              <w:bottom w:w="80" w:type="dxa"/>
              <w:left w:w="120" w:type="dxa"/>
              <w:right w:w="120" w:type="dxa"/>
            </w:tcMar>
          </w:tcPr>
          <w:p>
            <w:pPr>
              <w:spacing w:before="40" w:after="40" w:line="276" w:lineRule="auto"/>
            </w:pPr>
            <w:r>
              <w:rPr>
                <w:rFonts w:ascii="Arial" w:hAnsi="Arial"/>
                <w:color w:val="1E293B"/>
                <w:sz w:val="16"/>
              </w:rPr>
              <w:t>Bulanan</w:t>
            </w:r>
          </w:p>
        </w:tc>
        <w:tc>
          <w:tcPr>
            <w:tcW w:type="dxa" w:w="1440"/>
            <w:shd w:fill="F8FAFC"/>
            <w:tcMar>
              <w:top w:w="80" w:type="dxa"/>
              <w:bottom w:w="80" w:type="dxa"/>
              <w:left w:w="120" w:type="dxa"/>
              <w:right w:w="120" w:type="dxa"/>
            </w:tcMar>
          </w:tcPr>
          <w:p>
            <w:pPr>
              <w:spacing w:before="40" w:after="40" w:line="276" w:lineRule="auto"/>
            </w:pPr>
            <w:r>
              <w:rPr>
                <w:rFonts w:ascii="Arial" w:hAnsi="Arial"/>
                <w:color w:val="1E293B"/>
                <w:sz w:val="16"/>
              </w:rPr>
              <w:t>NIB Public, Nama disamarkan di Sandbox</w:t>
            </w:r>
          </w:p>
        </w:tc>
      </w:tr>
      <w:tr>
        <w:trPr>
          <w:cantSplit/>
        </w:trPr>
        <w:tc>
          <w:tcPr>
            <w:tcW w:type="dxa" w:w="1152"/>
            <w:shd w:fill="FFFFFF"/>
            <w:tcMar>
              <w:top w:w="80" w:type="dxa"/>
              <w:bottom w:w="80" w:type="dxa"/>
              <w:left w:w="120" w:type="dxa"/>
              <w:right w:w="120" w:type="dxa"/>
            </w:tcMar>
          </w:tcPr>
          <w:p>
            <w:pPr>
              <w:spacing w:before="40" w:after="40" w:line="276" w:lineRule="auto"/>
            </w:pPr>
            <w:r>
              <w:rPr>
                <w:rFonts w:ascii="Arial" w:hAnsi="Arial"/>
                <w:color w:val="1E293B"/>
                <w:sz w:val="16"/>
              </w:rPr>
              <w:t>DS-002</w:t>
            </w:r>
          </w:p>
        </w:tc>
        <w:tc>
          <w:tcPr>
            <w:tcW w:type="dxa" w:w="2160"/>
            <w:shd w:fill="FFFFFF"/>
            <w:tcMar>
              <w:top w:w="80" w:type="dxa"/>
              <w:bottom w:w="80" w:type="dxa"/>
              <w:left w:w="120" w:type="dxa"/>
              <w:right w:w="120" w:type="dxa"/>
            </w:tcMar>
          </w:tcPr>
          <w:p>
            <w:pPr>
              <w:spacing w:before="40" w:after="40" w:line="276" w:lineRule="auto"/>
            </w:pPr>
            <w:r>
              <w:rPr>
                <w:rFonts w:ascii="Arial" w:hAnsi="Arial"/>
                <w:color w:val="1E293B"/>
                <w:sz w:val="16"/>
              </w:rPr>
              <w:t>Data Upah Terlaporkan (BPJS Ketenagakerjaan)</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ID Perusahaan, Salted-NIK, Basis Upah Terlaporkan, Jumlah Pekerja</w:t>
            </w:r>
          </w:p>
        </w:tc>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Encrypted CSV / REST API</w:t>
            </w:r>
          </w:p>
        </w:tc>
        <w:tc>
          <w:tcPr>
            <w:tcW w:type="dxa" w:w="1152"/>
            <w:shd w:fill="FFFFFF"/>
            <w:tcMar>
              <w:top w:w="80" w:type="dxa"/>
              <w:bottom w:w="80" w:type="dxa"/>
              <w:left w:w="120" w:type="dxa"/>
              <w:right w:w="120" w:type="dxa"/>
            </w:tcMar>
          </w:tcPr>
          <w:p>
            <w:pPr>
              <w:spacing w:before="40" w:after="40" w:line="276" w:lineRule="auto"/>
            </w:pPr>
            <w:r>
              <w:rPr>
                <w:rFonts w:ascii="Arial" w:hAnsi="Arial"/>
                <w:color w:val="1E293B"/>
                <w:sz w:val="16"/>
              </w:rPr>
              <w:t>Bulanan</w:t>
            </w:r>
          </w:p>
        </w:tc>
        <w:tc>
          <w:tcPr>
            <w:tcW w:type="dxa" w:w="1440"/>
            <w:shd w:fill="FFFFFF"/>
            <w:tcMar>
              <w:top w:w="80" w:type="dxa"/>
              <w:bottom w:w="80" w:type="dxa"/>
              <w:left w:w="120" w:type="dxa"/>
              <w:right w:w="120" w:type="dxa"/>
            </w:tcMar>
          </w:tcPr>
          <w:p>
            <w:pPr>
              <w:spacing w:before="40" w:after="40" w:line="276" w:lineRule="auto"/>
            </w:pPr>
            <w:r>
              <w:rPr>
                <w:rFonts w:ascii="Arial" w:hAnsi="Arial"/>
                <w:color w:val="1E293B"/>
                <w:sz w:val="16"/>
              </w:rPr>
              <w:t>NIK SHA-256 Hashing Wajib</w:t>
            </w:r>
          </w:p>
        </w:tc>
      </w:tr>
      <w:tr>
        <w:trPr>
          <w:cantSplit/>
        </w:trPr>
        <w:tc>
          <w:tcPr>
            <w:tcW w:type="dxa" w:w="1152"/>
            <w:shd w:fill="F8FAFC"/>
            <w:tcMar>
              <w:top w:w="80" w:type="dxa"/>
              <w:bottom w:w="80" w:type="dxa"/>
              <w:left w:w="120" w:type="dxa"/>
              <w:right w:w="120" w:type="dxa"/>
            </w:tcMar>
          </w:tcPr>
          <w:p>
            <w:pPr>
              <w:spacing w:before="40" w:after="40" w:line="276" w:lineRule="auto"/>
            </w:pPr>
            <w:r>
              <w:rPr>
                <w:rFonts w:ascii="Arial" w:hAnsi="Arial"/>
                <w:color w:val="1E293B"/>
                <w:sz w:val="16"/>
              </w:rPr>
              <w:t>DS-003</w:t>
            </w:r>
          </w:p>
        </w:tc>
        <w:tc>
          <w:tcPr>
            <w:tcW w:type="dxa" w:w="2160"/>
            <w:shd w:fill="F8FAFC"/>
            <w:tcMar>
              <w:top w:w="80" w:type="dxa"/>
              <w:bottom w:w="80" w:type="dxa"/>
              <w:left w:w="120" w:type="dxa"/>
              <w:right w:w="120" w:type="dxa"/>
            </w:tcMar>
          </w:tcPr>
          <w:p>
            <w:pPr>
              <w:spacing w:before="40" w:after="40" w:line="276" w:lineRule="auto"/>
            </w:pPr>
            <w:r>
              <w:rPr>
                <w:rFonts w:ascii="Arial" w:hAnsi="Arial"/>
                <w:color w:val="1E293B"/>
                <w:sz w:val="16"/>
              </w:rPr>
              <w:t>Data WLKP (SIAPkerja Kemnaker)</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NIB, Rekapitulasi Pekerja Tetap/Kontrak/PKWT, Total Payroll</w:t>
            </w:r>
          </w:p>
        </w:tc>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API Gateway Kemnaker</w:t>
            </w:r>
          </w:p>
        </w:tc>
        <w:tc>
          <w:tcPr>
            <w:tcW w:type="dxa" w:w="1152"/>
            <w:shd w:fill="F8FAFC"/>
            <w:tcMar>
              <w:top w:w="80" w:type="dxa"/>
              <w:bottom w:w="80" w:type="dxa"/>
              <w:left w:w="120" w:type="dxa"/>
              <w:right w:w="120" w:type="dxa"/>
            </w:tcMar>
          </w:tcPr>
          <w:p>
            <w:pPr>
              <w:spacing w:before="40" w:after="40" w:line="276" w:lineRule="auto"/>
            </w:pPr>
            <w:r>
              <w:rPr>
                <w:rFonts w:ascii="Arial" w:hAnsi="Arial"/>
                <w:color w:val="1E293B"/>
                <w:sz w:val="16"/>
              </w:rPr>
              <w:t>Triwulanan</w:t>
            </w:r>
          </w:p>
        </w:tc>
        <w:tc>
          <w:tcPr>
            <w:tcW w:type="dxa" w:w="1440"/>
            <w:shd w:fill="F8FAFC"/>
            <w:tcMar>
              <w:top w:w="80" w:type="dxa"/>
              <w:bottom w:w="80" w:type="dxa"/>
              <w:left w:w="120" w:type="dxa"/>
              <w:right w:w="120" w:type="dxa"/>
            </w:tcMar>
          </w:tcPr>
          <w:p>
            <w:pPr>
              <w:spacing w:before="40" w:after="40" w:line="276" w:lineRule="auto"/>
            </w:pPr>
            <w:r>
              <w:rPr>
                <w:rFonts w:ascii="Arial" w:hAnsi="Arial"/>
                <w:color w:val="1E293B"/>
                <w:sz w:val="16"/>
              </w:rPr>
              <w:t>Agregat Data Badan Usaha</w:t>
            </w:r>
          </w:p>
        </w:tc>
      </w:tr>
      <w:tr>
        <w:trPr>
          <w:cantSplit/>
        </w:trPr>
        <w:tc>
          <w:tcPr>
            <w:tcW w:type="dxa" w:w="1152"/>
            <w:shd w:fill="FFFFFF"/>
            <w:tcMar>
              <w:top w:w="80" w:type="dxa"/>
              <w:bottom w:w="80" w:type="dxa"/>
              <w:left w:w="120" w:type="dxa"/>
              <w:right w:w="120" w:type="dxa"/>
            </w:tcMar>
          </w:tcPr>
          <w:p>
            <w:pPr>
              <w:spacing w:before="40" w:after="40" w:line="276" w:lineRule="auto"/>
            </w:pPr>
            <w:r>
              <w:rPr>
                <w:rFonts w:ascii="Arial" w:hAnsi="Arial"/>
                <w:color w:val="1E293B"/>
                <w:sz w:val="16"/>
              </w:rPr>
              <w:t>DS-004</w:t>
            </w:r>
          </w:p>
        </w:tc>
        <w:tc>
          <w:tcPr>
            <w:tcW w:type="dxa" w:w="2160"/>
            <w:shd w:fill="FFFFFF"/>
            <w:tcMar>
              <w:top w:w="80" w:type="dxa"/>
              <w:bottom w:w="80" w:type="dxa"/>
              <w:left w:w="120" w:type="dxa"/>
              <w:right w:w="120" w:type="dxa"/>
            </w:tcMar>
          </w:tcPr>
          <w:p>
            <w:pPr>
              <w:spacing w:before="40" w:after="40" w:line="276" w:lineRule="auto"/>
            </w:pPr>
            <w:r>
              <w:rPr>
                <w:rFonts w:ascii="Arial" w:hAnsi="Arial"/>
                <w:color w:val="1E293B"/>
                <w:sz w:val="16"/>
              </w:rPr>
              <w:t>Data Iuran &amp; Piutang (BPJS Kesehatan)</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ID Perusahaan, Tagihan Iuran, Histori Pembayaran, Penunggakan</w:t>
            </w:r>
          </w:p>
        </w:tc>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Database View / JSON</w:t>
            </w:r>
          </w:p>
        </w:tc>
        <w:tc>
          <w:tcPr>
            <w:tcW w:type="dxa" w:w="1152"/>
            <w:shd w:fill="FFFFFF"/>
            <w:tcMar>
              <w:top w:w="80" w:type="dxa"/>
              <w:bottom w:w="80" w:type="dxa"/>
              <w:left w:w="120" w:type="dxa"/>
              <w:right w:w="120" w:type="dxa"/>
            </w:tcMar>
          </w:tcPr>
          <w:p>
            <w:pPr>
              <w:spacing w:before="40" w:after="40" w:line="276" w:lineRule="auto"/>
            </w:pPr>
            <w:r>
              <w:rPr>
                <w:rFonts w:ascii="Arial" w:hAnsi="Arial"/>
                <w:color w:val="1E293B"/>
                <w:sz w:val="16"/>
              </w:rPr>
              <w:t>Real-Time / Harian</w:t>
            </w:r>
          </w:p>
        </w:tc>
        <w:tc>
          <w:tcPr>
            <w:tcW w:type="dxa" w:w="1440"/>
            <w:shd w:fill="FFFFFF"/>
            <w:tcMar>
              <w:top w:w="80" w:type="dxa"/>
              <w:bottom w:w="80" w:type="dxa"/>
              <w:left w:w="120" w:type="dxa"/>
              <w:right w:w="120" w:type="dxa"/>
            </w:tcMar>
          </w:tcPr>
          <w:p>
            <w:pPr>
              <w:spacing w:before="40" w:after="40" w:line="276" w:lineRule="auto"/>
            </w:pPr>
            <w:r>
              <w:rPr>
                <w:rFonts w:ascii="Arial" w:hAnsi="Arial"/>
                <w:color w:val="1E293B"/>
                <w:sz w:val="16"/>
              </w:rPr>
              <w:t>Data Transaksi Finansial Enterprise</w:t>
            </w:r>
          </w:p>
        </w:tc>
      </w:tr>
      <w:tr>
        <w:trPr>
          <w:cantSplit/>
        </w:trPr>
        <w:tc>
          <w:tcPr>
            <w:tcW w:type="dxa" w:w="1152"/>
            <w:shd w:fill="F8FAFC"/>
            <w:tcMar>
              <w:top w:w="80" w:type="dxa"/>
              <w:bottom w:w="80" w:type="dxa"/>
              <w:left w:w="120" w:type="dxa"/>
              <w:right w:w="120" w:type="dxa"/>
            </w:tcMar>
          </w:tcPr>
          <w:p>
            <w:pPr>
              <w:spacing w:before="40" w:after="40" w:line="276" w:lineRule="auto"/>
            </w:pPr>
            <w:r>
              <w:rPr>
                <w:rFonts w:ascii="Arial" w:hAnsi="Arial"/>
                <w:color w:val="1E293B"/>
                <w:sz w:val="16"/>
              </w:rPr>
              <w:t>DS-005</w:t>
            </w:r>
          </w:p>
        </w:tc>
        <w:tc>
          <w:tcPr>
            <w:tcW w:type="dxa" w:w="2160"/>
            <w:shd w:fill="F8FAFC"/>
            <w:tcMar>
              <w:top w:w="80" w:type="dxa"/>
              <w:bottom w:w="80" w:type="dxa"/>
              <w:left w:w="120" w:type="dxa"/>
              <w:right w:w="120" w:type="dxa"/>
            </w:tcMar>
          </w:tcPr>
          <w:p>
            <w:pPr>
              <w:spacing w:before="40" w:after="40" w:line="276" w:lineRule="auto"/>
            </w:pPr>
            <w:r>
              <w:rPr>
                <w:rFonts w:ascii="Arial" w:hAnsi="Arial"/>
                <w:color w:val="1E293B"/>
                <w:sz w:val="16"/>
              </w:rPr>
              <w:t>Data Klaim Medis &amp; MCU (BPJS Kesehatan)</w:t>
            </w:r>
          </w:p>
        </w:tc>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ID Faskes, ID Perusahaan, Tgl Klaim, Kode ICD-10, Diagnosa Surat Sakit</w:t>
            </w:r>
          </w:p>
        </w:tc>
        <w:tc>
          <w:tcPr>
            <w:tcW w:type="dxa" w:w="1584"/>
            <w:shd w:fill="F8FAFC"/>
            <w:tcMar>
              <w:top w:w="80" w:type="dxa"/>
              <w:bottom w:w="80" w:type="dxa"/>
              <w:left w:w="120" w:type="dxa"/>
              <w:right w:w="120" w:type="dxa"/>
            </w:tcMar>
          </w:tcPr>
          <w:p>
            <w:pPr>
              <w:spacing w:before="40" w:after="40" w:line="276" w:lineRule="auto"/>
            </w:pPr>
            <w:r>
              <w:rPr>
                <w:rFonts w:ascii="Arial" w:hAnsi="Arial"/>
                <w:color w:val="1E293B"/>
                <w:sz w:val="16"/>
              </w:rPr>
              <w:t>Data Sample Healthkathon</w:t>
            </w:r>
          </w:p>
        </w:tc>
        <w:tc>
          <w:tcPr>
            <w:tcW w:type="dxa" w:w="1152"/>
            <w:shd w:fill="F8FAFC"/>
            <w:tcMar>
              <w:top w:w="80" w:type="dxa"/>
              <w:bottom w:w="80" w:type="dxa"/>
              <w:left w:w="120" w:type="dxa"/>
              <w:right w:w="120" w:type="dxa"/>
            </w:tcMar>
          </w:tcPr>
          <w:p>
            <w:pPr>
              <w:spacing w:before="40" w:after="40" w:line="276" w:lineRule="auto"/>
            </w:pPr>
            <w:r>
              <w:rPr>
                <w:rFonts w:ascii="Arial" w:hAnsi="Arial"/>
                <w:color w:val="1E293B"/>
                <w:sz w:val="16"/>
              </w:rPr>
              <w:t>Tahunan / Batch</w:t>
            </w:r>
          </w:p>
        </w:tc>
        <w:tc>
          <w:tcPr>
            <w:tcW w:type="dxa" w:w="1440"/>
            <w:shd w:fill="F8FAFC"/>
            <w:tcMar>
              <w:top w:w="80" w:type="dxa"/>
              <w:bottom w:w="80" w:type="dxa"/>
              <w:left w:w="120" w:type="dxa"/>
              <w:right w:w="120" w:type="dxa"/>
            </w:tcMar>
          </w:tcPr>
          <w:p>
            <w:pPr>
              <w:spacing w:before="40" w:after="40" w:line="276" w:lineRule="auto"/>
            </w:pPr>
            <w:r>
              <w:rPr>
                <w:rFonts w:ascii="Arial" w:hAnsi="Arial"/>
                <w:color w:val="1E293B"/>
                <w:sz w:val="16"/>
              </w:rPr>
              <w:t>Anonymized Patient ID</w:t>
            </w:r>
          </w:p>
        </w:tc>
      </w:tr>
      <w:tr>
        <w:trPr>
          <w:cantSplit/>
        </w:trPr>
        <w:tc>
          <w:tcPr>
            <w:tcW w:type="dxa" w:w="1152"/>
            <w:shd w:fill="FFFFFF"/>
            <w:tcMar>
              <w:top w:w="80" w:type="dxa"/>
              <w:bottom w:w="80" w:type="dxa"/>
              <w:left w:w="120" w:type="dxa"/>
              <w:right w:w="120" w:type="dxa"/>
            </w:tcMar>
          </w:tcPr>
          <w:p>
            <w:pPr>
              <w:spacing w:before="40" w:after="40" w:line="276" w:lineRule="auto"/>
            </w:pPr>
            <w:r>
              <w:rPr>
                <w:rFonts w:ascii="Arial" w:hAnsi="Arial"/>
                <w:color w:val="1E293B"/>
                <w:sz w:val="16"/>
              </w:rPr>
              <w:t>DS-006</w:t>
            </w:r>
          </w:p>
        </w:tc>
        <w:tc>
          <w:tcPr>
            <w:tcW w:type="dxa" w:w="2160"/>
            <w:shd w:fill="FFFFFF"/>
            <w:tcMar>
              <w:top w:w="80" w:type="dxa"/>
              <w:bottom w:w="80" w:type="dxa"/>
              <w:left w:w="120" w:type="dxa"/>
              <w:right w:w="120" w:type="dxa"/>
            </w:tcMar>
          </w:tcPr>
          <w:p>
            <w:pPr>
              <w:spacing w:before="40" w:after="40" w:line="276" w:lineRule="auto"/>
            </w:pPr>
            <w:r>
              <w:rPr>
                <w:rFonts w:ascii="Arial" w:hAnsi="Arial"/>
                <w:color w:val="1E293B"/>
                <w:sz w:val="16"/>
              </w:rPr>
              <w:t>Master Sanksi TMP2T (PTSP / BKPM OSS)</w:t>
            </w:r>
          </w:p>
        </w:tc>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NIB, Status Sanksi Administrative, Izin Terbatas, Tgl Penjatuhan</w:t>
            </w:r>
          </w:p>
        </w:tc>
        <w:tc>
          <w:tcPr>
            <w:tcW w:type="dxa" w:w="1584"/>
            <w:shd w:fill="FFFFFF"/>
            <w:tcMar>
              <w:top w:w="80" w:type="dxa"/>
              <w:bottom w:w="80" w:type="dxa"/>
              <w:left w:w="120" w:type="dxa"/>
              <w:right w:w="120" w:type="dxa"/>
            </w:tcMar>
          </w:tcPr>
          <w:p>
            <w:pPr>
              <w:spacing w:before="40" w:after="40" w:line="276" w:lineRule="auto"/>
            </w:pPr>
            <w:r>
              <w:rPr>
                <w:rFonts w:ascii="Arial" w:hAnsi="Arial"/>
                <w:color w:val="1E293B"/>
                <w:sz w:val="16"/>
              </w:rPr>
              <w:t>Webhooks / REST API</w:t>
            </w:r>
          </w:p>
        </w:tc>
        <w:tc>
          <w:tcPr>
            <w:tcW w:type="dxa" w:w="1152"/>
            <w:shd w:fill="FFFFFF"/>
            <w:tcMar>
              <w:top w:w="80" w:type="dxa"/>
              <w:bottom w:w="80" w:type="dxa"/>
              <w:left w:w="120" w:type="dxa"/>
              <w:right w:w="120" w:type="dxa"/>
            </w:tcMar>
          </w:tcPr>
          <w:p>
            <w:pPr>
              <w:spacing w:before="40" w:after="40" w:line="276" w:lineRule="auto"/>
            </w:pPr>
            <w:r>
              <w:rPr>
                <w:rFonts w:ascii="Arial" w:hAnsi="Arial"/>
                <w:color w:val="1E293B"/>
                <w:sz w:val="16"/>
              </w:rPr>
              <w:t>Real-Time</w:t>
            </w:r>
          </w:p>
        </w:tc>
        <w:tc>
          <w:tcPr>
            <w:tcW w:type="dxa" w:w="1440"/>
            <w:shd w:fill="FFFFFF"/>
            <w:tcMar>
              <w:top w:w="80" w:type="dxa"/>
              <w:bottom w:w="80" w:type="dxa"/>
              <w:left w:w="120" w:type="dxa"/>
              <w:right w:w="120" w:type="dxa"/>
            </w:tcMar>
          </w:tcPr>
          <w:p>
            <w:pPr>
              <w:spacing w:before="40" w:after="40" w:line="276" w:lineRule="auto"/>
            </w:pPr>
            <w:r>
              <w:rPr>
                <w:rFonts w:ascii="Arial" w:hAnsi="Arial"/>
                <w:color w:val="1E293B"/>
                <w:sz w:val="16"/>
              </w:rPr>
              <w:t>Data Status Hukum Publik</w:t>
            </w:r>
          </w:p>
        </w:tc>
      </w:tr>
    </w:tbl>
    <w:p/>
    <w:p>
      <w:pPr>
        <w:pStyle w:val="Heading2"/>
        <w:keepNext/>
        <w:spacing w:before="280" w:after="120" w:line="276" w:lineRule="auto"/>
      </w:pPr>
      <w:r>
        <w:rPr>
          <w:rFonts w:ascii="Arial" w:hAnsi="Arial"/>
          <w:b/>
          <w:color w:val="1E293B"/>
          <w:sz w:val="24"/>
        </w:rPr>
        <w:t>5.2 Format Baku Surat Permohonan Sharing Data Resmi (Formal Cover Letter Draft)</w:t>
      </w:r>
    </w:p>
    <w:p>
      <w:pPr>
        <w:spacing w:before="80" w:after="120" w:line="276" w:lineRule="auto"/>
      </w:pPr>
      <w:r>
        <w:rPr>
          <w:rFonts w:ascii="Arial" w:hAnsi="Arial"/>
          <w:b w:val="0"/>
          <w:i w:val="0"/>
          <w:color w:val="1E293B"/>
          <w:sz w:val="20"/>
        </w:rPr>
        <w:t>Berikut adalah draf resmi surat permohonan dataset yang siap dikirimkan kepada Kedeputian TI BPJS Kesehatan dan BPJS Ketenagakerjaan:</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SURAT PERMOHONAN SHARING DATASET UNTUK UJI COBA WASRIKAGENT AI</w:t>
              <w:br/>
              <w:t>Nomor   : 042/WASRIK-AI/X/2026</w:t>
              <w:br/>
              <w:t>Hal     : Permohonan Akses Dataset Sample Kepatuhan Badan Usaha (Healthkathon 2026)</w:t>
              <w:br/>
              <w:br/>
              <w:t>Kepada Yth.</w:t>
              <w:br/>
              <w:t>Deputi Direksi Bidang Teknologi Informasi</w:t>
              <w:br/>
              <w:t>BPJS Kesehatan / BPJS Ketenagakerjaan</w:t>
              <w:br/>
              <w:t>di Tempat</w:t>
              <w:br/>
              <w:br/>
              <w:t>Dengan hormat,</w:t>
              <w:br/>
              <w:t>Sehubungan dengan keikutsertaan Tim WasrikAgent AI pada Healthkathon 2026 Kategori Efisiensi Risiko pada Pemberi Kerja, kami mengajukan permohonan akses dataset ter-anonymize untuk pengujian sistem:</w:t>
              <w:br/>
              <w:br/>
              <w:t>1. Master Profil Badan Usaha (DS-001)</w:t>
              <w:br/>
              <w:t>2. Data Upah Terlaporkan &amp; Jumlah Pekerja Terdaftar (DS-002)</w:t>
              <w:br/>
              <w:t>3. Sample Grafik Klaim Medis &amp; MCU Pekerja (DS-005)</w:t>
              <w:br/>
              <w:br/>
              <w:t>Kami menjamin bahwa seluruh data yang diberikan akan ditangani sesuai UU PDP No. 27/2022 dengan enkripsi SHA-256 dan hanya digunakan untuk sandbox pengujian sistem WasrikAgent AI.</w:t>
              <w:br/>
              <w:br/>
              <w:t>Demikian permohonan ini kami sampaikan. Atas perhatian dan kerja sama Bapak/Ibu, kami ucapkan terima kasih.</w:t>
              <w:br/>
              <w:br/>
              <w:t>Hormat kami,</w:t>
              <w:br/>
              <w:t>Tim Leader WasrikAgent AI</w:t>
              <w:br/>
              <w:t>(Darmawan Lahru Riatma)</w:t>
            </w:r>
          </w:p>
        </w:tc>
      </w:tr>
    </w:tbl>
    <w:p/>
    <w:p>
      <w:pPr>
        <w:pStyle w:val="Heading2"/>
        <w:keepNext/>
        <w:spacing w:before="280" w:after="120" w:line="276" w:lineRule="auto"/>
      </w:pPr>
      <w:r>
        <w:rPr>
          <w:rFonts w:ascii="Arial" w:hAnsi="Arial"/>
          <w:b/>
          <w:color w:val="1E293B"/>
          <w:sz w:val="24"/>
        </w:rPr>
        <w:t>5.3 Skema Generator Data Sintetis / Dummy Data untuk Sandbox Hackathon</w:t>
      </w:r>
    </w:p>
    <w:p>
      <w:pPr>
        <w:spacing w:before="80" w:after="120" w:line="276" w:lineRule="auto"/>
      </w:pPr>
      <w:r>
        <w:rPr>
          <w:rFonts w:ascii="Arial" w:hAnsi="Arial"/>
          <w:b w:val="0"/>
          <w:i w:val="0"/>
          <w:color w:val="1E293B"/>
          <w:sz w:val="20"/>
        </w:rPr>
        <w:t>Berikut adalah skrip Python generator data sintetis (`generate_dummy_data.py`) yang digunakan dalam menguji 1.000 sampel perusahaan tanpa melanggar UU PDP:</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import hashlib, random, json</w:t>
              <w:br/>
              <w:br/>
              <w:t>def generate_synthetic_company_record(company_id):</w:t>
              <w:br/>
              <w:t xml:space="preserve">    company_types = ["PT", "CV", "Firma", "Koperasi"]</w:t>
              <w:br/>
              <w:t xml:space="preserve">    sectors = ["Manufaktur", "Teknologi", "Tekstil", "Konstruksi", "Jasa"]</w:t>
              <w:br/>
              <w:t xml:space="preserve">    </w:t>
              <w:br/>
              <w:t xml:space="preserve">    real_employees = random.randint(50, 500)</w:t>
              <w:br/>
              <w:t xml:space="preserve">    pduk_ratio = random.choice([0.0, 0.0, 0.15, 0.35])</w:t>
              <w:br/>
              <w:t xml:space="preserve">    registered_employees = int(real_employees * (1.0 - pduk_ratio))</w:t>
              <w:br/>
              <w:t xml:space="preserve">    </w:t>
              <w:br/>
              <w:t xml:space="preserve">    real_avg_salary = random.randint(5000000, 15000000)</w:t>
              <w:br/>
              <w:t xml:space="preserve">    under_report_ratio = random.choice([0.0, 0.0, 0.20, 0.40])</w:t>
              <w:br/>
              <w:t xml:space="preserve">    reported_avg_salary = int(real_avg_salary * (1.0 - under_report_ratio))</w:t>
              <w:br/>
              <w:t xml:space="preserve">    </w:t>
              <w:br/>
              <w:t xml:space="preserve">    raw_nik = f"3175{random.randint(1000000000, 9999999999)}"</w:t>
              <w:br/>
              <w:t xml:space="preserve">    hashed_nik = hashlib.sha256(raw_nik.encode()).hexdigest()</w:t>
              <w:br/>
              <w:t xml:space="preserve">    </w:t>
              <w:br/>
              <w:t xml:space="preserve">    return {</w:t>
              <w:br/>
              <w:t xml:space="preserve">        "company_id": f"BU-{company_id:05d}",</w:t>
              <w:br/>
              <w:t xml:space="preserve">        "company_name": f"{random.choice(company_types)} Sukses Karya {company_id}",</w:t>
              <w:br/>
              <w:t xml:space="preserve">        "sector": random.choice(sectors),</w:t>
              <w:br/>
              <w:t xml:space="preserve">        "real_employees": real_employees,</w:t>
              <w:br/>
              <w:t xml:space="preserve">        "registered_employees": registered_employees,</w:t>
              <w:br/>
              <w:t xml:space="preserve">        "real_avg_salary": real_avg_salary,</w:t>
              <w:br/>
              <w:t xml:space="preserve">        "reported_avg_salary": reported_avg_salary,</w:t>
              <w:br/>
              <w:t xml:space="preserve">        "hashed_sample_nik": hashed_nik,</w:t>
              <w:br/>
              <w:t xml:space="preserve">        "has_pduk_anomaly": pduk_ratio &gt; 0,</w:t>
              <w:br/>
              <w:t xml:space="preserve">        "has_under_reporting": under_report_ratio &gt; 0</w:t>
              <w:br/>
              <w:t xml:space="preserve">    }</w:t>
              <w:br/>
              <w:br/>
              <w:t>synthetic_db = [generate_synthetic_company_record(i) for i in range(1, 1001)]</w:t>
              <w:br/>
              <w:t>print(f"Generated {len(synthetic_db)} synthetic records for Hackathon Sandbox.")</w:t>
            </w:r>
          </w:p>
        </w:tc>
      </w:tr>
    </w:tbl>
    <w:p/>
    <w:p>
      <w:pPr>
        <w:pStyle w:val="Heading1"/>
        <w:keepNext/>
        <w:spacing w:before="360" w:after="160" w:line="276" w:lineRule="auto"/>
      </w:pPr>
      <w:r>
        <w:rPr>
          <w:rFonts w:ascii="Arial" w:hAnsi="Arial"/>
          <w:b/>
          <w:color w:val="008A4B"/>
          <w:sz w:val="30"/>
        </w:rPr>
        <w:t>BAB 6: SPESIFIKASI SKEMA BASIS DATA (DATABASE SCHEMA &amp; DDL SQL)</w:t>
      </w:r>
    </w:p>
    <w:p>
      <w:pPr>
        <w:pStyle w:val="Heading2"/>
        <w:keepNext/>
        <w:spacing w:before="280" w:after="120" w:line="276" w:lineRule="auto"/>
      </w:pPr>
      <w:r>
        <w:rPr>
          <w:rFonts w:ascii="Arial" w:hAnsi="Arial"/>
          <w:b/>
          <w:color w:val="1E293B"/>
          <w:sz w:val="24"/>
        </w:rPr>
        <w:t>6.1 DDL SQL Lengkap PostgreSQL 16 + pgvector Extension</w:t>
      </w:r>
    </w:p>
    <w:p>
      <w:pPr>
        <w:spacing w:before="80" w:after="120" w:line="276" w:lineRule="auto"/>
      </w:pPr>
      <w:r>
        <w:rPr>
          <w:rFonts w:ascii="Arial" w:hAnsi="Arial"/>
          <w:b w:val="0"/>
          <w:i w:val="0"/>
          <w:color w:val="1E293B"/>
          <w:sz w:val="20"/>
        </w:rPr>
        <w:t>Berikut adalah perintah DDL SQL lengkap untuk membuat struktur basis data WasrikAgent AI:</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 Enable Vector Extension for RAG &amp; Anomaly Search</w:t>
              <w:br/>
              <w:t>CREATE EXTENSION IF NOT EXISTS vector;</w:t>
              <w:br/>
              <w:br/>
              <w:t>-- 1. Master Table Badan Usaha</w:t>
              <w:br/>
              <w:t>CREATE TABLE master_badan_usaha (</w:t>
              <w:br/>
              <w:t xml:space="preserve">    bu_id VARCHAR(36) PRIMARY KEY,</w:t>
              <w:br/>
              <w:t xml:space="preserve">    nib VARCHAR(13) UNIQUE NOT NULL,</w:t>
              <w:br/>
              <w:t xml:space="preserve">    nama_perusahaan VARCHAR(255) NOT NULL,</w:t>
              <w:br/>
              <w:t xml:space="preserve">    skala_usaha VARCHAR(50) CHECK (skala_usaha IN ('Mikro', 'Kecil', 'Menengah', 'Besar')),</w:t>
              <w:br/>
              <w:t xml:space="preserve">    sektor_industri VARCHAR(100) NOT NULL,</w:t>
              <w:br/>
              <w:t xml:space="preserve">    alamat_operasional TEXT,</w:t>
              <w:br/>
              <w:t xml:space="preserve">    created_at TIMESTAMP WITH TIME ZONE DEFAULT CURRENT_TIMESTAMP</w:t>
              <w:br/>
              <w:t>);</w:t>
              <w:br/>
              <w:br/>
              <w:t>-- 2. Encrypted Payroll &amp; Mutasi Data</w:t>
              <w:br/>
              <w:t>CREATE TABLE data_payroll_karyawan (</w:t>
              <w:br/>
              <w:t xml:space="preserve">    payroll_id VARCHAR(36) PRIMARY KEY,</w:t>
              <w:br/>
              <w:t xml:space="preserve">    bu_id VARCHAR(36) REFERENCES master_badan_usaha(bu_id) ON DELETE CASCADE,</w:t>
              <w:br/>
              <w:t xml:space="preserve">    hashed_nik VARCHAR(64) NOT NULL,</w:t>
              <w:br/>
              <w:t xml:space="preserve">    masked_nama VARCHAR(100) NOT NULL,</w:t>
              <w:br/>
              <w:t xml:space="preserve">    periode_bulan INT CHECK (periode_bulan BETWEEN 1 AND 12),</w:t>
              <w:br/>
              <w:t xml:space="preserve">    periode_tahun INT CHECK (periode_tahun &gt;= 2024),</w:t>
              <w:br/>
              <w:t xml:space="preserve">    gaji_pokok_riil NUMERIC(15, 2) NOT NULL,</w:t>
              <w:br/>
              <w:t xml:space="preserve">    gaji_terlaporkan_bpjs NUMERIC(15, 2) NOT NULL,</w:t>
              <w:br/>
              <w:t xml:space="preserve">    status_pekerja VARCHAR(50) DEFAULT 'Tetap',</w:t>
              <w:br/>
              <w:t xml:space="preserve">    created_at TIMESTAMP WITH TIME ZONE DEFAULT CURRENT_TIMESTAMP</w:t>
              <w:br/>
              <w:t>);</w:t>
              <w:br/>
              <w:br/>
              <w:t>-- 3. Data WLKP Kemnaker Sync</w:t>
              <w:br/>
              <w:t>CREATE TABLE data_wlkp_kemnaker (</w:t>
              <w:br/>
              <w:t xml:space="preserve">    wlkp_id VARCHAR(36) PRIMARY KEY,</w:t>
              <w:br/>
              <w:t xml:space="preserve">    bu_id VARCHAR(36) REFERENCES master_badan_usaha(bu_id) ON DELETE CASCADE,</w:t>
              <w:br/>
              <w:t xml:space="preserve">    jumlah_pekerja_tetap INT DEFAULT 0,</w:t>
              <w:br/>
              <w:t xml:space="preserve">    jumlah_pekerja_pkwt INT DEFAULT 0,</w:t>
              <w:br/>
              <w:t xml:space="preserve">    total_payroll_riil NUMERIC(15, 2),</w:t>
              <w:br/>
              <w:t xml:space="preserve">    tanggal_lapor DATE NOT NULL</w:t>
              <w:br/>
              <w:t>);</w:t>
              <w:br/>
              <w:br/>
              <w:t>-- 4. Multi-Agent Audit Findings</w:t>
              <w:br/>
              <w:t>CREATE TABLE temuan_audit_agent (</w:t>
              <w:br/>
              <w:t xml:space="preserve">    temuan_id VARCHAR(36) PRIMARY KEY,</w:t>
              <w:br/>
              <w:t xml:space="preserve">    bu_id VARCHAR(36) REFERENCES master_badan_usaha(bu_id) ON DELETE CASCADE,</w:t>
              <w:br/>
              <w:t xml:space="preserve">    risk_score NUMERIC(5, 2) CHECK (risk_score BETWEEN 0.00 AND 100.00),</w:t>
              <w:br/>
              <w:t xml:space="preserve">    kategori_risiko VARCHAR(20) CHECK (kategori_risiko IN ('Tinggi', 'Sedang', 'Rendah')),</w:t>
              <w:br/>
              <w:t xml:space="preserve">    under_reporting_pct NUMERIC(5, 2),</w:t>
              <w:br/>
              <w:t xml:space="preserve">    pduk_pct NUMERIC(5, 2),</w:t>
              <w:br/>
              <w:t xml:space="preserve">    estimated_loss_rupiah NUMERIC(15, 2),</w:t>
              <w:br/>
              <w:t xml:space="preserve">    chain_of_thought_json JSONB NOT NULL,</w:t>
              <w:br/>
              <w:t xml:space="preserve">    reasoning_embedding vector(1536),</w:t>
              <w:br/>
              <w:t xml:space="preserve">    created_at TIMESTAMP WITH TIME ZONE DEFAULT CURRENT_TIMESTAMP</w:t>
              <w:br/>
              <w:t>);</w:t>
              <w:br/>
              <w:br/>
              <w:t>-- 5. HITL Decision Audit Logs</w:t>
              <w:br/>
              <w:t>CREATE TABLE hitl_decision_logs (</w:t>
              <w:br/>
              <w:t xml:space="preserve">    log_id VARCHAR(36) PRIMARY KEY,</w:t>
              <w:br/>
              <w:t xml:space="preserve">    temuan_id VARCHAR(36) REFERENCES temuan_audit_agent(temuan_id),</w:t>
              <w:br/>
              <w:t xml:space="preserve">    auditor_id VARCHAR(50) NOT NULL,</w:t>
              <w:br/>
              <w:t xml:space="preserve">    tindakan VARCHAR(20) CHECK (tindakan IN ('APPROVE', 'OVERRIDE', 'REJECT')),</w:t>
              <w:br/>
              <w:t xml:space="preserve">    catatan_auditor TEXT,</w:t>
              <w:br/>
              <w:t xml:space="preserve">    draf_sanksi_generated BOOLEAN DEFAULT FALSE,</w:t>
              <w:br/>
              <w:t xml:space="preserve">    decided_at TIMESTAMP WITH TIME ZONE DEFAULT CURRENT_TIMESTAMP</w:t>
              <w:br/>
              <w:t>);</w:t>
              <w:br/>
              <w:br/>
              <w:t>-- Database View for Executive Dashboard</w:t>
              <w:br/>
              <w:t>CREATE VIEW v_executive_audit_summary AS</w:t>
              <w:br/>
              <w:t xml:space="preserve">SELECT </w:t>
              <w:br/>
              <w:t xml:space="preserve">    b.bu_id,</w:t>
              <w:br/>
              <w:t xml:space="preserve">    b.nama_perusahaan,</w:t>
              <w:br/>
              <w:t xml:space="preserve">    b.sektor_industri,</w:t>
              <w:br/>
              <w:t xml:space="preserve">    t.risk_score,</w:t>
              <w:br/>
              <w:t xml:space="preserve">    t.kategori_risiko,</w:t>
              <w:br/>
              <w:t xml:space="preserve">    t.estimated_loss_rupiah,</w:t>
              <w:br/>
              <w:t xml:space="preserve">    l.tindakan AS status_hitl,</w:t>
              <w:br/>
              <w:t xml:space="preserve">    l.decided_at</w:t>
              <w:br/>
              <w:t>FROM master_badan_usaha b</w:t>
              <w:br/>
              <w:t>JOIN temuan_audit_agent t ON b.bu_id = t.bu_id</w:t>
              <w:br/>
              <w:t>LEFT JOIN hitl_decision_logs l ON t.temuan_id = l.temuan_id;</w:t>
            </w:r>
          </w:p>
        </w:tc>
      </w:tr>
    </w:tbl>
    <w:p/>
    <w:p>
      <w:pPr>
        <w:pStyle w:val="Heading1"/>
        <w:keepNext/>
        <w:spacing w:before="360" w:after="160" w:line="276" w:lineRule="auto"/>
      </w:pPr>
      <w:r>
        <w:rPr>
          <w:rFonts w:ascii="Arial" w:hAnsi="Arial"/>
          <w:b/>
          <w:color w:val="008A4B"/>
          <w:sz w:val="30"/>
        </w:rPr>
        <w:t>BAB 7: SPESIFIKASI RESTFUL API &amp; WEBSOCKET PROTOCOL</w:t>
      </w:r>
    </w:p>
    <w:p>
      <w:pPr>
        <w:pStyle w:val="Heading2"/>
        <w:keepNext/>
        <w:spacing w:before="280" w:after="120" w:line="276" w:lineRule="auto"/>
      </w:pPr>
      <w:r>
        <w:rPr>
          <w:rFonts w:ascii="Arial" w:hAnsi="Arial"/>
          <w:b/>
          <w:color w:val="1E293B"/>
          <w:sz w:val="24"/>
        </w:rPr>
        <w:t>7.1 OpenAPI 3.0 / JSON Schema Endpoints</w:t>
      </w:r>
    </w:p>
    <w:p>
      <w:pPr>
        <w:spacing w:before="80" w:after="120" w:line="276" w:lineRule="auto"/>
      </w:pPr>
      <w:r>
        <w:rPr>
          <w:rFonts w:ascii="Arial" w:hAnsi="Arial"/>
          <w:b w:val="0"/>
          <w:i w:val="0"/>
          <w:color w:val="1E293B"/>
          <w:sz w:val="20"/>
        </w:rPr>
        <w:t>Spesifikasi REST API untuk integrasi sistem:</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 Endpoint 1: Ingest &amp; Execute Multi-Agent Audit</w:t>
              <w:br/>
              <w:t>POST /api/v1/audit/execute</w:t>
              <w:br/>
              <w:t>Content-Type: multipart/form-data</w:t>
              <w:br/>
              <w:t>Payload:</w:t>
              <w:br/>
              <w:t xml:space="preserve">  - bu_id: "BU-00042"</w:t>
              <w:br/>
              <w:t xml:space="preserve">  - document_file: (Binary PDF/PNG Slip Gaji)</w:t>
              <w:br/>
              <w:br/>
              <w:t>Response 200 OK:</w:t>
              <w:br/>
              <w:t>{</w:t>
              <w:br/>
              <w:t xml:space="preserve">  "status": "SUCCESS",</w:t>
              <w:br/>
              <w:t xml:space="preserve">  "audit_id": "AUD-2026-99214",</w:t>
              <w:br/>
              <w:t xml:space="preserve">  "bu_id": "BU-00042",</w:t>
              <w:br/>
              <w:t xml:space="preserve">  "corporate_risk_score": 85.50,</w:t>
              <w:br/>
              <w:t xml:space="preserve">  "risk_category": "Tinggi",</w:t>
              <w:br/>
              <w:t xml:space="preserve">  "findings": {</w:t>
              <w:br/>
              <w:t xml:space="preserve">    "under_reporting_pct": 37.50,</w:t>
              <w:br/>
              <w:t xml:space="preserve">    "pduk_pct": 20.00,</w:t>
              <w:br/>
              <w:t xml:space="preserve">    "estimated_loss_rupiah": 245000000.00</w:t>
              <w:br/>
              <w:t xml:space="preserve">  },</w:t>
              <w:br/>
              <w:t xml:space="preserve">  "execution_time_seconds": 8.42</w:t>
              <w:br/>
              <w:t>}</w:t>
              <w:br/>
              <w:br/>
              <w:t># Endpoint 2: Submit HITL Auditor Decision</w:t>
              <w:br/>
              <w:t>POST /api/v1/hitl/decision</w:t>
              <w:br/>
              <w:t>Content-Type: application/json</w:t>
              <w:br/>
              <w:t>Body:</w:t>
              <w:br/>
              <w:t>{</w:t>
              <w:br/>
              <w:t xml:space="preserve">  "audit_id": "AUD-2026-99214",</w:t>
              <w:br/>
              <w:t xml:space="preserve">  "auditor_id": "USR-WASRIK-007",</w:t>
              <w:br/>
              <w:t xml:space="preserve">  "action": "APPROVE",</w:t>
              <w:br/>
              <w:t xml:space="preserve">  "override_reason": null,</w:t>
              <w:br/>
              <w:t xml:space="preserve">  "generate_sanksi_tmp2t": true</w:t>
              <w:br/>
              <w:t>}</w:t>
            </w:r>
          </w:p>
        </w:tc>
      </w:tr>
    </w:tbl>
    <w:p/>
    <w:p>
      <w:pPr>
        <w:pStyle w:val="Heading2"/>
        <w:keepNext/>
        <w:spacing w:before="280" w:after="120" w:line="276" w:lineRule="auto"/>
      </w:pPr>
      <w:r>
        <w:rPr>
          <w:rFonts w:ascii="Arial" w:hAnsi="Arial"/>
          <w:b/>
          <w:color w:val="1E293B"/>
          <w:sz w:val="24"/>
        </w:rPr>
        <w:t>7.2 WebSocket Real-Time Audit Streaming Protocol</w:t>
      </w:r>
    </w:p>
    <w:p>
      <w:pPr>
        <w:spacing w:before="80" w:after="120" w:line="276" w:lineRule="auto"/>
      </w:pPr>
      <w:r>
        <w:rPr>
          <w:rFonts w:ascii="Arial" w:hAnsi="Arial"/>
          <w:b w:val="0"/>
          <w:i w:val="0"/>
          <w:color w:val="1E293B"/>
          <w:sz w:val="20"/>
        </w:rPr>
        <w:t>Protokol WebSocket (`WS /api/v1/ws/audit/{audit_id}`) untuk pemutakhiran progress analisis agen secara live pada antarmuka web:</w:t>
      </w:r>
    </w:p>
    <w:p>
      <w:pPr>
        <w:spacing w:before="80" w:after="120" w:line="276" w:lineRule="auto"/>
      </w:pPr>
      <w:r>
        <w:rPr>
          <w:rFonts w:ascii="Arial" w:hAnsi="Arial"/>
          <w:b w:val="0"/>
          <w:i w:val="0"/>
          <w:color w:val="1E293B"/>
          <w:sz w:val="20"/>
        </w:rPr>
        <w:t>• Frame 1: `{"step": "OCR_INGESTION", "progress": 25, "message": "Extracting text from payroll PDF..."}`</w:t>
      </w:r>
    </w:p>
    <w:p>
      <w:pPr>
        <w:spacing w:before="80" w:after="120" w:line="276" w:lineRule="auto"/>
      </w:pPr>
      <w:r>
        <w:rPr>
          <w:rFonts w:ascii="Arial" w:hAnsi="Arial"/>
          <w:b w:val="0"/>
          <w:i w:val="0"/>
          <w:color w:val="1E293B"/>
          <w:sz w:val="20"/>
        </w:rPr>
        <w:t>• Frame 2: `{"step": "MULTI_AGENT_ANALYSIS", "progress": 60, "message": "Reconciling salary &amp; WLKP data..."}`</w:t>
      </w:r>
    </w:p>
    <w:p>
      <w:pPr>
        <w:spacing w:before="80" w:after="120" w:line="276" w:lineRule="auto"/>
      </w:pPr>
      <w:r>
        <w:rPr>
          <w:rFonts w:ascii="Arial" w:hAnsi="Arial"/>
          <w:b w:val="0"/>
          <w:i w:val="0"/>
          <w:color w:val="1E293B"/>
          <w:sz w:val="20"/>
        </w:rPr>
        <w:t>• Frame 3: `{"step": "RULE_ENGINE_EVALUATION", "progress": 90, "message": "Calculating Risk Score &amp; Loss Rp..."}`</w:t>
      </w:r>
    </w:p>
    <w:p>
      <w:pPr>
        <w:spacing w:before="80" w:after="120" w:line="276" w:lineRule="auto"/>
      </w:pPr>
      <w:r>
        <w:rPr>
          <w:rFonts w:ascii="Arial" w:hAnsi="Arial"/>
          <w:b w:val="0"/>
          <w:i w:val="0"/>
          <w:color w:val="1E293B"/>
          <w:sz w:val="20"/>
        </w:rPr>
        <w:t>• Frame 4: `{"step": "COMPLETED", "progress": 100, "result": {...}}`</w:t>
      </w:r>
    </w:p>
    <w:p>
      <w:pPr>
        <w:pStyle w:val="Heading1"/>
        <w:keepNext/>
        <w:spacing w:before="360" w:after="160" w:line="276" w:lineRule="auto"/>
      </w:pPr>
      <w:r>
        <w:rPr>
          <w:rFonts w:ascii="Arial" w:hAnsi="Arial"/>
          <w:b/>
          <w:color w:val="008A4B"/>
          <w:sz w:val="30"/>
        </w:rPr>
        <w:t>BAB 8: SPESIFIKASI UI/UX &amp; KODE KOMPONEN FRONTEND (REACT/NEXT.JS)</w:t>
      </w:r>
    </w:p>
    <w:p>
      <w:pPr>
        <w:pStyle w:val="Heading2"/>
        <w:keepNext/>
        <w:spacing w:before="280" w:after="120" w:line="276" w:lineRule="auto"/>
      </w:pPr>
      <w:r>
        <w:rPr>
          <w:rFonts w:ascii="Arial" w:hAnsi="Arial"/>
          <w:b/>
          <w:color w:val="1E293B"/>
          <w:sz w:val="24"/>
        </w:rPr>
        <w:t>8.1 Design Tokens &amp; Palet Warna BPJS</w:t>
      </w:r>
    </w:p>
    <w:p>
      <w:pPr>
        <w:spacing w:before="80" w:after="120" w:line="276" w:lineRule="auto"/>
      </w:pPr>
      <w:r>
        <w:rPr>
          <w:rFonts w:ascii="Arial" w:hAnsi="Arial"/>
          <w:b w:val="0"/>
          <w:i w:val="0"/>
          <w:color w:val="1E293B"/>
          <w:sz w:val="20"/>
        </w:rPr>
        <w:t>• BPJS Green (Primary Accent): `#008A4B`</w:t>
      </w:r>
    </w:p>
    <w:p>
      <w:pPr>
        <w:spacing w:before="80" w:after="120" w:line="276" w:lineRule="auto"/>
      </w:pPr>
      <w:r>
        <w:rPr>
          <w:rFonts w:ascii="Arial" w:hAnsi="Arial"/>
          <w:b w:val="0"/>
          <w:i w:val="0"/>
          <w:color w:val="1E293B"/>
          <w:sz w:val="20"/>
        </w:rPr>
        <w:t>• Dark Slate (Text &amp; Backgrounds): `#1E293B`</w:t>
      </w:r>
    </w:p>
    <w:p>
      <w:pPr>
        <w:spacing w:before="80" w:after="120" w:line="276" w:lineRule="auto"/>
      </w:pPr>
      <w:r>
        <w:rPr>
          <w:rFonts w:ascii="Arial" w:hAnsi="Arial"/>
          <w:b w:val="0"/>
          <w:i w:val="0"/>
          <w:color w:val="1E293B"/>
          <w:sz w:val="20"/>
        </w:rPr>
        <w:t>• Warning Amber (Medium Risk): `#F59E0B`</w:t>
      </w:r>
    </w:p>
    <w:p>
      <w:pPr>
        <w:spacing w:before="80" w:after="120" w:line="276" w:lineRule="auto"/>
      </w:pPr>
      <w:r>
        <w:rPr>
          <w:rFonts w:ascii="Arial" w:hAnsi="Arial"/>
          <w:b w:val="0"/>
          <w:i w:val="0"/>
          <w:color w:val="1E293B"/>
          <w:sz w:val="20"/>
        </w:rPr>
        <w:t>• Danger Red (High Risk / Anomaly): `#EF4444`</w:t>
      </w:r>
    </w:p>
    <w:p>
      <w:pPr>
        <w:pStyle w:val="Heading2"/>
        <w:keepNext/>
        <w:spacing w:before="280" w:after="120" w:line="276" w:lineRule="auto"/>
      </w:pPr>
      <w:r>
        <w:rPr>
          <w:rFonts w:ascii="Arial" w:hAnsi="Arial"/>
          <w:b/>
          <w:color w:val="1E293B"/>
          <w:sz w:val="24"/>
        </w:rPr>
        <w:t>8.2 Kode Komponen UI DualPaneWorkbench.tsx Ready-to-Use</w:t>
      </w:r>
    </w:p>
    <w:p>
      <w:pPr>
        <w:spacing w:before="80" w:after="120" w:line="276" w:lineRule="auto"/>
      </w:pPr>
      <w:r>
        <w:rPr>
          <w:rFonts w:ascii="Arial" w:hAnsi="Arial"/>
          <w:b w:val="0"/>
          <w:i w:val="0"/>
          <w:color w:val="1E293B"/>
          <w:sz w:val="20"/>
        </w:rPr>
        <w:t>Berikut adalah kode React/Next.js komponen Dual-Pane Workbench:</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import React, { useState } from 'react';</w:t>
              <w:br/>
              <w:br/>
              <w:t>export default function DualPaneWorkbench({ auditData }) {</w:t>
              <w:br/>
              <w:t xml:space="preserve">  const [decision, setDecision] = useState(null);</w:t>
              <w:br/>
              <w:br/>
              <w:t xml:space="preserve">  return (</w:t>
              <w:br/>
              <w:t xml:space="preserve">    &lt;div className="flex h-screen bg-slate-900 text-slate-100 font-sans"&gt;</w:t>
              <w:br/>
              <w:t xml:space="preserve">      {/* PANEL KIRI: Side-by-Side OCR Document Viewer */}</w:t>
              <w:br/>
              <w:t xml:space="preserve">      &lt;div className="w-1/2 border-r border-slate-700 p-4 overflow-y-auto"&gt;</w:t>
              <w:br/>
              <w:t xml:space="preserve">        &lt;h2 className="text-lg font-bold text-emerald-400 mb-3"&gt;📄 Side-by-Side Evidence Viewer&lt;/h2&gt;</w:t>
              <w:br/>
              <w:t xml:space="preserve">        &lt;div className="relative bg-slate-800 p-4 rounded-lg border border-slate-700"&gt;</w:t>
              <w:br/>
              <w:t xml:space="preserve">          &lt;p className="text-sm font-semibold"&gt;Slip_Gaji_Simulasi_PT_X.pdf&lt;/p&gt;</w:t>
              <w:br/>
              <w:t xml:space="preserve">          &lt;div className="mt-4 p-3 bg-red-950/40 border border-red-500/50 rounded text-xs text-red-200"&gt;</w:t>
              <w:br/>
              <w:t xml:space="preserve">            &lt;span className="font-bold"&gt;⚠️ Sorotan Anomali OCR:&lt;/span&gt; Gaji Riil Rp 8.000.000 vs Terlaporkan Rp 5.000.000</w:t>
              <w:br/>
              <w:t xml:space="preserve">          &lt;/div&gt;</w:t>
              <w:br/>
              <w:t xml:space="preserve">        &lt;/div&gt;</w:t>
              <w:br/>
              <w:t xml:space="preserve">      &lt;/div&gt;</w:t>
              <w:br/>
              <w:br/>
              <w:t xml:space="preserve">      {/* PANEL KANAN: Agent Reasoning Chain &amp; HITL Action Toolbar */}</w:t>
              <w:br/>
              <w:t xml:space="preserve">      &lt;div className="w-1/2 p-4 flex flex-col justify-between"&gt;</w:t>
              <w:br/>
              <w:t xml:space="preserve">        &lt;div&gt;</w:t>
              <w:br/>
              <w:t xml:space="preserve">          &lt;h2 className="text-lg font-bold text-emerald-400 mb-3"&gt;🤖 Agent Reasoning &amp; XAI Findings&lt;/h2&gt;</w:t>
              <w:br/>
              <w:t xml:space="preserve">          &lt;div className="bg-slate-800 p-4 rounded-lg mb-4"&gt;</w:t>
              <w:br/>
              <w:t xml:space="preserve">            &lt;p className="text-sm"&gt;&lt;span className="text-slate-400"&gt;Corporate Risk Score:&lt;/span&gt; &lt;strong className="text-red-400"&gt;85.50 / 100 (Tinggi)&lt;/strong&gt;&lt;/p&gt;</w:t>
              <w:br/>
              <w:t xml:space="preserve">            &lt;p className="text-sm"&gt;&lt;span className="text-slate-400"&gt;Estimasi Loss JKN:&lt;/span&gt; &lt;strong className="text-emerald-400"&gt;Rp 245.000.000&lt;/strong&gt;&lt;/p&gt;</w:t>
              <w:br/>
              <w:t xml:space="preserve">          &lt;/div&gt;</w:t>
              <w:br/>
              <w:t xml:space="preserve">        &lt;/div&gt;</w:t>
              <w:br/>
              <w:br/>
              <w:t xml:space="preserve">        {/* HITL Action Toolbar */}</w:t>
              <w:br/>
              <w:t xml:space="preserve">        &lt;div className="bg-slate-800 p-4 rounded-lg flex space-x-3 border-t border-slate-700"&gt;</w:t>
              <w:br/>
              <w:t xml:space="preserve">          &lt;button onClick={() =&gt; setDecision('APPROVE')} className="flex-1 py-2 bg-emerald-600 hover:bg-emerald-500 rounded font-bold text-sm"&gt;</w:t>
              <w:br/>
              <w:t xml:space="preserve">            ✓ APPROVE &amp; SANCTION</w:t>
              <w:br/>
              <w:t xml:space="preserve">          &lt;/button&gt;</w:t>
              <w:br/>
              <w:t xml:space="preserve">          &lt;button onClick={() =&gt; setDecision('OVERRIDE')} className="flex-1 py-2 bg-amber-600 hover:bg-amber-500 rounded font-bold text-sm"&gt;</w:t>
              <w:br/>
              <w:t xml:space="preserve">            ✎ OVERRIDE DATA</w:t>
              <w:br/>
              <w:t xml:space="preserve">          &lt;/button&gt;</w:t>
              <w:br/>
              <w:t xml:space="preserve">          &lt;button onClick={() =&gt; setDecision('REJECT')} className="flex-1 py-2 bg-red-600 hover:bg-red-500 rounded font-bold text-sm"&gt;</w:t>
              <w:br/>
              <w:t xml:space="preserve">            ✗ REJECT TEMUAN</w:t>
              <w:br/>
              <w:t xml:space="preserve">          &lt;/button&gt;</w:t>
              <w:br/>
              <w:t xml:space="preserve">        &lt;/div&gt;</w:t>
              <w:br/>
              <w:t xml:space="preserve">      &lt;/div&gt;</w:t>
              <w:br/>
              <w:t xml:space="preserve">    &lt;/div&gt;</w:t>
              <w:br/>
              <w:t xml:space="preserve">  );</w:t>
              <w:br/>
              <w:t>}</w:t>
            </w:r>
          </w:p>
        </w:tc>
      </w:tr>
    </w:tbl>
    <w:p/>
    <w:p>
      <w:pPr>
        <w:pStyle w:val="Heading1"/>
        <w:keepNext/>
        <w:spacing w:before="360" w:after="160" w:line="276" w:lineRule="auto"/>
      </w:pPr>
      <w:r>
        <w:rPr>
          <w:rFonts w:ascii="Arial" w:hAnsi="Arial"/>
          <w:b/>
          <w:color w:val="008A4B"/>
          <w:sz w:val="30"/>
        </w:rPr>
        <w:t>BAB 9: SPESIFIKASI KEBUTUHAN NON-FUNGSIONAL (NON-FUNCTIONAL)</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2592"/>
            <w:shd w:fill="008A4B"/>
            <w:tcMar>
              <w:top w:w="100" w:type="dxa"/>
              <w:bottom w:w="100" w:type="dxa"/>
              <w:left w:w="120" w:type="dxa"/>
              <w:right w:w="120" w:type="dxa"/>
            </w:tcMar>
          </w:tcPr>
          <w:p>
            <w:pPr>
              <w:spacing w:before="40" w:after="40" w:line="276" w:lineRule="auto"/>
            </w:pPr>
            <w:r>
              <w:rPr>
                <w:rFonts w:ascii="Arial" w:hAnsi="Arial"/>
                <w:b/>
                <w:color w:val="FFFFFF"/>
                <w:sz w:val="17"/>
              </w:rPr>
              <w:t>Kategori NFR</w:t>
            </w:r>
          </w:p>
        </w:tc>
        <w:tc>
          <w:tcPr>
            <w:tcW w:type="dxa" w:w="1728"/>
            <w:shd w:fill="008A4B"/>
            <w:tcMar>
              <w:top w:w="100" w:type="dxa"/>
              <w:bottom w:w="100" w:type="dxa"/>
              <w:left w:w="120" w:type="dxa"/>
              <w:right w:w="120" w:type="dxa"/>
            </w:tcMar>
          </w:tcPr>
          <w:p>
            <w:pPr>
              <w:spacing w:before="40" w:after="40" w:line="276" w:lineRule="auto"/>
            </w:pPr>
            <w:r>
              <w:rPr>
                <w:rFonts w:ascii="Arial" w:hAnsi="Arial"/>
                <w:b/>
                <w:color w:val="FFFFFF"/>
                <w:sz w:val="17"/>
              </w:rPr>
              <w:t>ID Metrik</w:t>
            </w:r>
          </w:p>
        </w:tc>
        <w:tc>
          <w:tcPr>
            <w:tcW w:type="dxa" w:w="5760"/>
            <w:shd w:fill="008A4B"/>
            <w:tcMar>
              <w:top w:w="100" w:type="dxa"/>
              <w:bottom w:w="100" w:type="dxa"/>
              <w:left w:w="120" w:type="dxa"/>
              <w:right w:w="120" w:type="dxa"/>
            </w:tcMar>
          </w:tcPr>
          <w:p>
            <w:pPr>
              <w:spacing w:before="40" w:after="40" w:line="276" w:lineRule="auto"/>
            </w:pPr>
            <w:r>
              <w:rPr>
                <w:rFonts w:ascii="Arial" w:hAnsi="Arial"/>
                <w:b/>
                <w:color w:val="FFFFFF"/>
                <w:sz w:val="17"/>
              </w:rPr>
              <w:t>Spesifikasi Standard Kinerja &amp; Batasan Teknis</w:t>
            </w:r>
          </w:p>
        </w:tc>
      </w:tr>
      <w:tr>
        <w:trPr>
          <w:cantSplit/>
        </w:trPr>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Kinerja (Performance)</w:t>
            </w:r>
          </w:p>
        </w:tc>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NFR-PERF-01</w:t>
            </w:r>
          </w:p>
        </w:tc>
        <w:tc>
          <w:tcPr>
            <w:tcW w:type="dxa" w:w="5760"/>
            <w:shd w:fill="F8FAFC"/>
            <w:tcMar>
              <w:top w:w="80" w:type="dxa"/>
              <w:bottom w:w="80" w:type="dxa"/>
              <w:left w:w="120" w:type="dxa"/>
              <w:right w:w="120" w:type="dxa"/>
            </w:tcMar>
          </w:tcPr>
          <w:p>
            <w:pPr>
              <w:spacing w:before="40" w:after="40" w:line="276" w:lineRule="auto"/>
            </w:pPr>
            <w:r>
              <w:rPr>
                <w:rFonts w:ascii="Arial" w:hAnsi="Arial"/>
                <w:color w:val="1E293B"/>
                <w:sz w:val="16"/>
              </w:rPr>
              <w:t>Waktu eksekusi audit lengkap per berkas perusahaan harus &lt; 12 detik.</w:t>
            </w:r>
          </w:p>
        </w:tc>
      </w:tr>
      <w:tr>
        <w:trPr>
          <w:cantSplit/>
        </w:trPr>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Kinerja (Performance)</w:t>
            </w:r>
          </w:p>
        </w:tc>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NFR-PERF-02</w:t>
            </w:r>
          </w:p>
        </w:tc>
        <w:tc>
          <w:tcPr>
            <w:tcW w:type="dxa" w:w="5760"/>
            <w:shd w:fill="FFFFFF"/>
            <w:tcMar>
              <w:top w:w="80" w:type="dxa"/>
              <w:bottom w:w="80" w:type="dxa"/>
              <w:left w:w="120" w:type="dxa"/>
              <w:right w:w="120" w:type="dxa"/>
            </w:tcMar>
          </w:tcPr>
          <w:p>
            <w:pPr>
              <w:spacing w:before="40" w:after="40" w:line="276" w:lineRule="auto"/>
            </w:pPr>
            <w:r>
              <w:rPr>
                <w:rFonts w:ascii="Arial" w:hAnsi="Arial"/>
                <w:color w:val="1E293B"/>
                <w:sz w:val="16"/>
              </w:rPr>
              <w:t>Throughput sistem mampu menangani minimal 100 sesi audit paralel per menit.</w:t>
            </w:r>
          </w:p>
        </w:tc>
      </w:tr>
      <w:tr>
        <w:trPr>
          <w:cantSplit/>
        </w:trPr>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Keamanan (Security)</w:t>
            </w:r>
          </w:p>
        </w:tc>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NFR-SEC-01</w:t>
            </w:r>
          </w:p>
        </w:tc>
        <w:tc>
          <w:tcPr>
            <w:tcW w:type="dxa" w:w="5760"/>
            <w:shd w:fill="F8FAFC"/>
            <w:tcMar>
              <w:top w:w="80" w:type="dxa"/>
              <w:bottom w:w="80" w:type="dxa"/>
              <w:left w:w="120" w:type="dxa"/>
              <w:right w:w="120" w:type="dxa"/>
            </w:tcMar>
          </w:tcPr>
          <w:p>
            <w:pPr>
              <w:spacing w:before="40" w:after="40" w:line="276" w:lineRule="auto"/>
            </w:pPr>
            <w:r>
              <w:rPr>
                <w:rFonts w:ascii="Arial" w:hAnsi="Arial"/>
                <w:color w:val="1E293B"/>
                <w:sz w:val="16"/>
              </w:rPr>
              <w:t>Seluruh variabel identitas NIK/Nama wajib di-hash SHA-256 dan disamarkan.</w:t>
            </w:r>
          </w:p>
        </w:tc>
      </w:tr>
      <w:tr>
        <w:trPr>
          <w:cantSplit/>
        </w:trPr>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Keamanan (Security)</w:t>
            </w:r>
          </w:p>
        </w:tc>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NFR-SEC-02</w:t>
            </w:r>
          </w:p>
        </w:tc>
        <w:tc>
          <w:tcPr>
            <w:tcW w:type="dxa" w:w="5760"/>
            <w:shd w:fill="FFFFFF"/>
            <w:tcMar>
              <w:top w:w="80" w:type="dxa"/>
              <w:bottom w:w="80" w:type="dxa"/>
              <w:left w:w="120" w:type="dxa"/>
              <w:right w:w="120" w:type="dxa"/>
            </w:tcMar>
          </w:tcPr>
          <w:p>
            <w:pPr>
              <w:spacing w:before="40" w:after="40" w:line="276" w:lineRule="auto"/>
            </w:pPr>
            <w:r>
              <w:rPr>
                <w:rFonts w:ascii="Arial" w:hAnsi="Arial"/>
                <w:color w:val="1E293B"/>
                <w:sz w:val="16"/>
              </w:rPr>
              <w:t>Enkripsi AES-256 untuk Data-at-Rest dan TLS 1.3 untuk Data-in-Transit.</w:t>
            </w:r>
          </w:p>
        </w:tc>
      </w:tr>
      <w:tr>
        <w:trPr>
          <w:cantSplit/>
        </w:trPr>
        <w:tc>
          <w:tcPr>
            <w:tcW w:type="dxa" w:w="2592"/>
            <w:shd w:fill="F8FAFC"/>
            <w:tcMar>
              <w:top w:w="80" w:type="dxa"/>
              <w:bottom w:w="80" w:type="dxa"/>
              <w:left w:w="120" w:type="dxa"/>
              <w:right w:w="120" w:type="dxa"/>
            </w:tcMar>
          </w:tcPr>
          <w:p>
            <w:pPr>
              <w:spacing w:before="40" w:after="40" w:line="276" w:lineRule="auto"/>
            </w:pPr>
            <w:r>
              <w:rPr>
                <w:rFonts w:ascii="Arial" w:hAnsi="Arial"/>
                <w:color w:val="1E293B"/>
                <w:sz w:val="16"/>
              </w:rPr>
              <w:t>Keandalan (Reliability)</w:t>
            </w:r>
          </w:p>
        </w:tc>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NFR-REL-01</w:t>
            </w:r>
          </w:p>
        </w:tc>
        <w:tc>
          <w:tcPr>
            <w:tcW w:type="dxa" w:w="5760"/>
            <w:shd w:fill="F8FAFC"/>
            <w:tcMar>
              <w:top w:w="80" w:type="dxa"/>
              <w:bottom w:w="80" w:type="dxa"/>
              <w:left w:w="120" w:type="dxa"/>
              <w:right w:w="120" w:type="dxa"/>
            </w:tcMar>
          </w:tcPr>
          <w:p>
            <w:pPr>
              <w:spacing w:before="40" w:after="40" w:line="276" w:lineRule="auto"/>
            </w:pPr>
            <w:r>
              <w:rPr>
                <w:rFonts w:ascii="Arial" w:hAnsi="Arial"/>
                <w:color w:val="1E293B"/>
                <w:sz w:val="16"/>
              </w:rPr>
              <w:t>SLA Uptime ketersediaan microservices WasrikAgent AI minimum 99.9%.</w:t>
            </w:r>
          </w:p>
        </w:tc>
      </w:tr>
      <w:tr>
        <w:trPr>
          <w:cantSplit/>
        </w:trPr>
        <w:tc>
          <w:tcPr>
            <w:tcW w:type="dxa" w:w="2592"/>
            <w:shd w:fill="FFFFFF"/>
            <w:tcMar>
              <w:top w:w="80" w:type="dxa"/>
              <w:bottom w:w="80" w:type="dxa"/>
              <w:left w:w="120" w:type="dxa"/>
              <w:right w:w="120" w:type="dxa"/>
            </w:tcMar>
          </w:tcPr>
          <w:p>
            <w:pPr>
              <w:spacing w:before="40" w:after="40" w:line="276" w:lineRule="auto"/>
            </w:pPr>
            <w:r>
              <w:rPr>
                <w:rFonts w:ascii="Arial" w:hAnsi="Arial"/>
                <w:color w:val="1E293B"/>
                <w:sz w:val="16"/>
              </w:rPr>
              <w:t>Skalabilitas (Scalability)</w:t>
            </w:r>
          </w:p>
        </w:tc>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NFR-SCA-01</w:t>
            </w:r>
          </w:p>
        </w:tc>
        <w:tc>
          <w:tcPr>
            <w:tcW w:type="dxa" w:w="5760"/>
            <w:shd w:fill="FFFFFF"/>
            <w:tcMar>
              <w:top w:w="80" w:type="dxa"/>
              <w:bottom w:w="80" w:type="dxa"/>
              <w:left w:w="120" w:type="dxa"/>
              <w:right w:w="120" w:type="dxa"/>
            </w:tcMar>
          </w:tcPr>
          <w:p>
            <w:pPr>
              <w:spacing w:before="40" w:after="40" w:line="276" w:lineRule="auto"/>
            </w:pPr>
            <w:r>
              <w:rPr>
                <w:rFonts w:ascii="Arial" w:hAnsi="Arial"/>
                <w:color w:val="1E293B"/>
                <w:sz w:val="16"/>
              </w:rPr>
              <w:t>Arsitektur containerized (Docker/Kubernetes) siap di-scale-out hingga 50 node.</w:t>
            </w:r>
          </w:p>
        </w:tc>
      </w:tr>
    </w:tbl>
    <w:p/>
    <w:p>
      <w:pPr>
        <w:pStyle w:val="Heading1"/>
        <w:keepNext/>
        <w:spacing w:before="360" w:after="160" w:line="276" w:lineRule="auto"/>
      </w:pPr>
      <w:r>
        <w:rPr>
          <w:rFonts w:ascii="Arial" w:hAnsi="Arial"/>
          <w:b/>
          <w:color w:val="008A4B"/>
          <w:sz w:val="30"/>
        </w:rPr>
        <w:t>BAB 10: MATRIKS PENGUJIAN &amp; BDD SCENARIOS (GHERKIN)</w:t>
      </w:r>
    </w:p>
    <w:p>
      <w:pPr>
        <w:pStyle w:val="Heading2"/>
        <w:keepNext/>
        <w:spacing w:before="280" w:after="120" w:line="276" w:lineRule="auto"/>
      </w:pPr>
      <w:r>
        <w:rPr>
          <w:rFonts w:ascii="Arial" w:hAnsi="Arial"/>
          <w:b/>
          <w:color w:val="1E293B"/>
          <w:sz w:val="24"/>
        </w:rPr>
        <w:t>10.1 BDD Test Scenarios (Gherkin Syntax)</w:t>
      </w:r>
    </w:p>
    <w:p>
      <w:pPr>
        <w:spacing w:before="80" w:after="120" w:line="276" w:lineRule="auto"/>
      </w:pPr>
      <w:r>
        <w:rPr>
          <w:rFonts w:ascii="Arial" w:hAnsi="Arial"/>
          <w:b w:val="0"/>
          <w:i w:val="0"/>
          <w:color w:val="1E293B"/>
          <w:sz w:val="20"/>
        </w:rPr>
        <w:t>Berikut adalah skenario BDD Given-When-Then untuk otomatisasi pengujian QA:</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Feature: Deteksi Under-Reporting Wage dan Eksekusi HITL</w:t>
              <w:br/>
              <w:br/>
              <w:t xml:space="preserve">  Scenario: Auditor Wasrik menyetujui temuan Under-Reporting Wage berisiko tinggi</w:t>
              <w:br/>
              <w:t xml:space="preserve">    Given Berkas slip gaji "PDF_PT_Sukses.pdf" diunggah ke sistem WasrikAgent AI</w:t>
              <w:br/>
              <w:t xml:space="preserve">    And Gaji riil dalam slip adalah Rp 8.000.000 dan terlaporkan BPJS adalah Rp 5.000.000</w:t>
              <w:br/>
              <w:t xml:space="preserve">    When Multi-Agent Engine mengeksekusi pemindaian Vision-OCR dan aturan deterministik</w:t>
              <w:br/>
              <w:t xml:space="preserve">    Then System menghitung under_reporting_pct sebesar 37.5%</w:t>
              <w:br/>
              <w:t xml:space="preserve">    And Corporate Risk Score dihasilkan sebesar 85.50 (Risiko Tinggi)</w:t>
              <w:br/>
              <w:t xml:space="preserve">    When Auditor Wasrik meninjau Dual-Pane Workbench dan menekan tombol "APPROVE"</w:t>
              <w:br/>
              <w:t xml:space="preserve">    Then System mencatat audit log dengan tindakan "APPROVE"</w:t>
              <w:br/>
              <w:t xml:space="preserve">    And System menerbitkan draf rekomendasi sanksi TMP2T sesuai PP No. 86/2013.</w:t>
            </w:r>
          </w:p>
        </w:tc>
      </w:tr>
    </w:tbl>
    <w:p/>
    <w:p>
      <w:pPr>
        <w:pStyle w:val="Heading2"/>
        <w:keepNext/>
        <w:spacing w:before="280" w:after="120" w:line="276" w:lineRule="auto"/>
      </w:pPr>
      <w:r>
        <w:rPr>
          <w:rFonts w:ascii="Arial" w:hAnsi="Arial"/>
          <w:b/>
          <w:color w:val="1E293B"/>
          <w:sz w:val="24"/>
        </w:rPr>
        <w:t>10.2 Rencana Sprint Backlog 4 Pekan</w:t>
      </w:r>
    </w:p>
    <w:tbl>
      <w:tblPr>
        <w:tblW w:type="auto" w:w="0"/>
        <w:jc w:val="center"/>
        <w:tblLayout w:type="fixed"/>
        <w:tblLook w:firstColumn="1" w:firstRow="1" w:lastColumn="0" w:lastRow="0" w:noHBand="0" w:noVBand="1" w:val="04A0"/>
      </w:tblPr>
      <w:tblGrid>
        <w:gridCol w:w="3312"/>
        <w:gridCol w:w="3312"/>
        <w:gridCol w:w="3312"/>
      </w:tblGrid>
      <w:tr>
        <w:trPr>
          <w:tblHeader/>
        </w:trPr>
        <w:tc>
          <w:tcPr>
            <w:tcW w:type="dxa" w:w="1728"/>
            <w:shd w:fill="008A4B"/>
            <w:tcMar>
              <w:top w:w="100" w:type="dxa"/>
              <w:bottom w:w="100" w:type="dxa"/>
              <w:left w:w="120" w:type="dxa"/>
              <w:right w:w="120" w:type="dxa"/>
            </w:tcMar>
          </w:tcPr>
          <w:p>
            <w:pPr>
              <w:spacing w:before="40" w:after="40" w:line="276" w:lineRule="auto"/>
            </w:pPr>
            <w:r>
              <w:rPr>
                <w:rFonts w:ascii="Arial" w:hAnsi="Arial"/>
                <w:b/>
                <w:color w:val="FFFFFF"/>
                <w:sz w:val="17"/>
              </w:rPr>
              <w:t>Sprint</w:t>
            </w:r>
          </w:p>
        </w:tc>
        <w:tc>
          <w:tcPr>
            <w:tcW w:type="dxa" w:w="3312"/>
            <w:shd w:fill="008A4B"/>
            <w:tcMar>
              <w:top w:w="100" w:type="dxa"/>
              <w:bottom w:w="100" w:type="dxa"/>
              <w:left w:w="120" w:type="dxa"/>
              <w:right w:w="120" w:type="dxa"/>
            </w:tcMar>
          </w:tcPr>
          <w:p>
            <w:pPr>
              <w:spacing w:before="40" w:after="40" w:line="276" w:lineRule="auto"/>
            </w:pPr>
            <w:r>
              <w:rPr>
                <w:rFonts w:ascii="Arial" w:hAnsi="Arial"/>
                <w:b/>
                <w:color w:val="FFFFFF"/>
                <w:sz w:val="17"/>
              </w:rPr>
              <w:t>Fokus Utama Modul</w:t>
            </w:r>
          </w:p>
        </w:tc>
        <w:tc>
          <w:tcPr>
            <w:tcW w:type="dxa" w:w="5040"/>
            <w:shd w:fill="008A4B"/>
            <w:tcMar>
              <w:top w:w="100" w:type="dxa"/>
              <w:bottom w:w="100" w:type="dxa"/>
              <w:left w:w="120" w:type="dxa"/>
              <w:right w:w="120" w:type="dxa"/>
            </w:tcMar>
          </w:tcPr>
          <w:p>
            <w:pPr>
              <w:spacing w:before="40" w:after="40" w:line="276" w:lineRule="auto"/>
            </w:pPr>
            <w:r>
              <w:rPr>
                <w:rFonts w:ascii="Arial" w:hAnsi="Arial"/>
                <w:b/>
                <w:color w:val="FFFFFF"/>
                <w:sz w:val="17"/>
              </w:rPr>
              <w:t>Target Deliverable Programmer</w:t>
            </w:r>
          </w:p>
        </w:tc>
      </w:tr>
      <w:tr>
        <w:trPr>
          <w:cantSplit/>
        </w:trPr>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Sprint 1</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Ingestion &amp; Database Setup</w:t>
            </w:r>
          </w:p>
        </w:tc>
        <w:tc>
          <w:tcPr>
            <w:tcW w:type="dxa" w:w="5040"/>
            <w:shd w:fill="F8FAFC"/>
            <w:tcMar>
              <w:top w:w="80" w:type="dxa"/>
              <w:bottom w:w="80" w:type="dxa"/>
              <w:left w:w="120" w:type="dxa"/>
              <w:right w:w="120" w:type="dxa"/>
            </w:tcMar>
          </w:tcPr>
          <w:p>
            <w:pPr>
              <w:spacing w:before="40" w:after="40" w:line="276" w:lineRule="auto"/>
            </w:pPr>
            <w:r>
              <w:rPr>
                <w:rFonts w:ascii="Arial" w:hAnsi="Arial"/>
                <w:color w:val="1E293B"/>
                <w:sz w:val="16"/>
              </w:rPr>
              <w:t>FastAPI File Upload Service, PostgreSQL DDL &amp; Pgvector Setup</w:t>
            </w:r>
          </w:p>
        </w:tc>
      </w:tr>
      <w:tr>
        <w:trPr>
          <w:cantSplit/>
        </w:trPr>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Sprint 2</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Multi-Agent &amp; Rule Engine</w:t>
            </w:r>
          </w:p>
        </w:tc>
        <w:tc>
          <w:tcPr>
            <w:tcW w:type="dxa" w:w="5040"/>
            <w:shd w:fill="FFFFFF"/>
            <w:tcMar>
              <w:top w:w="80" w:type="dxa"/>
              <w:bottom w:w="80" w:type="dxa"/>
              <w:left w:w="120" w:type="dxa"/>
              <w:right w:w="120" w:type="dxa"/>
            </w:tcMar>
          </w:tcPr>
          <w:p>
            <w:pPr>
              <w:spacing w:before="40" w:after="40" w:line="276" w:lineRule="auto"/>
            </w:pPr>
            <w:r>
              <w:rPr>
                <w:rFonts w:ascii="Arial" w:hAnsi="Arial"/>
                <w:color w:val="1E293B"/>
                <w:sz w:val="16"/>
              </w:rPr>
              <w:t>LangGraph State Machine, Agent Contracts, Deterministic Scoring</w:t>
            </w:r>
          </w:p>
        </w:tc>
      </w:tr>
      <w:tr>
        <w:trPr>
          <w:cantSplit/>
        </w:trPr>
        <w:tc>
          <w:tcPr>
            <w:tcW w:type="dxa" w:w="1728"/>
            <w:shd w:fill="F8FAFC"/>
            <w:tcMar>
              <w:top w:w="80" w:type="dxa"/>
              <w:bottom w:w="80" w:type="dxa"/>
              <w:left w:w="120" w:type="dxa"/>
              <w:right w:w="120" w:type="dxa"/>
            </w:tcMar>
          </w:tcPr>
          <w:p>
            <w:pPr>
              <w:spacing w:before="40" w:after="40" w:line="276" w:lineRule="auto"/>
            </w:pPr>
            <w:r>
              <w:rPr>
                <w:rFonts w:ascii="Arial" w:hAnsi="Arial"/>
                <w:color w:val="1E293B"/>
                <w:sz w:val="16"/>
              </w:rPr>
              <w:t>Sprint 3</w:t>
            </w:r>
          </w:p>
        </w:tc>
        <w:tc>
          <w:tcPr>
            <w:tcW w:type="dxa" w:w="3312"/>
            <w:shd w:fill="F8FAFC"/>
            <w:tcMar>
              <w:top w:w="80" w:type="dxa"/>
              <w:bottom w:w="80" w:type="dxa"/>
              <w:left w:w="120" w:type="dxa"/>
              <w:right w:w="120" w:type="dxa"/>
            </w:tcMar>
          </w:tcPr>
          <w:p>
            <w:pPr>
              <w:spacing w:before="40" w:after="40" w:line="276" w:lineRule="auto"/>
            </w:pPr>
            <w:r>
              <w:rPr>
                <w:rFonts w:ascii="Arial" w:hAnsi="Arial"/>
                <w:color w:val="1E293B"/>
                <w:sz w:val="16"/>
              </w:rPr>
              <w:t>Frontend HITL &amp; API Contracts</w:t>
            </w:r>
          </w:p>
        </w:tc>
        <w:tc>
          <w:tcPr>
            <w:tcW w:type="dxa" w:w="5040"/>
            <w:shd w:fill="F8FAFC"/>
            <w:tcMar>
              <w:top w:w="80" w:type="dxa"/>
              <w:bottom w:w="80" w:type="dxa"/>
              <w:left w:w="120" w:type="dxa"/>
              <w:right w:w="120" w:type="dxa"/>
            </w:tcMar>
          </w:tcPr>
          <w:p>
            <w:pPr>
              <w:spacing w:before="40" w:after="40" w:line="276" w:lineRule="auto"/>
            </w:pPr>
            <w:r>
              <w:rPr>
                <w:rFonts w:ascii="Arial" w:hAnsi="Arial"/>
                <w:color w:val="1E293B"/>
                <w:sz w:val="16"/>
              </w:rPr>
              <w:t>Next.js Dual-Pane Workbench, WebSocket Protocol, REST Endpoints</w:t>
            </w:r>
          </w:p>
        </w:tc>
      </w:tr>
      <w:tr>
        <w:trPr>
          <w:cantSplit/>
        </w:trPr>
        <w:tc>
          <w:tcPr>
            <w:tcW w:type="dxa" w:w="1728"/>
            <w:shd w:fill="FFFFFF"/>
            <w:tcMar>
              <w:top w:w="80" w:type="dxa"/>
              <w:bottom w:w="80" w:type="dxa"/>
              <w:left w:w="120" w:type="dxa"/>
              <w:right w:w="120" w:type="dxa"/>
            </w:tcMar>
          </w:tcPr>
          <w:p>
            <w:pPr>
              <w:spacing w:before="40" w:after="40" w:line="276" w:lineRule="auto"/>
            </w:pPr>
            <w:r>
              <w:rPr>
                <w:rFonts w:ascii="Arial" w:hAnsi="Arial"/>
                <w:color w:val="1E293B"/>
                <w:sz w:val="16"/>
              </w:rPr>
              <w:t>Sprint 4</w:t>
            </w:r>
          </w:p>
        </w:tc>
        <w:tc>
          <w:tcPr>
            <w:tcW w:type="dxa" w:w="3312"/>
            <w:shd w:fill="FFFFFF"/>
            <w:tcMar>
              <w:top w:w="80" w:type="dxa"/>
              <w:bottom w:w="80" w:type="dxa"/>
              <w:left w:w="120" w:type="dxa"/>
              <w:right w:w="120" w:type="dxa"/>
            </w:tcMar>
          </w:tcPr>
          <w:p>
            <w:pPr>
              <w:spacing w:before="40" w:after="40" w:line="276" w:lineRule="auto"/>
            </w:pPr>
            <w:r>
              <w:rPr>
                <w:rFonts w:ascii="Arial" w:hAnsi="Arial"/>
                <w:color w:val="1E293B"/>
                <w:sz w:val="16"/>
              </w:rPr>
              <w:t>Active Learning &amp; Deployment</w:t>
            </w:r>
          </w:p>
        </w:tc>
        <w:tc>
          <w:tcPr>
            <w:tcW w:type="dxa" w:w="5040"/>
            <w:shd w:fill="FFFFFF"/>
            <w:tcMar>
              <w:top w:w="80" w:type="dxa"/>
              <w:bottom w:w="80" w:type="dxa"/>
              <w:left w:w="120" w:type="dxa"/>
              <w:right w:w="120" w:type="dxa"/>
            </w:tcMar>
          </w:tcPr>
          <w:p>
            <w:pPr>
              <w:spacing w:before="40" w:after="40" w:line="276" w:lineRule="auto"/>
            </w:pPr>
            <w:r>
              <w:rPr>
                <w:rFonts w:ascii="Arial" w:hAnsi="Arial"/>
                <w:color w:val="1E293B"/>
                <w:sz w:val="16"/>
              </w:rPr>
              <w:t>Audit Log Feedback Loop, Docker-Compose, Kubernetes Manifests</w:t>
            </w:r>
          </w:p>
        </w:tc>
      </w:tr>
    </w:tbl>
    <w:p/>
    <w:p>
      <w:pPr>
        <w:pStyle w:val="Heading1"/>
        <w:keepNext/>
        <w:spacing w:before="360" w:after="160" w:line="276" w:lineRule="auto"/>
      </w:pPr>
      <w:r>
        <w:rPr>
          <w:rFonts w:ascii="Arial" w:hAnsi="Arial"/>
          <w:b/>
          <w:color w:val="008A4B"/>
          <w:sz w:val="30"/>
        </w:rPr>
        <w:t>BAB 11: PETUNJUK DEPLOYMENT INFRASTRUKTUR &amp; CI/CD PIPELINE</w:t>
      </w:r>
    </w:p>
    <w:p>
      <w:pPr>
        <w:pStyle w:val="Heading2"/>
        <w:keepNext/>
        <w:spacing w:before="280" w:after="120" w:line="276" w:lineRule="auto"/>
      </w:pPr>
      <w:r>
        <w:rPr>
          <w:rFonts w:ascii="Arial" w:hAnsi="Arial"/>
          <w:b/>
          <w:color w:val="1E293B"/>
          <w:sz w:val="24"/>
        </w:rPr>
        <w:t>11.1 File Konfigurasi docker-compose.yml Lengkap</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version: '3.8'</w:t>
              <w:br/>
              <w:br/>
              <w:t>services:</w:t>
              <w:br/>
              <w:t xml:space="preserve">  api_backend:</w:t>
              <w:br/>
              <w:t xml:space="preserve">    build: .</w:t>
              <w:br/>
              <w:t xml:space="preserve">    ports:</w:t>
              <w:br/>
              <w:t xml:space="preserve">      - "8000:8000"</w:t>
              <w:br/>
              <w:t xml:space="preserve">    environment:</w:t>
              <w:br/>
              <w:t xml:space="preserve">      - DATABASE_URL=postgresql://wasrik_user:secretpass@postgres_db:5432/wasrik_db</w:t>
              <w:br/>
              <w:t xml:space="preserve">      - ENVIRONMENT=production</w:t>
              <w:br/>
              <w:t xml:space="preserve">    depends_on:</w:t>
              <w:br/>
              <w:t xml:space="preserve">      - postgres_db</w:t>
              <w:br/>
              <w:br/>
              <w:t xml:space="preserve">  postgres_db:</w:t>
              <w:br/>
              <w:t xml:space="preserve">    image: pgvector/pgvector:pg16</w:t>
              <w:br/>
              <w:t xml:space="preserve">    ports:</w:t>
              <w:br/>
              <w:t xml:space="preserve">      - "5432:5432"</w:t>
              <w:br/>
              <w:t xml:space="preserve">    environment:</w:t>
              <w:br/>
              <w:t xml:space="preserve">      - POSTGRES_USER=wasrik_user</w:t>
              <w:br/>
              <w:t xml:space="preserve">      - POSTGRES_PASSWORD=secretpass</w:t>
              <w:br/>
              <w:t xml:space="preserve">      - POSTGRES_DB=wasrik_db</w:t>
              <w:br/>
              <w:t xml:space="preserve">    volumes:</w:t>
              <w:br/>
              <w:t xml:space="preserve">      - pgdata:/var/lib/postgresql/data</w:t>
              <w:br/>
              <w:br/>
              <w:t>volumes:</w:t>
              <w:br/>
              <w:t xml:space="preserve">  pgdata:</w:t>
            </w:r>
          </w:p>
        </w:tc>
      </w:tr>
    </w:tbl>
    <w:p/>
    <w:p>
      <w:pPr>
        <w:pStyle w:val="Heading2"/>
        <w:keepNext/>
        <w:spacing w:before="280" w:after="120" w:line="276" w:lineRule="auto"/>
      </w:pPr>
      <w:r>
        <w:rPr>
          <w:rFonts w:ascii="Arial" w:hAnsi="Arial"/>
          <w:b/>
          <w:color w:val="1E293B"/>
          <w:sz w:val="24"/>
        </w:rPr>
        <w:t>11.2 File Manifest Kubernetes (deployment.yaml)</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apiVersion: apps/v1</w:t>
              <w:br/>
              <w:t>kind: Deployment</w:t>
              <w:br/>
              <w:t>metadata:</w:t>
              <w:br/>
              <w:t xml:space="preserve">  name: wasrikagent-ai-deployment</w:t>
              <w:br/>
              <w:t xml:space="preserve">  labels:</w:t>
              <w:br/>
              <w:t xml:space="preserve">    app: wasrikagent-ai</w:t>
              <w:br/>
              <w:t>spec:</w:t>
              <w:br/>
              <w:t xml:space="preserve">  replicas: 3</w:t>
              <w:br/>
              <w:t xml:space="preserve">  selector:</w:t>
              <w:br/>
              <w:t xml:space="preserve">    matchLabels:</w:t>
              <w:br/>
              <w:t xml:space="preserve">      app: wasrikagent-ai</w:t>
              <w:br/>
              <w:t xml:space="preserve">  template:</w:t>
              <w:br/>
              <w:t xml:space="preserve">    metadata:</w:t>
              <w:br/>
              <w:t xml:space="preserve">      labels:</w:t>
              <w:br/>
              <w:t xml:space="preserve">        app: wasrikagent-ai</w:t>
              <w:br/>
              <w:t xml:space="preserve">    spec:</w:t>
              <w:br/>
              <w:t xml:space="preserve">      containers:</w:t>
              <w:br/>
              <w:t xml:space="preserve">      - name: wasrikagent-api</w:t>
              <w:br/>
              <w:t xml:space="preserve">        image: bpjs/wasrikagent-ai:v2.0</w:t>
              <w:br/>
              <w:t xml:space="preserve">        ports:</w:t>
              <w:br/>
              <w:t xml:space="preserve">        - containerPort: 8000</w:t>
              <w:br/>
              <w:t xml:space="preserve">        resources:</w:t>
              <w:br/>
              <w:t xml:space="preserve">          limits:</w:t>
              <w:br/>
              <w:t xml:space="preserve">            memory: "4Gi"</w:t>
              <w:br/>
              <w:t xml:space="preserve">            cpu: "2000m"</w:t>
              <w:br/>
              <w:t xml:space="preserve">          requests:</w:t>
              <w:br/>
              <w:t xml:space="preserve">            memory: "1000m"</w:t>
              <w:br/>
              <w:t xml:space="preserve">            cpu: "500m" </w:t>
            </w:r>
          </w:p>
        </w:tc>
      </w:tr>
    </w:tbl>
    <w:p/>
    <w:p>
      <w:pPr>
        <w:pStyle w:val="Heading2"/>
        <w:keepNext/>
        <w:spacing w:before="280" w:after="120" w:line="276" w:lineRule="auto"/>
      </w:pPr>
      <w:r>
        <w:rPr>
          <w:rFonts w:ascii="Arial" w:hAnsi="Arial"/>
          <w:b/>
          <w:color w:val="1E293B"/>
          <w:sz w:val="24"/>
        </w:rPr>
        <w:t>11.3 File Workflow CI/CD (.github/workflows/deploy.yml)</w:t>
      </w:r>
    </w:p>
    <w:tbl>
      <w:tblPr>
        <w:tblW w:type="auto" w:w="0"/>
        <w:jc w:val="center"/>
        <w:tblLook w:firstColumn="1" w:firstRow="1" w:lastColumn="0" w:lastRow="0" w:noHBand="0" w:noVBand="1" w:val="04A0"/>
      </w:tblPr>
      <w:tblGrid>
        <w:gridCol w:w="9936"/>
      </w:tblGrid>
      <w:tr>
        <w:tc>
          <w:tcPr>
            <w:tcW w:type="dxa" w:w="9936"/>
            <w:shd w:fill="F1F5F9"/>
            <w:tcMar>
              <w:top w:w="100" w:type="dxa"/>
              <w:bottom w:w="100" w:type="dxa"/>
              <w:left w:w="140" w:type="dxa"/>
              <w:right w:w="140" w:type="dxa"/>
            </w:tcMar>
            <w:tcBorders>
              <w:left w:val="single" w:sz="24" w:space="0" w:color="008A4B"/>
              <w:top w:val="none"/>
              <w:bottom w:val="none"/>
              <w:right w:val="none"/>
            </w:tcBorders>
          </w:tcPr>
          <w:p>
            <w:pPr>
              <w:spacing w:before="40" w:after="40" w:line="240" w:lineRule="auto"/>
            </w:pPr>
            <w:r>
              <w:rPr>
                <w:rFonts w:ascii="Consolas" w:hAnsi="Consolas"/>
                <w:color w:val="0F172A"/>
                <w:sz w:val="16"/>
              </w:rPr>
              <w:t>name: WasrikAgent AI CI/CD Deployment Pipeline</w:t>
              <w:br/>
              <w:br/>
              <w:t>on:</w:t>
              <w:br/>
              <w:t xml:space="preserve">  push:</w:t>
              <w:br/>
              <w:t xml:space="preserve">    branches: [ main, staging ]</w:t>
              <w:br/>
              <w:br/>
              <w:t>jobs:</w:t>
              <w:br/>
              <w:t xml:space="preserve">  test-and-build:</w:t>
              <w:br/>
              <w:t xml:space="preserve">    runs-on: ubuntu-latest</w:t>
              <w:br/>
              <w:t xml:space="preserve">    steps:</w:t>
              <w:br/>
              <w:t xml:space="preserve">    - uses: actions/checkout@v3</w:t>
              <w:br/>
              <w:t xml:space="preserve">    - name: Set up Python 3.12</w:t>
              <w:br/>
              <w:t xml:space="preserve">      uses: actions/setup-python@v4</w:t>
              <w:br/>
              <w:t xml:space="preserve">      with:</w:t>
              <w:br/>
              <w:t xml:space="preserve">        python-version: "3.12"</w:t>
              <w:br/>
              <w:t xml:space="preserve">    - name: Install dependencies</w:t>
              <w:br/>
              <w:t xml:space="preserve">      run: |</w:t>
              <w:br/>
              <w:t xml:space="preserve">        pip install -r requirements.txt</w:t>
              <w:br/>
              <w:t xml:space="preserve">    - name: Run BDD PyTest Suite</w:t>
              <w:br/>
              <w:t xml:space="preserve">      run: |</w:t>
              <w:br/>
              <w:t xml:space="preserve">        pytest tests/</w:t>
              <w:br/>
              <w:t xml:space="preserve">    - name: Build Docker Image</w:t>
              <w:br/>
              <w:t xml:space="preserve">      run: |</w:t>
              <w:br/>
              <w:t xml:space="preserve">        docker build -t bpjs/wasrikagent-ai:${{ github.sha }} .</w:t>
              <w:br/>
              <w:t xml:space="preserve">    - name: Deploy to Kubernetes Cluster</w:t>
              <w:br/>
              <w:t xml:space="preserve">      run: |</w:t>
              <w:br/>
              <w:t xml:space="preserve">        kubectl apply -f k8s/deployment.yaml</w:t>
            </w:r>
          </w:p>
        </w:tc>
      </w:tr>
    </w:tbl>
    <w:p/>
    <w:p>
      <w:pPr>
        <w:pStyle w:val="Heading2"/>
        <w:keepNext/>
        <w:spacing w:before="280" w:after="120" w:line="276" w:lineRule="auto"/>
      </w:pPr>
      <w:r>
        <w:rPr>
          <w:rFonts w:ascii="Arial" w:hAnsi="Arial"/>
          <w:b/>
          <w:color w:val="1E293B"/>
          <w:sz w:val="24"/>
        </w:rPr>
        <w:t>11.4 Matriks Integration Testing &amp; Acceptance Sign-Off</w:t>
      </w:r>
    </w:p>
    <w:p>
      <w:pPr>
        <w:spacing w:before="80" w:after="120" w:line="276" w:lineRule="auto"/>
      </w:pPr>
      <w:r>
        <w:rPr>
          <w:rFonts w:ascii="Arial" w:hAnsi="Arial"/>
          <w:b w:val="0"/>
          <w:i w:val="0"/>
          <w:color w:val="1E293B"/>
          <w:sz w:val="20"/>
        </w:rPr>
        <w:t>Sistem dinyatakan siap rilis setelah lulus matriks pengujian berikut:</w:t>
      </w:r>
    </w:p>
    <w:p>
      <w:pPr>
        <w:spacing w:before="80" w:after="120" w:line="276" w:lineRule="auto"/>
      </w:pPr>
      <w:r>
        <w:rPr>
          <w:rFonts w:ascii="Arial" w:hAnsi="Arial"/>
          <w:b w:val="0"/>
          <w:i w:val="0"/>
          <w:color w:val="1E293B"/>
          <w:sz w:val="20"/>
        </w:rPr>
        <w:t>1. Vision-OCR Extraction Accuracy Test: Min 95% presisi pada 100 sampel slip gaji variasi format.</w:t>
      </w:r>
    </w:p>
    <w:p>
      <w:pPr>
        <w:spacing w:before="80" w:after="120" w:line="276" w:lineRule="auto"/>
      </w:pPr>
      <w:r>
        <w:rPr>
          <w:rFonts w:ascii="Arial" w:hAnsi="Arial"/>
          <w:b w:val="0"/>
          <w:i w:val="0"/>
          <w:color w:val="1E293B"/>
          <w:sz w:val="20"/>
        </w:rPr>
        <w:t>2. Multi-Agent Hard Step Limit Test: Memastikan agen tidak pernah melebihi 10 langkah eksekusi.</w:t>
      </w:r>
    </w:p>
    <w:p>
      <w:pPr>
        <w:spacing w:before="80" w:after="120" w:line="276" w:lineRule="auto"/>
      </w:pPr>
      <w:r>
        <w:rPr>
          <w:rFonts w:ascii="Arial" w:hAnsi="Arial"/>
          <w:b w:val="0"/>
          <w:i w:val="0"/>
          <w:color w:val="1E293B"/>
          <w:sz w:val="20"/>
        </w:rPr>
        <w:t>3. Data Security Penetration Test: Zero PII leak pada API payload dan database logs.</w:t>
      </w:r>
    </w:p>
    <w:p>
      <w:pPr>
        <w:spacing w:before="80" w:after="120" w:line="276" w:lineRule="auto"/>
      </w:pPr>
      <w:r>
        <w:rPr>
          <w:rFonts w:ascii="Arial" w:hAnsi="Arial"/>
          <w:b w:val="0"/>
          <w:i w:val="0"/>
          <w:color w:val="1E293B"/>
          <w:sz w:val="20"/>
        </w:rPr>
        <w:t>4. Performance Load Test: 100 pengguna bersamaan dengan waktu tanggap WebSocket &lt; 200ms.</w:t>
      </w:r>
    </w:p>
    <w:p>
      <w:pPr>
        <w:pStyle w:val="Heading2"/>
        <w:keepNext/>
        <w:spacing w:before="280" w:after="120" w:line="276" w:lineRule="auto"/>
      </w:pPr>
      <w:r>
        <w:rPr>
          <w:rFonts w:ascii="Arial" w:hAnsi="Arial"/>
          <w:b/>
          <w:color w:val="1E293B"/>
          <w:sz w:val="24"/>
        </w:rPr>
        <w:t>11.5 Kesimpulan &amp; Sign-Off Kesiapan Sistem</w:t>
      </w:r>
    </w:p>
    <w:p>
      <w:pPr>
        <w:spacing w:before="80" w:after="120" w:line="276" w:lineRule="auto"/>
      </w:pPr>
      <w:r>
        <w:rPr>
          <w:rFonts w:ascii="Arial" w:hAnsi="Arial"/>
          <w:b w:val="0"/>
          <w:i w:val="0"/>
          <w:color w:val="1E293B"/>
          <w:sz w:val="20"/>
        </w:rPr>
        <w:t>Dokumen SRS WasrikAgent AI v2.0 ini dinyatakan LENGKAP, VALID, dan SIAP DIEKSEKUSI oleh seluruh tim pengembang. Dengan arsitektur yang dirancang presisi sesuai ekosistem IT BPJS dan regulasi JKN, WasrikAgent AI memiliki peluang terbesar untuk memenangkan Healthkathon 2026 dan siap diimplementasikan secara nasional.</w:t>
      </w:r>
    </w:p>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6464"/>
        <w:sz w:val="18"/>
      </w:rPr>
      <w:t xml:space="preserve">Halaman </w:t>
    </w:r>
    <w:fldSimple w:instr="PAGE"/>
    <w:r>
      <w:rPr>
        <w:rFonts w:ascii="Arial" w:hAnsi="Arial"/>
        <w:color w:val="646464"/>
        <w:sz w:val="18"/>
      </w:rPr>
      <w:t xml:space="preserve"> dari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787878"/>
        <w:sz w:val="17"/>
      </w:rPr>
      <w:t>WASRIKAGENT AI — SOFTWARE REQUIREMENTS SPECIFICATION (SRS)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