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ISMS Scope Document</w:t>
      </w:r>
    </w:p>
    <w:p>
      <w:r>
        <w:t>ISO 27001:2022 — Clause 4.3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ISMS-001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document definieert de scope (reikwijdte) van het Information Security Management System (ISMS) van [Organisatienaam]. Het bepaalt welke organisatieonderdelen, processen, locaties, technologieën en informatie-assets binnen het ISMS vallen.</w:t>
      </w:r>
    </w:p>
    <w:p>
      <w:pPr>
        <w:pStyle w:val="Heading2"/>
      </w:pPr>
      <w:r>
        <w:t>2. Organisatieprofiel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Organisatienaam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[Organisatienaam]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Rechtsvorm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[BV / NV / Stichting / etc.]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KvK-nummer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[KvK-nummer]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Sector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[IT-dienstverlening / Zorg / SaaS / etc.]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Aantal medewerkers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Hoofdvestiging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[Adres]</w:t>
            </w:r>
          </w:p>
        </w:tc>
      </w:tr>
    </w:tbl>
    <w:p>
      <w:pPr>
        <w:pStyle w:val="Heading2"/>
      </w:pPr>
      <w:r>
        <w:t>3. Context van de organisatie</w:t>
      </w:r>
    </w:p>
    <w:p>
      <w:pPr>
        <w:pStyle w:val="Heading3"/>
      </w:pPr>
      <w:r>
        <w:t>3.1 Interne factoren (Clause 4.1)</w:t>
      </w:r>
    </w:p>
    <w:p>
      <w:r>
        <w:t>De volgende interne factoren zijn relevant voor het ISMS:</w:t>
      </w:r>
    </w:p>
    <w:p>
      <w:pPr>
        <w:pStyle w:val="ListBullet"/>
      </w:pPr>
      <w:r>
        <w:t>Bedrijfsstrategie: [Beschrijf de strategische richting en hoe informatiebeveiliging hierin past]</w:t>
      </w:r>
    </w:p>
    <w:p>
      <w:pPr>
        <w:pStyle w:val="ListBullet"/>
      </w:pPr>
      <w:r>
        <w:t>Organisatiestructuur: [Beschrijf de organisatiestructuur en rapportagelijnen]</w:t>
      </w:r>
    </w:p>
    <w:p>
      <w:pPr>
        <w:pStyle w:val="ListBullet"/>
      </w:pPr>
      <w:r>
        <w:t>Bestaande systemen: [Beschrijf de belangrijkste IT-systemen en -infrastructuur]</w:t>
      </w:r>
    </w:p>
    <w:p>
      <w:pPr>
        <w:pStyle w:val="ListBullet"/>
      </w:pPr>
      <w:r>
        <w:t>Bedrijfscultuur: [Beschrijf de mate van beveiligingsbewustzijn]</w:t>
      </w:r>
    </w:p>
    <w:p>
      <w:pPr>
        <w:pStyle w:val="ListBullet"/>
      </w:pPr>
      <w:r>
        <w:t>Beschikbare middelen: [Beschrijf budget en personeel voor informatiebeveiliging]</w:t>
      </w:r>
    </w:p>
    <w:p>
      <w:pPr>
        <w:pStyle w:val="Heading3"/>
      </w:pPr>
      <w:r>
        <w:t>3.2 Externe factoren (Clause 4.1)</w:t>
      </w:r>
    </w:p>
    <w:p>
      <w:r>
        <w:t>De volgende externe factoren zijn relevant voor het ISMS:</w:t>
      </w:r>
    </w:p>
    <w:p>
      <w:pPr>
        <w:pStyle w:val="ListBullet"/>
      </w:pPr>
      <w:r>
        <w:t>Wet- en regelgeving: AVG/GDPR, [NIS2-richtlijn indien van toepassing], sectorspecifieke regelgeving</w:t>
      </w:r>
    </w:p>
    <w:p>
      <w:pPr>
        <w:pStyle w:val="ListBullet"/>
      </w:pPr>
      <w:r>
        <w:t>Marktomstandigheden: [Beschrijf klantverwachtingen rondom informatiebeveiliging]</w:t>
      </w:r>
    </w:p>
    <w:p>
      <w:pPr>
        <w:pStyle w:val="ListBullet"/>
      </w:pPr>
      <w:r>
        <w:t>Technologische ontwikkelingen: [Beschrijf relevante technologische trends en dreigingen]</w:t>
      </w:r>
    </w:p>
    <w:p>
      <w:pPr>
        <w:pStyle w:val="ListBullet"/>
      </w:pPr>
      <w:r>
        <w:t>Leveranciersrelaties: [Beschrijf afhankelijkheden van externe partijen]</w:t>
      </w:r>
    </w:p>
    <w:p>
      <w:pPr>
        <w:pStyle w:val="Heading3"/>
      </w:pPr>
      <w:r>
        <w:t>3.3 Belanghebbenden en hun eisen (Clause 4.2)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Belanghebbende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Relevante eisen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Vertrouwelijkheid van gegevens, beschikbaarheid van diensten, contractuele beveiligingseisen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Bescherming van persoonsgegevens, duidelijke richtlijnen, veilige werkomgeving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Toezichthouders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Naleving AVG, [NIS2], sectorspecifieke regelgeving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Wederzijdse beveiligingsafspraken, verwerkersovereenkomsten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Aandeelhouders / Management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Bescherming van bedrijfscontinuïteit en reputatie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[Overige]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[Eisen]</w:t>
            </w:r>
          </w:p>
        </w:tc>
      </w:tr>
    </w:tbl>
    <w:p>
      <w:pPr>
        <w:pStyle w:val="Heading2"/>
      </w:pPr>
      <w:r>
        <w:t>4. Scope van het ISMS</w:t>
      </w:r>
    </w:p>
    <w:p>
      <w:pPr>
        <w:pStyle w:val="Heading3"/>
      </w:pPr>
      <w:r>
        <w:t>4.1 Organisatorische scope</w:t>
      </w:r>
    </w:p>
    <w:p>
      <w:r>
        <w:t>Het ISMS is van toepassing op:</w:t>
      </w:r>
    </w:p>
    <w:p>
      <w:pPr>
        <w:pStyle w:val="ListBullet"/>
      </w:pPr>
      <w:r>
        <w:t>[Alle activiteiten van [Organisatienaam]] OF [De volgende afdelingen/business units: ...]</w:t>
      </w:r>
    </w:p>
    <w:p>
      <w:pPr>
        <w:pStyle w:val="ListBullet"/>
      </w:pPr>
      <w:r>
        <w:t>Alle medewerkers (vast en tijdelijk), inhuurkrachten en stagiaires</w:t>
      </w:r>
    </w:p>
    <w:p>
      <w:pPr>
        <w:pStyle w:val="ListBullet"/>
      </w:pPr>
      <w:r>
        <w:t>Alle externe partijen die toegang hebben tot informatie of systemen van [Organisatienaam]</w:t>
      </w:r>
    </w:p>
    <w:p>
      <w:pPr>
        <w:pStyle w:val="Heading3"/>
      </w:pPr>
      <w:r>
        <w:t>4.2 Locaties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Locatie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Binnen scope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[Hoofdvestiging adres]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Kantoor / Hoofdkantoor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[Eventuele 2e locatie]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[Type]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Thuiswerklocaties medewerkers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Remote werkplekken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Cloud-infrastructuur ([AWS/Azure/GCP])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Datacenter (extern)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</w:tr>
    </w:tbl>
    <w:p>
      <w:pPr>
        <w:pStyle w:val="Heading3"/>
      </w:pPr>
      <w:r>
        <w:t>4.3 Technologische scope</w:t>
      </w:r>
    </w:p>
    <w:p>
      <w:r>
        <w:t>De volgende systemen en technologieën vallen binnen het ISMS: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Categorie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Systemen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Kantoorautomatisering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[Microsoft 365 / Google Workspace / etc.]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Bedrijfsapplicaties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[ERP, CRM, projectmanagement, etc.]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Infrastructuur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[Servers, netwerkapparatuur, firewalls, VPN]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Cloud-diensten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[AWS, Azure, SaaS-applicaties]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Communicatie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[E-mail, Teams/Slack, telefonie]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Ontwikkelomgevingen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[Indien van toepassing: CI/CD, repositories]</w:t>
            </w:r>
          </w:p>
        </w:tc>
      </w:tr>
    </w:tbl>
    <w:p>
      <w:pPr>
        <w:pStyle w:val="Heading3"/>
      </w:pPr>
      <w:r>
        <w:t>4.4 Informatiecategorieën</w:t>
      </w:r>
    </w:p>
    <w:p>
      <w:r>
        <w:t>Het ISMS beschermt de volgende informatiecategorieën:</w:t>
      </w:r>
    </w:p>
    <w:p>
      <w:pPr>
        <w:pStyle w:val="ListBullet"/>
      </w:pPr>
      <w:r>
        <w:t>Persoonsgegevens van klanten en medewerkers</w:t>
      </w:r>
    </w:p>
    <w:p>
      <w:pPr>
        <w:pStyle w:val="ListBullet"/>
      </w:pPr>
      <w:r>
        <w:t>Financiële gegevens</w:t>
      </w:r>
    </w:p>
    <w:p>
      <w:pPr>
        <w:pStyle w:val="ListBullet"/>
      </w:pPr>
      <w:r>
        <w:t>Bedrijfsvertrouwelijke informatie (strategie, contracten, IP)</w:t>
      </w:r>
    </w:p>
    <w:p>
      <w:pPr>
        <w:pStyle w:val="ListBullet"/>
      </w:pPr>
      <w:r>
        <w:t>Technische configuratiegegevens</w:t>
      </w:r>
    </w:p>
    <w:p>
      <w:pPr>
        <w:pStyle w:val="ListBullet"/>
      </w:pPr>
      <w:r>
        <w:t>Authenticatiegegevens (wachtwoorden, certificaten, sleutels)</w:t>
      </w:r>
    </w:p>
    <w:p>
      <w:pPr>
        <w:pStyle w:val="ListBullet"/>
      </w:pPr>
      <w:r>
        <w:t>[Sectorspecifieke gegevens: medische dossiers / overheidsinformatie / etc.]</w:t>
      </w:r>
    </w:p>
    <w:p>
      <w:pPr>
        <w:pStyle w:val="Heading3"/>
      </w:pPr>
      <w:r>
        <w:t>4.5 Uitsluitingen</w:t>
      </w:r>
    </w:p>
    <w:p>
      <w:r>
        <w:t>De volgende onderdelen vallen NIET binnen de scope van het ISMS: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Uitsluiting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Motivatie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 eventuele uitsluitingen]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[Onderbouwing waarom dit verantwoord is]</w:t>
            </w:r>
          </w:p>
        </w:tc>
      </w:tr>
    </w:tbl>
    <w:p>
      <w:r>
        <w:t>Let op: Uitsluitingen mogen de vermogen van [Organisatienaam] om informatiebeveiliging te waarborgen niet ondermijnen en moeten te rechtvaardigen zijn richting de certificeringsauditor.</w:t>
      </w:r>
    </w:p>
    <w:p>
      <w:pPr>
        <w:pStyle w:val="Heading2"/>
      </w:pPr>
      <w:r>
        <w:t>5. Toepasselijke normen en regelgeving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Norm / Regelgeving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Toepasselijkheid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ISO/IEC 27001:2022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Volledig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ISO/IEC 27002:2022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Als richtlijn voor implementatie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AVG / GDPR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Verwerking persoonsgegevens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NIS2-richtlijn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 / Nee / Wordt onderzocht]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[Sectorspecifiek: BIO, NEN 7510, etc.]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[Toelichting]</w:t>
            </w:r>
          </w:p>
        </w:tc>
      </w:tr>
    </w:tbl>
    <w:p>
      <w:pPr>
        <w:pStyle w:val="Heading2"/>
      </w:pPr>
      <w:r>
        <w:t>6.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