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72A"/>
          <w:sz w:val="28"/>
        </w:rPr>
        <w:t>annex</w:t>
      </w:r>
      <w:r>
        <w:rPr>
          <w:rFonts w:ascii="Calibri" w:hAnsi="Calibri"/>
          <w:b/>
          <w:color w:val="0D9488"/>
          <w:sz w:val="28"/>
        </w:rPr>
        <w:t>27</w:t>
      </w:r>
      <w:r>
        <w:rPr>
          <w:rFonts w:ascii="Calibri" w:hAnsi="Calibri"/>
          <w:color w:val="94A3B8"/>
          <w:sz w:val="16"/>
        </w:rPr>
        <w:t xml:space="preserve">    ISO 27001:2022 Beleidspakket</w:t>
      </w:r>
    </w:p>
    <w:p>
      <w:pPr>
        <w:spacing w:before="0" w:after="320"/>
        <w:pBdr>
          <w:bottom w:val="single" w:sz="12" w:space="1" w:color="0D9488"/>
        </w:pBdr>
      </w:pPr>
    </w:p>
    <w:p>
      <w:pPr>
        <w:pStyle w:val="Heading1"/>
      </w:pPr>
      <w:r>
        <w:t>Informatiebeveiligingsbeleid</w:t>
      </w:r>
    </w:p>
    <w:p>
      <w:r>
        <w:t>ISO 27001:2022 — A.5.1 / Clause 5.2</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r>
          </w:p>
        </w:tc>
        <w:tc>
          <w:tcPr>
            <w:tcW w:type="dxa" w:w="4703"/>
            <w:shd w:fill="0F172A" w:val="clear"/>
          </w:tcPr>
          <w:p>
            <w:r/>
            <w:r>
              <w:rPr>
                <w:rFonts w:ascii="Calibri" w:hAnsi="Calibri"/>
                <w:b/>
                <w:color w:val="FFFFFF"/>
                <w:sz w:val="17"/>
              </w:rPr>
            </w:r>
          </w:p>
        </w:tc>
      </w:tr>
      <w:tr>
        <w:tc>
          <w:tcPr>
            <w:tcW w:type="dxa" w:w="4703"/>
          </w:tcPr>
          <w:p>
            <w:r/>
            <w:r>
              <w:rPr>
                <w:rFonts w:ascii="Calibri" w:hAnsi="Calibri"/>
                <w:color w:val="475569"/>
                <w:sz w:val="17"/>
              </w:rPr>
              <w:t>Documentnummer</w:t>
            </w:r>
          </w:p>
        </w:tc>
        <w:tc>
          <w:tcPr>
            <w:tcW w:type="dxa" w:w="4703"/>
          </w:tcPr>
          <w:p>
            <w:r/>
            <w:r>
              <w:rPr>
                <w:rFonts w:ascii="Calibri" w:hAnsi="Calibri"/>
                <w:color w:val="475569"/>
                <w:sz w:val="17"/>
              </w:rPr>
              <w:t>ISMS-002</w:t>
            </w:r>
          </w:p>
        </w:tc>
      </w:tr>
      <w:tr>
        <w:tc>
          <w:tcPr>
            <w:tcW w:type="dxa" w:w="4703"/>
            <w:shd w:fill="F8FAFC" w:val="clear"/>
          </w:tcPr>
          <w:p>
            <w:r/>
            <w:r>
              <w:rPr>
                <w:rFonts w:ascii="Calibri" w:hAnsi="Calibri"/>
                <w:color w:val="475569"/>
                <w:sz w:val="17"/>
              </w:rPr>
              <w:t>Versie</w:t>
            </w:r>
          </w:p>
        </w:tc>
        <w:tc>
          <w:tcPr>
            <w:tcW w:type="dxa" w:w="4703"/>
            <w:shd w:fill="F8FAFC" w:val="clear"/>
          </w:tcPr>
          <w:p>
            <w:r/>
            <w:r>
              <w:rPr>
                <w:rFonts w:ascii="Calibri" w:hAnsi="Calibri"/>
                <w:color w:val="475569"/>
                <w:sz w:val="17"/>
              </w:rPr>
              <w:t>1.0</w:t>
            </w:r>
          </w:p>
        </w:tc>
      </w:tr>
      <w:tr>
        <w:tc>
          <w:tcPr>
            <w:tcW w:type="dxa" w:w="4703"/>
          </w:tcPr>
          <w:p>
            <w:r/>
            <w:r>
              <w:rPr>
                <w:rFonts w:ascii="Calibri" w:hAnsi="Calibri"/>
                <w:color w:val="475569"/>
                <w:sz w:val="17"/>
              </w:rPr>
              <w:t>Classificatie</w:t>
            </w:r>
          </w:p>
        </w:tc>
        <w:tc>
          <w:tcPr>
            <w:tcW w:type="dxa" w:w="4703"/>
          </w:tcPr>
          <w:p>
            <w:r/>
            <w:r>
              <w:rPr>
                <w:rFonts w:ascii="Calibri" w:hAnsi="Calibri"/>
                <w:color w:val="475569"/>
                <w:sz w:val="17"/>
              </w:rPr>
              <w:t>Intern</w:t>
            </w:r>
          </w:p>
        </w:tc>
      </w:tr>
      <w:tr>
        <w:tc>
          <w:tcPr>
            <w:tcW w:type="dxa" w:w="4703"/>
            <w:shd w:fill="F8FAFC" w:val="clear"/>
          </w:tcPr>
          <w:p>
            <w:r/>
            <w:r>
              <w:rPr>
                <w:rFonts w:ascii="Calibri" w:hAnsi="Calibri"/>
                <w:color w:val="475569"/>
                <w:sz w:val="17"/>
              </w:rPr>
              <w:t>Eigenaar</w:t>
            </w:r>
          </w:p>
        </w:tc>
        <w:tc>
          <w:tcPr>
            <w:tcW w:type="dxa" w:w="4703"/>
            <w:shd w:fill="F8FAFC" w:val="clear"/>
          </w:tcPr>
          <w:p>
            <w:r/>
            <w:r>
              <w:rPr>
                <w:rFonts w:ascii="Calibri" w:hAnsi="Calibri"/>
                <w:color w:val="475569"/>
                <w:sz w:val="17"/>
              </w:rPr>
              <w:t>[Naam CISO / Verantwoordelijke]</w:t>
            </w:r>
          </w:p>
        </w:tc>
      </w:tr>
      <w:tr>
        <w:tc>
          <w:tcPr>
            <w:tcW w:type="dxa" w:w="4703"/>
          </w:tcPr>
          <w:p>
            <w:r/>
            <w:r>
              <w:rPr>
                <w:rFonts w:ascii="Calibri" w:hAnsi="Calibri"/>
                <w:color w:val="475569"/>
                <w:sz w:val="17"/>
              </w:rPr>
              <w:t>Goedgekeurd door</w:t>
            </w:r>
          </w:p>
        </w:tc>
        <w:tc>
          <w:tcPr>
            <w:tcW w:type="dxa" w:w="4703"/>
          </w:tcPr>
          <w:p>
            <w:r/>
            <w:r>
              <w:rPr>
                <w:rFonts w:ascii="Calibri" w:hAnsi="Calibri"/>
                <w:color w:val="475569"/>
                <w:sz w:val="17"/>
              </w:rPr>
              <w:t>[Naam Directie / Bestuurder]</w:t>
            </w:r>
          </w:p>
        </w:tc>
      </w:tr>
      <w:tr>
        <w:tc>
          <w:tcPr>
            <w:tcW w:type="dxa" w:w="4703"/>
            <w:shd w:fill="F8FAFC" w:val="clear"/>
          </w:tcPr>
          <w:p>
            <w:r/>
            <w:r>
              <w:rPr>
                <w:rFonts w:ascii="Calibri" w:hAnsi="Calibri"/>
                <w:color w:val="475569"/>
                <w:sz w:val="17"/>
              </w:rPr>
              <w:t>Datum goedkeuring</w:t>
            </w:r>
          </w:p>
        </w:tc>
        <w:tc>
          <w:tcPr>
            <w:tcW w:type="dxa" w:w="4703"/>
            <w:shd w:fill="F8FAFC" w:val="clear"/>
          </w:tcPr>
          <w:p>
            <w:r/>
            <w:r>
              <w:rPr>
                <w:rFonts w:ascii="Calibri" w:hAnsi="Calibri"/>
                <w:color w:val="475569"/>
                <w:sz w:val="17"/>
              </w:rPr>
              <w:t>[DD-MM-JJJJ]</w:t>
            </w:r>
          </w:p>
        </w:tc>
      </w:tr>
      <w:tr>
        <w:tc>
          <w:tcPr>
            <w:tcW w:type="dxa" w:w="4703"/>
          </w:tcPr>
          <w:p>
            <w:r/>
            <w:r>
              <w:rPr>
                <w:rFonts w:ascii="Calibri" w:hAnsi="Calibri"/>
                <w:color w:val="475569"/>
                <w:sz w:val="17"/>
              </w:rPr>
              <w:t>Volgende review</w:t>
            </w:r>
          </w:p>
        </w:tc>
        <w:tc>
          <w:tcPr>
            <w:tcW w:type="dxa" w:w="4703"/>
          </w:tcPr>
          <w:p>
            <w:r/>
            <w:r>
              <w:rPr>
                <w:rFonts w:ascii="Calibri" w:hAnsi="Calibri"/>
                <w:color w:val="475569"/>
                <w:sz w:val="17"/>
              </w:rPr>
              <w:t>[DD-MM-JJJJ]</w:t>
            </w:r>
          </w:p>
        </w:tc>
      </w:tr>
    </w:tbl>
    <w:p>
      <w:pPr>
        <w:spacing w:before="160" w:after="160"/>
      </w:pPr>
    </w:p>
    <w:p>
      <w:pPr>
        <w:pStyle w:val="Heading2"/>
      </w:pPr>
      <w:r>
        <w:t>1. Doel</w:t>
      </w:r>
    </w:p>
    <w:p>
      <w:r>
        <w:t>Dit beleid beschrijft de uitgangspunten en principes van [Organisatienaam] voor het waarborgen van de vertrouwelijkheid, integriteit en beschikbaarheid van informatie. Het vormt het overkoepelende kader waaraan alle onderliggende beleidsregels, procedures en richtlijnen zijn verbonden.</w:t>
      </w:r>
    </w:p>
    <w:p>
      <w:pPr>
        <w:pStyle w:val="Heading2"/>
      </w:pPr>
      <w:r>
        <w:t>2. Toepassingsgebied</w:t>
      </w:r>
    </w:p>
    <w:p>
      <w:r>
        <w:t>Dit beleid is van toepassing op:</w:t>
      </w:r>
    </w:p>
    <w:p>
      <w:pPr>
        <w:pStyle w:val="ListBullet"/>
      </w:pPr>
      <w:r>
        <w:t>Alle medewerkers van [Organisatienaam], inclusief tijdelijk personeel, inhuurkrachten en stagiaires</w:t>
      </w:r>
    </w:p>
    <w:p>
      <w:pPr>
        <w:pStyle w:val="ListBullet"/>
      </w:pPr>
      <w:r>
        <w:t>Alle externe partijen die toegang hebben tot informatie of informatiesystemen van [Organisatienaam]</w:t>
      </w:r>
    </w:p>
    <w:p>
      <w:pPr>
        <w:pStyle w:val="ListBullet"/>
      </w:pPr>
      <w:r>
        <w:t>Alle informatie-assets zoals gedefinieerd in het ISMS Scope Document (ISMS-001)</w:t>
      </w:r>
    </w:p>
    <w:p>
      <w:pPr>
        <w:pStyle w:val="Heading2"/>
      </w:pPr>
      <w:r>
        <w:t>3. Beleidsprincipes</w:t>
      </w:r>
    </w:p>
    <w:p>
      <w:pPr>
        <w:pStyle w:val="Heading3"/>
      </w:pPr>
      <w:r>
        <w:t>3.1 Vertrouwelijkheid</w:t>
      </w:r>
    </w:p>
    <w:p>
      <w:r>
        <w:t>Informatie is uitsluitend toegankelijk voor geautoriseerde personen. Toegang wordt verleend op basis van het need-to-know principe en het least privilege principe.</w:t>
      </w:r>
    </w:p>
    <w:p>
      <w:pPr>
        <w:pStyle w:val="Heading3"/>
      </w:pPr>
      <w:r>
        <w:t>3.2 Integriteit</w:t>
      </w:r>
    </w:p>
    <w:p>
      <w:r>
        <w:t>Informatie is juist, volledig en actueel. Ongeautoriseerde wijzigingen worden voorkomen door passende technische en organisatorische maatregelen.</w:t>
      </w:r>
    </w:p>
    <w:p>
      <w:pPr>
        <w:pStyle w:val="Heading3"/>
      </w:pPr>
      <w:r>
        <w:t>3.3 Beschikbaarheid</w:t>
      </w:r>
    </w:p>
    <w:p>
      <w:r>
        <w:t>Informatie en informatiesystemen zijn beschikbaar wanneer ze nodig zijn. Continuïteitsmaatregelen waarborgen de beschikbaarheid bij verstoringen.</w:t>
      </w:r>
    </w:p>
    <w:p>
      <w:pPr>
        <w:pStyle w:val="Heading2"/>
      </w:pPr>
      <w:r>
        <w:t>4. Managementcommitment</w:t>
      </w:r>
    </w:p>
    <w:p>
      <w:r>
        <w:t>De directie van [Organisatienaam] committeert zich aan:</w:t>
      </w:r>
    </w:p>
    <w:p>
      <w:pPr>
        <w:pStyle w:val="ListNumber"/>
      </w:pPr>
      <w:r>
        <w:t>Het vaststellen van informatiebeveiligingsdoelstellingen die aansluiten bij de strategische richting van de organisatie</w:t>
      </w:r>
    </w:p>
    <w:p>
      <w:pPr>
        <w:pStyle w:val="ListNumber"/>
      </w:pPr>
      <w:r>
        <w:t>Het beschikbaar stellen van voldoende middelen (budget, personeel, tijd) voor informatiebeveiliging</w:t>
      </w:r>
    </w:p>
    <w:p>
      <w:pPr>
        <w:pStyle w:val="ListNumber"/>
      </w:pPr>
      <w:r>
        <w:t>Het communiceren van het belang van informatiebeveiliging binnen de organisatie</w:t>
      </w:r>
    </w:p>
    <w:p>
      <w:pPr>
        <w:pStyle w:val="ListNumber"/>
      </w:pPr>
      <w:r>
        <w:t>Het bevorderen van continue verbetering van het ISMS</w:t>
      </w:r>
    </w:p>
    <w:p>
      <w:pPr>
        <w:pStyle w:val="ListNumber"/>
      </w:pPr>
      <w:r>
        <w:t>Het ondersteunen van leidinggevenden in hun rol bij informatiebeveiliging</w:t>
      </w:r>
    </w:p>
    <w:p>
      <w:pPr>
        <w:pStyle w:val="Heading2"/>
      </w:pPr>
      <w:r>
        <w:t>5. Organisatie van informatiebeveiliging</w:t>
      </w:r>
    </w:p>
    <w:p>
      <w:pPr>
        <w:pStyle w:val="Heading3"/>
      </w:pPr>
      <w:r>
        <w:t>5.1 Verantwoordelijkheden</w:t>
      </w:r>
    </w:p>
    <w:tbl>
      <w:tblPr>
        <w:tblStyle w:val="TableGrid"/>
        <w:tblW w:type="auto" w:w="0"/>
        <w:jc w:val="left"/>
        <w:tblLook w:firstColumn="1" w:firstRow="1" w:lastColumn="0" w:lastRow="0" w:noHBand="0" w:noVBand="1" w:val="04A0"/>
      </w:tblPr>
      <w:tblGrid>
        <w:gridCol w:w="4703"/>
        <w:gridCol w:w="4703"/>
      </w:tblGrid>
      <w:tr>
        <w:tc>
          <w:tcPr>
            <w:tcW w:type="dxa" w:w="4703"/>
            <w:shd w:fill="0F172A" w:val="clear"/>
          </w:tcPr>
          <w:p>
            <w:r/>
            <w:r>
              <w:rPr>
                <w:rFonts w:ascii="Calibri" w:hAnsi="Calibri"/>
                <w:b/>
                <w:color w:val="FFFFFF"/>
                <w:sz w:val="17"/>
              </w:rPr>
              <w:t>Rol</w:t>
            </w:r>
          </w:p>
        </w:tc>
        <w:tc>
          <w:tcPr>
            <w:tcW w:type="dxa" w:w="4703"/>
            <w:shd w:fill="0F172A" w:val="clear"/>
          </w:tcPr>
          <w:p>
            <w:r/>
            <w:r>
              <w:rPr>
                <w:rFonts w:ascii="Calibri" w:hAnsi="Calibri"/>
                <w:b/>
                <w:color w:val="FFFFFF"/>
                <w:sz w:val="17"/>
              </w:rPr>
              <w:t>Verantwoordelijkheid</w:t>
            </w:r>
          </w:p>
        </w:tc>
      </w:tr>
      <w:tr>
        <w:tc>
          <w:tcPr>
            <w:tcW w:type="dxa" w:w="4703"/>
          </w:tcPr>
          <w:p>
            <w:r/>
            <w:r>
              <w:rPr>
                <w:rFonts w:ascii="Calibri" w:hAnsi="Calibri"/>
                <w:color w:val="475569"/>
                <w:sz w:val="17"/>
              </w:rPr>
              <w:t>Directie</w:t>
            </w:r>
          </w:p>
        </w:tc>
        <w:tc>
          <w:tcPr>
            <w:tcW w:type="dxa" w:w="4703"/>
          </w:tcPr>
          <w:p>
            <w:r/>
            <w:r>
              <w:rPr>
                <w:rFonts w:ascii="Calibri" w:hAnsi="Calibri"/>
                <w:color w:val="475569"/>
                <w:sz w:val="17"/>
              </w:rPr>
              <w:t>Eindverantwoordelijk voor informatiebeveiliging. Keurt beleid goed, stelt middelen beschikbaar.</w:t>
            </w:r>
          </w:p>
        </w:tc>
      </w:tr>
      <w:tr>
        <w:tc>
          <w:tcPr>
            <w:tcW w:type="dxa" w:w="4703"/>
            <w:shd w:fill="F8FAFC" w:val="clear"/>
          </w:tcPr>
          <w:p>
            <w:r/>
            <w:r>
              <w:rPr>
                <w:rFonts w:ascii="Calibri" w:hAnsi="Calibri"/>
                <w:color w:val="475569"/>
                <w:sz w:val="17"/>
              </w:rPr>
              <w:t>[CISO / Informatiebeveiligingsverantwoordelijke]</w:t>
            </w:r>
          </w:p>
        </w:tc>
        <w:tc>
          <w:tcPr>
            <w:tcW w:type="dxa" w:w="4703"/>
            <w:shd w:fill="F8FAFC" w:val="clear"/>
          </w:tcPr>
          <w:p>
            <w:r/>
            <w:r>
              <w:rPr>
                <w:rFonts w:ascii="Calibri" w:hAnsi="Calibri"/>
                <w:color w:val="475569"/>
                <w:sz w:val="17"/>
              </w:rPr>
              <w:t>Operationeel verantwoordelijk voor het ISMS. Coördineert beleid, audits, incidenten en rapporteert aan directie.</w:t>
            </w:r>
          </w:p>
        </w:tc>
      </w:tr>
      <w:tr>
        <w:tc>
          <w:tcPr>
            <w:tcW w:type="dxa" w:w="4703"/>
          </w:tcPr>
          <w:p>
            <w:r/>
            <w:r>
              <w:rPr>
                <w:rFonts w:ascii="Calibri" w:hAnsi="Calibri"/>
                <w:color w:val="475569"/>
                <w:sz w:val="17"/>
              </w:rPr>
              <w:t>Leidinggevenden</w:t>
            </w:r>
          </w:p>
        </w:tc>
        <w:tc>
          <w:tcPr>
            <w:tcW w:type="dxa" w:w="4703"/>
          </w:tcPr>
          <w:p>
            <w:r/>
            <w:r>
              <w:rPr>
                <w:rFonts w:ascii="Calibri" w:hAnsi="Calibri"/>
                <w:color w:val="475569"/>
                <w:sz w:val="17"/>
              </w:rPr>
              <w:t>Verantwoordelijk voor naleving binnen hun team. Zorgen dat medewerkers het beleid kennen en naleven.</w:t>
            </w:r>
          </w:p>
        </w:tc>
      </w:tr>
      <w:tr>
        <w:tc>
          <w:tcPr>
            <w:tcW w:type="dxa" w:w="4703"/>
            <w:shd w:fill="F8FAFC" w:val="clear"/>
          </w:tcPr>
          <w:p>
            <w:r/>
            <w:r>
              <w:rPr>
                <w:rFonts w:ascii="Calibri" w:hAnsi="Calibri"/>
                <w:color w:val="475569"/>
                <w:sz w:val="17"/>
              </w:rPr>
              <w:t>Alle medewerkers</w:t>
            </w:r>
          </w:p>
        </w:tc>
        <w:tc>
          <w:tcPr>
            <w:tcW w:type="dxa" w:w="4703"/>
            <w:shd w:fill="F8FAFC" w:val="clear"/>
          </w:tcPr>
          <w:p>
            <w:r/>
            <w:r>
              <w:rPr>
                <w:rFonts w:ascii="Calibri" w:hAnsi="Calibri"/>
                <w:color w:val="475569"/>
                <w:sz w:val="17"/>
              </w:rPr>
              <w:t>Naleven van dit beleid en onderliggende richtlijnen. Melden van beveiligingsincidenten en -risico's.</w:t>
            </w:r>
          </w:p>
        </w:tc>
      </w:tr>
      <w:tr>
        <w:tc>
          <w:tcPr>
            <w:tcW w:type="dxa" w:w="4703"/>
          </w:tcPr>
          <w:p>
            <w:r/>
            <w:r>
              <w:rPr>
                <w:rFonts w:ascii="Calibri" w:hAnsi="Calibri"/>
                <w:color w:val="475569"/>
                <w:sz w:val="17"/>
              </w:rPr>
              <w:t>IT-beheer / Systeembeheerders</w:t>
            </w:r>
          </w:p>
        </w:tc>
        <w:tc>
          <w:tcPr>
            <w:tcW w:type="dxa" w:w="4703"/>
          </w:tcPr>
          <w:p>
            <w:r/>
            <w:r>
              <w:rPr>
                <w:rFonts w:ascii="Calibri" w:hAnsi="Calibri"/>
                <w:color w:val="475569"/>
                <w:sz w:val="17"/>
              </w:rPr>
              <w:t>Implementatie en beheer van technische beveiligingsmaatregelen.</w:t>
            </w:r>
          </w:p>
        </w:tc>
      </w:tr>
    </w:tbl>
    <w:p>
      <w:pPr>
        <w:pStyle w:val="Heading3"/>
      </w:pPr>
      <w:r>
        <w:t>5.2 Documentstructuur</w:t>
      </w:r>
    </w:p>
    <w:p>
      <w:r>
        <w:t>Dit beleid is het overkoepelende document. De volgende onderliggende documenten vullen het beleid aan:</w:t>
      </w:r>
    </w:p>
    <w:p>
      <w:pPr>
        <w:pStyle w:val="ListBullet"/>
      </w:pPr>
      <w:r>
        <w:t>Toegangsbeleid</w:t>
      </w:r>
    </w:p>
    <w:p>
      <w:pPr>
        <w:pStyle w:val="ListBullet"/>
      </w:pPr>
      <w:r>
        <w:t>Wachtwoord- &amp; Authenticatiebeleid</w:t>
      </w:r>
    </w:p>
    <w:p>
      <w:pPr>
        <w:pStyle w:val="ListBullet"/>
      </w:pPr>
      <w:r>
        <w:t>Classificatiebeleid</w:t>
      </w:r>
    </w:p>
    <w:p>
      <w:pPr>
        <w:pStyle w:val="ListBullet"/>
      </w:pPr>
      <w:r>
        <w:t>Acceptable Use Policy</w:t>
      </w:r>
    </w:p>
    <w:p>
      <w:pPr>
        <w:pStyle w:val="ListBullet"/>
      </w:pPr>
      <w:r>
        <w:t>Incident Response Plan</w:t>
      </w:r>
    </w:p>
    <w:p>
      <w:pPr>
        <w:pStyle w:val="ListBullet"/>
      </w:pPr>
      <w:r>
        <w:t>Business Continuity Plan</w:t>
      </w:r>
    </w:p>
    <w:p>
      <w:pPr>
        <w:pStyle w:val="ListBullet"/>
      </w:pPr>
      <w:r>
        <w:t>Risicobeoordeling &amp; Behandelingsplan</w:t>
      </w:r>
    </w:p>
    <w:p>
      <w:pPr>
        <w:pStyle w:val="ListBullet"/>
      </w:pPr>
      <w:r>
        <w:t>Overige beleids- en proceduredocumenten zoals opgenomen in de documentenlijst</w:t>
      </w:r>
    </w:p>
    <w:p>
      <w:pPr>
        <w:pStyle w:val="Heading2"/>
      </w:pPr>
      <w:r>
        <w:t>6. Risicomanagement</w:t>
      </w:r>
    </w:p>
    <w:p>
      <w:r>
        <w:t>[Organisatienaam] hanteert een risicogebaseerde aanpak voor informatiebeveiliging:</w:t>
      </w:r>
    </w:p>
    <w:p>
      <w:pPr>
        <w:pStyle w:val="ListNumber"/>
      </w:pPr>
      <w:r>
        <w:t>Risico-identificatie: Informatiebeveiligingsrisico's worden periodiek geïdentificeerd op basis van de context van de organisatie, dreigingen en kwetsbaarheden</w:t>
      </w:r>
    </w:p>
    <w:p>
      <w:pPr>
        <w:pStyle w:val="ListNumber"/>
      </w:pPr>
      <w:r>
        <w:t>Risicobeoordeling: Risico's worden beoordeeld op waarschijnlijkheid en impact volgens de vastgestelde methodiek (zie Risicobeoordeling &amp; Behandelingsplan)</w:t>
      </w:r>
    </w:p>
    <w:p>
      <w:pPr>
        <w:pStyle w:val="ListNumber"/>
      </w:pPr>
      <w:r>
        <w:t>Risicobehandeling: Voor elk risico boven het acceptatieniveau wordt een behandelingsoptie gekozen: mitigeren, overdragen, vermijden of accepteren</w:t>
      </w:r>
    </w:p>
    <w:p>
      <w:pPr>
        <w:pStyle w:val="ListNumber"/>
      </w:pPr>
      <w:r>
        <w:t>Monitoring: Restrisico's worden periodiek gemonitord en geëvalueerd</w:t>
      </w:r>
    </w:p>
    <w:p>
      <w:pPr>
        <w:pStyle w:val="Heading2"/>
      </w:pPr>
      <w:r>
        <w:t>7. Naleving van wet- en regelgeving</w:t>
      </w:r>
    </w:p>
    <w:p>
      <w:r>
        <w:t>[Organisatienaam] voldoet aan alle toepasselijke wet- en regelgeving op het gebied van informatiebeveiliging en privacy, waaronder:</w:t>
      </w:r>
    </w:p>
    <w:p>
      <w:pPr>
        <w:pStyle w:val="ListBullet"/>
      </w:pPr>
      <w:r>
        <w:t>Algemene Verordening Gegevensbescherming (AVG/GDPR) — bescherming van persoonsgegevens</w:t>
      </w:r>
    </w:p>
    <w:p>
      <w:pPr>
        <w:pStyle w:val="ListBullet"/>
      </w:pPr>
      <w:r>
        <w:t>NIS2-richtlijn — [indien van toepassing: aanvullende eisen voor netwerk- en informatiebeveiliging]</w:t>
      </w:r>
    </w:p>
    <w:p>
      <w:pPr>
        <w:pStyle w:val="ListBullet"/>
      </w:pPr>
      <w:r>
        <w:t>[Sectorspecifieke regelgeving] — [bijv. BIO, NEN 7510, PCI DSS]</w:t>
      </w:r>
    </w:p>
    <w:p>
      <w:pPr>
        <w:pStyle w:val="Heading2"/>
      </w:pPr>
      <w:r>
        <w:t>8. Bewustwording en training</w:t>
      </w:r>
    </w:p>
    <w:p>
      <w:r>
        <w:t>Alle medewerkers ontvangen bij indiensttreding en periodiek daarna training en bewustwording over informatiebeveiliging. Het Awareness &amp; Trainingsplan beschrijft de inhoud, frequentie en doelgroepen.</w:t>
      </w:r>
    </w:p>
    <w:p>
      <w:pPr>
        <w:pStyle w:val="Heading2"/>
      </w:pPr>
      <w:r>
        <w:t>9. Incidentmanagement</w:t>
      </w:r>
    </w:p>
    <w:p>
      <w:r>
        <w:t>Beveiligingsincidenten worden gemeld, geregistreerd, geanalyseerd en opgelost conform het Incident Response Plan. Ernstige incidenten worden gerapporteerd aan de directie en, indien vereist, aan de Autoriteit Persoonsgegevens en/of het NCSC.</w:t>
      </w:r>
    </w:p>
    <w:p>
      <w:pPr>
        <w:pStyle w:val="Heading2"/>
      </w:pPr>
      <w:r>
        <w:t>10. Continue verbetering</w:t>
      </w:r>
    </w:p>
    <w:p>
      <w:r>
        <w:t>Het ISMS wordt continu verbeterd door middel van:</w:t>
      </w:r>
    </w:p>
    <w:p>
      <w:pPr>
        <w:pStyle w:val="ListBullet"/>
      </w:pPr>
      <w:r>
        <w:t>Periodieke interne audits (minimaal jaarlijks)</w:t>
      </w:r>
    </w:p>
    <w:p>
      <w:pPr>
        <w:pStyle w:val="ListBullet"/>
      </w:pPr>
      <w:r>
        <w:t>Managementreviews (minimaal jaarlijks)</w:t>
      </w:r>
    </w:p>
    <w:p>
      <w:pPr>
        <w:pStyle w:val="ListBullet"/>
      </w:pPr>
      <w:r>
        <w:t>Analyse van beveiligingsincidenten en near-misses</w:t>
      </w:r>
    </w:p>
    <w:p>
      <w:pPr>
        <w:pStyle w:val="ListBullet"/>
      </w:pPr>
      <w:r>
        <w:t>Correctieve en preventieve maatregelen</w:t>
      </w:r>
    </w:p>
    <w:p>
      <w:pPr>
        <w:pStyle w:val="ListBullet"/>
      </w:pPr>
      <w:r>
        <w:t>Evaluatie van informatiebeveiligingsdoelstellingen</w:t>
      </w:r>
    </w:p>
    <w:p>
      <w:pPr>
        <w:pStyle w:val="Heading2"/>
      </w:pPr>
      <w:r>
        <w:t>11. Sancties</w:t>
      </w:r>
    </w:p>
    <w:p>
      <w:r>
        <w:t>Overtreding van dit beleid of onderliggende richtlijnen kan leiden tot disciplinaire maatregelen, waaronder waarschuwing, schorsing of ontslag, afhankelijk van de aard en ernst van de overtreding. Bij vermoeden van strafbare feiten wordt aangifte gedaan.</w:t>
      </w:r>
    </w:p>
    <w:p>
      <w:pPr>
        <w:pStyle w:val="Heading2"/>
      </w:pPr>
      <w:r>
        <w:t>12. Verspreiding en communicatie</w:t>
      </w:r>
    </w:p>
    <w:p>
      <w:r>
        <w:t>Dit beleid wordt:</w:t>
      </w:r>
    </w:p>
    <w:p>
      <w:pPr>
        <w:pStyle w:val="ListBullet"/>
      </w:pPr>
      <w:r>
        <w:t>Beschikbaar gesteld aan alle medewerkers via [intranet / documentmanagementsysteem / etc.]</w:t>
      </w:r>
    </w:p>
    <w:p>
      <w:pPr>
        <w:pStyle w:val="ListBullet"/>
      </w:pPr>
      <w:r>
        <w:t>Besproken tijdens het onboarding-proces van nieuwe medewerkers</w:t>
      </w:r>
    </w:p>
    <w:p>
      <w:pPr>
        <w:pStyle w:val="ListBullet"/>
      </w:pPr>
      <w:r>
        <w:t>Jaarlijks onder de aandacht gebracht van alle medewerkers</w:t>
      </w:r>
    </w:p>
    <w:p>
      <w:pPr>
        <w:pStyle w:val="ListBullet"/>
      </w:pPr>
      <w:r>
        <w:t>Op verzoek beschikbaar gesteld aan externe partijen en auditors</w:t>
      </w:r>
    </w:p>
    <w:p>
      <w:pPr>
        <w:pStyle w:val="Heading2"/>
      </w:pPr>
      <w:r>
        <w:t>13. Review en actualisering</w:t>
      </w:r>
    </w:p>
    <w:p>
      <w:r>
        <w:t>Dit beleid wordt minimaal jaarlijks geëvalueerd en waar nodig geactualiseerd. Tussentijdse herziening vindt plaats bij:</w:t>
      </w:r>
    </w:p>
    <w:p>
      <w:pPr>
        <w:pStyle w:val="ListBullet"/>
      </w:pPr>
      <w:r>
        <w:t>Significante wijzigingen in de organisatie, processen of technologie</w:t>
      </w:r>
    </w:p>
    <w:p>
      <w:pPr>
        <w:pStyle w:val="ListBullet"/>
      </w:pPr>
      <w:r>
        <w:t>Belangrijke beveiligingsincidenten</w:t>
      </w:r>
    </w:p>
    <w:p>
      <w:pPr>
        <w:pStyle w:val="ListBullet"/>
      </w:pPr>
      <w:r>
        <w:t>Wijzigingen in wet- en regelgeving</w:t>
      </w:r>
    </w:p>
    <w:p>
      <w:pPr>
        <w:pStyle w:val="ListBullet"/>
      </w:pPr>
      <w:r>
        <w:t>Bevindingen uit audits of managementreviews</w:t>
      </w:r>
    </w:p>
    <w:p>
      <w:pPr>
        <w:pStyle w:val="Heading2"/>
      </w:pPr>
      <w:r>
        <w:t>14. Versiebeheer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F172A" w:val="clear"/>
          </w:tcPr>
          <w:p>
            <w:r/>
            <w:r>
              <w:rPr>
                <w:rFonts w:ascii="Calibri" w:hAnsi="Calibri"/>
                <w:b/>
                <w:color w:val="FFFFFF"/>
                <w:sz w:val="17"/>
              </w:rPr>
              <w:t>Versie</w:t>
            </w:r>
          </w:p>
        </w:tc>
        <w:tc>
          <w:tcPr>
            <w:tcW w:type="dxa" w:w="2351"/>
            <w:shd w:fill="0F172A" w:val="clear"/>
          </w:tcPr>
          <w:p>
            <w:r/>
            <w:r>
              <w:rPr>
                <w:rFonts w:ascii="Calibri" w:hAnsi="Calibri"/>
                <w:b/>
                <w:color w:val="FFFFFF"/>
                <w:sz w:val="17"/>
              </w:rPr>
              <w:t>Datum</w:t>
            </w:r>
          </w:p>
        </w:tc>
        <w:tc>
          <w:tcPr>
            <w:tcW w:type="dxa" w:w="2351"/>
            <w:shd w:fill="0F172A" w:val="clear"/>
          </w:tcPr>
          <w:p>
            <w:r/>
            <w:r>
              <w:rPr>
                <w:rFonts w:ascii="Calibri" w:hAnsi="Calibri"/>
                <w:b/>
                <w:color w:val="FFFFFF"/>
                <w:sz w:val="17"/>
              </w:rPr>
              <w:t>Wijziging</w:t>
            </w:r>
          </w:p>
        </w:tc>
        <w:tc>
          <w:tcPr>
            <w:tcW w:type="dxa" w:w="2351"/>
            <w:shd w:fill="0F172A" w:val="clear"/>
          </w:tcPr>
          <w:p>
            <w:r/>
            <w:r>
              <w:rPr>
                <w:rFonts w:ascii="Calibri" w:hAnsi="Calibri"/>
                <w:b/>
                <w:color w:val="FFFFFF"/>
                <w:sz w:val="17"/>
              </w:rPr>
              <w:t>Auteur</w:t>
            </w:r>
          </w:p>
        </w:tc>
      </w:tr>
      <w:tr>
        <w:tc>
          <w:tcPr>
            <w:tcW w:type="dxa" w:w="2351"/>
          </w:tcPr>
          <w:p>
            <w:r/>
            <w:r>
              <w:rPr>
                <w:rFonts w:ascii="Calibri" w:hAnsi="Calibri"/>
                <w:color w:val="475569"/>
                <w:sz w:val="17"/>
              </w:rPr>
              <w:t>1.0</w:t>
            </w:r>
          </w:p>
        </w:tc>
        <w:tc>
          <w:tcPr>
            <w:tcW w:type="dxa" w:w="2351"/>
          </w:tcPr>
          <w:p>
            <w:r/>
            <w:r>
              <w:rPr>
                <w:rFonts w:ascii="Calibri" w:hAnsi="Calibri"/>
                <w:color w:val="475569"/>
                <w:sz w:val="17"/>
              </w:rPr>
              <w:t>[DD-MM-JJJJ]</w:t>
            </w:r>
          </w:p>
        </w:tc>
        <w:tc>
          <w:tcPr>
            <w:tcW w:type="dxa" w:w="2351"/>
          </w:tcPr>
          <w:p>
            <w:r/>
            <w:r>
              <w:rPr>
                <w:rFonts w:ascii="Calibri" w:hAnsi="Calibri"/>
                <w:color w:val="475569"/>
                <w:sz w:val="17"/>
              </w:rPr>
              <w:t>Initiële versie</w:t>
            </w:r>
          </w:p>
        </w:tc>
        <w:tc>
          <w:tcPr>
            <w:tcW w:type="dxa" w:w="2351"/>
          </w:tcPr>
          <w:p>
            <w:r/>
            <w:r>
              <w:rPr>
                <w:rFonts w:ascii="Calibri" w:hAnsi="Calibri"/>
                <w:color w:val="475569"/>
                <w:sz w:val="17"/>
              </w:rPr>
              <w:t>[Naam]</w:t>
            </w:r>
          </w:p>
        </w:tc>
      </w:tr>
    </w:tbl>
    <w:p>
      <w:pPr>
        <w:spacing w:before="160" w:after="160"/>
      </w:pPr>
    </w:p>
    <w:p>
      <w:r>
        <w:t>Goedkeuring</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0F172A" w:val="clear"/>
          </w:tcPr>
          <w:p>
            <w:r/>
            <w:r>
              <w:rPr>
                <w:rFonts w:ascii="Calibri" w:hAnsi="Calibri"/>
                <w:b/>
                <w:color w:val="FFFFFF"/>
                <w:sz w:val="17"/>
              </w:rPr>
            </w:r>
          </w:p>
        </w:tc>
        <w:tc>
          <w:tcPr>
            <w:tcW w:type="dxa" w:w="1881"/>
            <w:shd w:fill="0F172A" w:val="clear"/>
          </w:tcPr>
          <w:p>
            <w:r/>
            <w:r>
              <w:rPr>
                <w:rFonts w:ascii="Calibri" w:hAnsi="Calibri"/>
                <w:b/>
                <w:color w:val="FFFFFF"/>
                <w:sz w:val="17"/>
              </w:rPr>
              <w:t>Naam</w:t>
            </w:r>
          </w:p>
        </w:tc>
        <w:tc>
          <w:tcPr>
            <w:tcW w:type="dxa" w:w="1881"/>
            <w:shd w:fill="0F172A" w:val="clear"/>
          </w:tcPr>
          <w:p>
            <w:r/>
            <w:r>
              <w:rPr>
                <w:rFonts w:ascii="Calibri" w:hAnsi="Calibri"/>
                <w:b/>
                <w:color w:val="FFFFFF"/>
                <w:sz w:val="17"/>
              </w:rPr>
              <w:t>Functie</w:t>
            </w:r>
          </w:p>
        </w:tc>
        <w:tc>
          <w:tcPr>
            <w:tcW w:type="dxa" w:w="1881"/>
            <w:shd w:fill="0F172A" w:val="clear"/>
          </w:tcPr>
          <w:p>
            <w:r/>
            <w:r>
              <w:rPr>
                <w:rFonts w:ascii="Calibri" w:hAnsi="Calibri"/>
                <w:b/>
                <w:color w:val="FFFFFF"/>
                <w:sz w:val="17"/>
              </w:rPr>
              <w:t>Handtekening</w:t>
            </w:r>
          </w:p>
        </w:tc>
        <w:tc>
          <w:tcPr>
            <w:tcW w:type="dxa" w:w="1881"/>
            <w:shd w:fill="0F172A" w:val="clear"/>
          </w:tcPr>
          <w:p>
            <w:r/>
            <w:r>
              <w:rPr>
                <w:rFonts w:ascii="Calibri" w:hAnsi="Calibri"/>
                <w:b/>
                <w:color w:val="FFFFFF"/>
                <w:sz w:val="17"/>
              </w:rPr>
              <w:t>Datum</w:t>
            </w:r>
          </w:p>
        </w:tc>
      </w:tr>
      <w:tr>
        <w:tc>
          <w:tcPr>
            <w:tcW w:type="dxa" w:w="1881"/>
          </w:tcPr>
          <w:p>
            <w:r/>
            <w:r>
              <w:rPr>
                <w:rFonts w:ascii="Calibri" w:hAnsi="Calibri"/>
                <w:color w:val="475569"/>
                <w:sz w:val="17"/>
              </w:rPr>
              <w:t>Opgesteld door</w:t>
            </w:r>
          </w:p>
        </w:tc>
        <w:tc>
          <w:tcPr>
            <w:tcW w:type="dxa" w:w="1881"/>
          </w:tcPr>
          <w:p>
            <w:r/>
            <w:r>
              <w:rPr>
                <w:rFonts w:ascii="Calibri" w:hAnsi="Calibri"/>
                <w:color w:val="475569"/>
                <w:sz w:val="17"/>
              </w:rPr>
              <w:t>[Naam]</w:t>
            </w:r>
          </w:p>
        </w:tc>
        <w:tc>
          <w:tcPr>
            <w:tcW w:type="dxa" w:w="1881"/>
          </w:tcPr>
          <w:p>
            <w:r/>
            <w:r>
              <w:rPr>
                <w:rFonts w:ascii="Calibri" w:hAnsi="Calibri"/>
                <w:color w:val="475569"/>
                <w:sz w:val="17"/>
              </w:rPr>
              <w:t>[CISO / ISM]</w:t>
            </w:r>
          </w:p>
        </w:tc>
        <w:tc>
          <w:tcPr>
            <w:tcW w:type="dxa" w:w="1881"/>
          </w:tcPr>
          <w:p>
            <w:r/>
            <w:r>
              <w:rPr>
                <w:rFonts w:ascii="Calibri" w:hAnsi="Calibri"/>
                <w:color w:val="475569"/>
                <w:sz w:val="17"/>
              </w:rPr>
            </w:r>
          </w:p>
        </w:tc>
        <w:tc>
          <w:tcPr>
            <w:tcW w:type="dxa" w:w="1881"/>
          </w:tcPr>
          <w:p>
            <w:r/>
            <w:r>
              <w:rPr>
                <w:rFonts w:ascii="Calibri" w:hAnsi="Calibri"/>
                <w:color w:val="475569"/>
                <w:sz w:val="17"/>
              </w:rPr>
              <w:t>[Datum]</w:t>
            </w:r>
          </w:p>
        </w:tc>
      </w:tr>
      <w:tr>
        <w:tc>
          <w:tcPr>
            <w:tcW w:type="dxa" w:w="1881"/>
            <w:shd w:fill="F8FAFC" w:val="clear"/>
          </w:tcPr>
          <w:p>
            <w:r/>
            <w:r>
              <w:rPr>
                <w:rFonts w:ascii="Calibri" w:hAnsi="Calibri"/>
                <w:color w:val="475569"/>
                <w:sz w:val="17"/>
              </w:rPr>
              <w:t>Goedgekeurd door</w:t>
            </w:r>
          </w:p>
        </w:tc>
        <w:tc>
          <w:tcPr>
            <w:tcW w:type="dxa" w:w="1881"/>
            <w:shd w:fill="F8FAFC" w:val="clear"/>
          </w:tcPr>
          <w:p>
            <w:r/>
            <w:r>
              <w:rPr>
                <w:rFonts w:ascii="Calibri" w:hAnsi="Calibri"/>
                <w:color w:val="475569"/>
                <w:sz w:val="17"/>
              </w:rPr>
              <w:t>[Naam]</w:t>
            </w:r>
          </w:p>
        </w:tc>
        <w:tc>
          <w:tcPr>
            <w:tcW w:type="dxa" w:w="1881"/>
            <w:shd w:fill="F8FAFC" w:val="clear"/>
          </w:tcPr>
          <w:p>
            <w:r/>
            <w:r>
              <w:rPr>
                <w:rFonts w:ascii="Calibri" w:hAnsi="Calibri"/>
                <w:color w:val="475569"/>
                <w:sz w:val="17"/>
              </w:rPr>
              <w:t>[Directeur / Bestuurder]</w:t>
            </w:r>
          </w:p>
        </w:tc>
        <w:tc>
          <w:tcPr>
            <w:tcW w:type="dxa" w:w="1881"/>
            <w:shd w:fill="F8FAFC" w:val="clear"/>
          </w:tcPr>
          <w:p>
            <w:r/>
            <w:r>
              <w:rPr>
                <w:rFonts w:ascii="Calibri" w:hAnsi="Calibri"/>
                <w:color w:val="475569"/>
                <w:sz w:val="17"/>
              </w:rPr>
            </w:r>
          </w:p>
        </w:tc>
        <w:tc>
          <w:tcPr>
            <w:tcW w:type="dxa" w:w="1881"/>
            <w:shd w:fill="F8FAFC" w:val="clear"/>
          </w:tcPr>
          <w:p>
            <w:r/>
            <w:r>
              <w:rPr>
                <w:rFonts w:ascii="Calibri" w:hAnsi="Calibri"/>
                <w:color w:val="475569"/>
                <w:sz w:val="17"/>
              </w:rPr>
              <w:t>[Datum]</w:t>
            </w:r>
          </w:p>
        </w:tc>
      </w:tr>
    </w:tbl>
    <w:p>
      <w:pPr>
        <w:spacing w:before="480"/>
      </w:pPr>
      <w:r>
        <w:rPr>
          <w:color w:val="94A3B8"/>
          <w:sz w:val="14"/>
        </w:rPr>
        <w:t>© 2026 Annex27 — annex27.nl — Alle rechten voorbehouden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7556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