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28"/>
        </w:rPr>
        <w:t>annex</w:t>
      </w:r>
      <w:r>
        <w:rPr>
          <w:rFonts w:ascii="Calibri" w:hAnsi="Calibri"/>
          <w:b/>
          <w:color w:val="0D9488"/>
          <w:sz w:val="28"/>
        </w:rPr>
        <w:t>27</w:t>
      </w:r>
      <w:r>
        <w:rPr>
          <w:rFonts w:ascii="Calibri" w:hAnsi="Calibri"/>
          <w:color w:val="94A3B8"/>
          <w:sz w:val="16"/>
        </w:rPr>
        <w:t xml:space="preserve">    ISO 27001:2022 Beleidspakket</w:t>
      </w:r>
    </w:p>
    <w:p>
      <w:pPr>
        <w:spacing w:before="0" w:after="320"/>
        <w:pBdr>
          <w:bottom w:val="single" w:sz="12" w:space="1" w:color="0D9488"/>
        </w:pBdr>
      </w:pPr>
    </w:p>
    <w:p>
      <w:pPr>
        <w:pStyle w:val="Heading1"/>
      </w:pPr>
      <w:r>
        <w:t>Informatiebeveiligingsdoelstellingen</w:t>
      </w:r>
    </w:p>
    <w:p>
      <w:r>
        <w:t>ISO 27001:2022 — Clause 6.2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Documentnummer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ISMS-003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Versie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1.0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Classificatie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Intern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Eigenaar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 CISO / Verantwoordelijke]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Goedgekeurd door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 Directie]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Datum goedkeuring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Volgende review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</w:tr>
    </w:tbl>
    <w:p>
      <w:pPr>
        <w:spacing w:before="160" w:after="160"/>
      </w:pPr>
    </w:p>
    <w:p>
      <w:pPr>
        <w:pStyle w:val="Heading2"/>
      </w:pPr>
      <w:r>
        <w:t>1. Doel</w:t>
      </w:r>
    </w:p>
    <w:p>
      <w:r>
        <w:t>Dit document beschrijft de meetbare informatiebeveiligingsdoelstellingen van [Organisatienaam]. Deze doelstellingen zijn afgeleid van het Informatiebeveiligingsbeleid (ISMS-002) en de resultaten van de risicobeoordeling. Ze worden periodiek geëvalueerd tijdens de managementreview.</w:t>
      </w:r>
    </w:p>
    <w:p>
      <w:pPr>
        <w:pStyle w:val="Heading2"/>
      </w:pPr>
      <w:r>
        <w:t>2. Eisen aan doelstellingen (Clause 6.2)</w:t>
      </w:r>
    </w:p>
    <w:p>
      <w:r>
        <w:t>Alle doelstellingen voldoen aan de volgende eisen:</w:t>
      </w:r>
    </w:p>
    <w:p>
      <w:pPr>
        <w:pStyle w:val="ListBullet"/>
      </w:pPr>
      <w:r>
        <w:t>Zijn consistent met het informatiebeveiligingsbeleid</w:t>
      </w:r>
    </w:p>
    <w:p>
      <w:pPr>
        <w:pStyle w:val="ListBullet"/>
      </w:pPr>
      <w:r>
        <w:t>Zijn meetbaar (of evalueerbaar)</w:t>
      </w:r>
    </w:p>
    <w:p>
      <w:pPr>
        <w:pStyle w:val="ListBullet"/>
      </w:pPr>
      <w:r>
        <w:t>Houden rekening met informatiebeveiligingseisen en risicobeoordelingsresultaten</w:t>
      </w:r>
    </w:p>
    <w:p>
      <w:pPr>
        <w:pStyle w:val="ListBullet"/>
      </w:pPr>
      <w:r>
        <w:t>Worden gecommuniceerd aan relevante betrokkenen</w:t>
      </w:r>
    </w:p>
    <w:p>
      <w:pPr>
        <w:pStyle w:val="ListBullet"/>
      </w:pPr>
      <w:r>
        <w:t>Worden periodiek geëvalueerd en geactualiseerd</w:t>
      </w:r>
    </w:p>
    <w:p>
      <w:pPr>
        <w:pStyle w:val="Heading2"/>
      </w:pPr>
      <w:r>
        <w:t>3. Doelstellingen [Jaar]</w:t>
      </w:r>
    </w:p>
    <w:p>
      <w:pPr>
        <w:pStyle w:val="Heading3"/>
      </w:pPr>
      <w:r>
        <w:t>3.1 Bewustwording &amp; Cultuur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Doelstelling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Minimaal 95% van alle medewerkers heeft de jaarlijkse awareness-training afgerond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Meetmethode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Trainingsregistratie / LMS-rapportage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Verantwoordelijke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[CISO / HR]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Deadline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Status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[Niet gestart / In uitvoering / Behaald]</w:t>
            </w:r>
          </w:p>
        </w:tc>
      </w:tr>
    </w:tbl>
    <w:p>
      <w:pPr>
        <w:pStyle w:val="Heading3"/>
      </w:pPr>
      <w:r>
        <w:t>3.2 Incidentmanagement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Doelstelling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Alle beveiligingsincidenten worden binnen 4 uur na detectie geëscaleerd volgens het Incident Response Plan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Meetmethode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Incidentregistratie — tijdstip detectie vs. tijdstip escalatie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Verantwoordelijke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[CISO / IT-beheer]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Deadline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Doorlopend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Status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[Niet gestart / In uitvoering / Behaald]</w:t>
            </w:r>
          </w:p>
        </w:tc>
      </w:tr>
    </w:tbl>
    <w:p>
      <w:pPr>
        <w:pStyle w:val="Heading3"/>
      </w:pPr>
      <w:r>
        <w:t>3.3 Toegangsbeveiliging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Doelstelling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100% van de bedrijfskritische applicaties is beveiligd met multi-factor authenticatie (MFA)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Meetmethode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Inventarisatie applicaties + MFA-status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Verantwoordelijke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[IT-beheer]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Deadline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Status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[Niet gestart / In uitvoering / Behaald]</w:t>
            </w:r>
          </w:p>
        </w:tc>
      </w:tr>
    </w:tbl>
    <w:p>
      <w:pPr>
        <w:pStyle w:val="Heading3"/>
      </w:pPr>
      <w:r>
        <w:t>3.4 Kwetsbaarheidsbeheer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Doelstelling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Kritieke kwetsbaarheden worden binnen 14 dagen na publicatie gepatcht; hoge kwetsbaarheden binnen 30 dagen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Meetmethode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Vulnerability scan rapportages — datum publicatie vs. datum patch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Verantwoordelijke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[IT-beheer]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Deadline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Doorlopend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Status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[Niet gestart / In uitvoering / Behaald]</w:t>
            </w:r>
          </w:p>
        </w:tc>
      </w:tr>
    </w:tbl>
    <w:p>
      <w:pPr>
        <w:pStyle w:val="Heading3"/>
      </w:pPr>
      <w:r>
        <w:t>3.5 Leveranciersbeveiliging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Doelstelling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Alle leveranciers met toegang tot vertrouwelijke informatie zijn beoordeeld op beveiligingsvolwassenheid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Meetmethode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Leveranciersregister — percentage beoordeeld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Verantwoordelijke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[CISO / Inkoop]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Deadline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Status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[Niet gestart / In uitvoering / Behaald]</w:t>
            </w:r>
          </w:p>
        </w:tc>
      </w:tr>
    </w:tbl>
    <w:p>
      <w:pPr>
        <w:pStyle w:val="Heading3"/>
      </w:pPr>
      <w:r>
        <w:t>3.6 Business Continuity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Doelstelling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Het Business Continuity Plan wordt minimaal 1x per jaar getest en de testresultaten worden gedocumenteerd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Meetmethode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Testrapport met datum, scope, resultaten en verbeterpunten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Verantwoordelijke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[CISO / IT-beheer]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Deadline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Status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[Niet gestart / In uitvoering / Behaald]</w:t>
            </w:r>
          </w:p>
        </w:tc>
      </w:tr>
    </w:tbl>
    <w:p>
      <w:pPr>
        <w:pStyle w:val="Heading3"/>
      </w:pPr>
      <w:r>
        <w:t>3.7 Compliance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Doelstelling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Nul kritieke non-conformiteiten bij de jaarlijkse interne audit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Meetmethode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Interne auditrapportage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Verantwoordelijke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[CISO]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Deadline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Status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[Niet gestart / In uitvoering / Behaald]</w:t>
            </w:r>
          </w:p>
        </w:tc>
      </w:tr>
    </w:tbl>
    <w:p>
      <w:pPr>
        <w:pStyle w:val="Heading2"/>
      </w:pPr>
      <w:r>
        <w:t>4. Monitoring en rapportage</w:t>
      </w:r>
    </w:p>
    <w:p>
      <w:pPr>
        <w:pStyle w:val="ListBullet"/>
      </w:pPr>
      <w:r>
        <w:t>Doelstellingen worden kwartaallijks gemonitord door [CISO / Verantwoordelijke]</w:t>
      </w:r>
    </w:p>
    <w:p>
      <w:pPr>
        <w:pStyle w:val="ListBullet"/>
      </w:pPr>
      <w:r>
        <w:t>Voortgang wordt gerapporteerd in de managementreview (minimaal jaarlijks)</w:t>
      </w:r>
    </w:p>
    <w:p>
      <w:pPr>
        <w:pStyle w:val="ListBullet"/>
      </w:pPr>
      <w:r>
        <w:t>Bij significante afwijkingen wordt een correctieve maatregel geïnitieerd</w:t>
      </w:r>
    </w:p>
    <w:p>
      <w:pPr>
        <w:pStyle w:val="Heading2"/>
      </w:pPr>
      <w:r>
        <w:t>5. Evaluatie en bijstelling</w:t>
      </w:r>
    </w:p>
    <w:p>
      <w:r>
        <w:t>Doelstellingen worden minimaal jaarlijks geëvalueerd op relevantie en haalbaarheid. Bijstelling vindt plaats op basis van:</w:t>
      </w:r>
    </w:p>
    <w:p>
      <w:pPr>
        <w:pStyle w:val="ListBullet"/>
      </w:pPr>
      <w:r>
        <w:t>Resultaten van de risicobeoordeling</w:t>
      </w:r>
    </w:p>
    <w:p>
      <w:pPr>
        <w:pStyle w:val="ListBullet"/>
      </w:pPr>
      <w:r>
        <w:t>Bevindingen uit interne en externe audits</w:t>
      </w:r>
    </w:p>
    <w:p>
      <w:pPr>
        <w:pStyle w:val="ListBullet"/>
      </w:pPr>
      <w:r>
        <w:t>Veranderingen in de organisatie, technologie of wet- en regelgeving</w:t>
      </w:r>
    </w:p>
    <w:p>
      <w:pPr>
        <w:pStyle w:val="ListBullet"/>
      </w:pPr>
      <w:r>
        <w:t>Incidentanalyses en lessons learned</w:t>
      </w:r>
    </w:p>
    <w:p>
      <w:pPr>
        <w:pStyle w:val="Heading2"/>
      </w:pPr>
      <w:r>
        <w:t>6. Versiebeheer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Versie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Datum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Wijziging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Auteur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1.0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Initiële versie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[Naam]</w:t>
            </w:r>
          </w:p>
        </w:tc>
      </w:tr>
    </w:tbl>
    <w:p>
      <w:pPr>
        <w:spacing w:before="480"/>
      </w:pPr>
      <w:r>
        <w:rPr>
          <w:color w:val="94A3B8"/>
          <w:sz w:val="14"/>
        </w:rPr>
        <w:t>© 2026 Annex27 — annex27.nl — Alle rechten voorbehouden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47556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D948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