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/>
          <w:b/>
          <w:color w:val="0F172A"/>
          <w:sz w:val="28"/>
        </w:rPr>
        <w:t>annex</w:t>
      </w:r>
      <w:r>
        <w:rPr>
          <w:rFonts w:ascii="Calibri" w:hAnsi="Calibri"/>
          <w:b/>
          <w:color w:val="0D9488"/>
          <w:sz w:val="28"/>
        </w:rPr>
        <w:t>27</w:t>
      </w:r>
      <w:r>
        <w:rPr>
          <w:rFonts w:ascii="Calibri" w:hAnsi="Calibri"/>
          <w:color w:val="94A3B8"/>
          <w:sz w:val="16"/>
        </w:rPr>
        <w:t xml:space="preserve">    ISO 27001:2022 Beleidspakket</w:t>
      </w:r>
    </w:p>
    <w:p>
      <w:pPr>
        <w:spacing w:before="0" w:after="320"/>
        <w:pBdr>
          <w:bottom w:val="single" w:sz="12" w:space="1" w:color="0D9488"/>
        </w:pBdr>
      </w:pPr>
    </w:p>
    <w:p>
      <w:pPr>
        <w:pStyle w:val="Heading1"/>
      </w:pPr>
      <w:r>
        <w:t>Statement of Applicability (SoA)</w:t>
      </w:r>
    </w:p>
    <w:p>
      <w:r>
        <w:t>ISO 27001:2022 — Clause 6.1.3d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  <w:tc>
          <w:tcPr>
            <w:tcW w:type="dxa" w:w="4703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Documentnummer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ISMS-006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Versie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Vertrouwelijk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Eigenaar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CISO / Verantwoordelijke]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Goedgekeurd door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 Directie]</w:t>
            </w:r>
          </w:p>
        </w:tc>
      </w:tr>
      <w:tr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Datum goedkeuring</w:t>
            </w:r>
          </w:p>
        </w:tc>
        <w:tc>
          <w:tcPr>
            <w:tcW w:type="dxa" w:w="4703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  <w:tr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Volgende review</w:t>
            </w:r>
          </w:p>
        </w:tc>
        <w:tc>
          <w:tcPr>
            <w:tcW w:type="dxa" w:w="4703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</w:tr>
    </w:tbl>
    <w:p>
      <w:pPr>
        <w:spacing w:before="160" w:after="160"/>
      </w:pPr>
    </w:p>
    <w:p>
      <w:pPr>
        <w:pStyle w:val="Heading2"/>
      </w:pPr>
      <w:r>
        <w:t>1. Doel</w:t>
      </w:r>
    </w:p>
    <w:p>
      <w:r>
        <w:t>De Statement of Applicability (SoA) geeft een overzicht van alle 93 Annex A controls uit ISO 27001:2022. Per control is vastgelegd of deze van toepassing is, wat de implementatiestatus is, en waar de onderbouwing te vinden is.</w:t>
      </w:r>
    </w:p>
    <w:p>
      <w:pPr>
        <w:pStyle w:val="Heading2"/>
      </w:pPr>
      <w:r>
        <w:t>2. Toelichting kolommen</w:t>
      </w:r>
    </w:p>
    <w:p>
      <w:pPr>
        <w:pStyle w:val="ListBullet"/>
      </w:pPr>
      <w:r>
        <w:t>Van toepassing: Ja/Nee — gebaseerd op de risicobeoordeling en organisatiecontext</w:t>
      </w:r>
    </w:p>
    <w:p>
      <w:pPr>
        <w:pStyle w:val="ListBullet"/>
      </w:pPr>
      <w:r>
        <w:t>Onderbouwing uitsluiting: Bij "Nee" — waarom de control niet van toepassing is</w:t>
      </w:r>
    </w:p>
    <w:p>
      <w:pPr>
        <w:pStyle w:val="ListBullet"/>
      </w:pPr>
      <w:r>
        <w:t>Implementatiestatus: Volledig / Gedeeltelijk / Gepland / Niet gestart</w:t>
      </w:r>
    </w:p>
    <w:p>
      <w:pPr>
        <w:pStyle w:val="ListBullet"/>
      </w:pPr>
      <w:r>
        <w:t>Referentie: Verwijzing naar beleidsdocument of procedure</w:t>
      </w:r>
    </w:p>
    <w:p>
      <w:pPr>
        <w:pStyle w:val="Heading2"/>
      </w:pPr>
      <w:r>
        <w:t>3. Annex A Controls</w:t>
      </w:r>
    </w:p>
    <w:p>
      <w:pPr>
        <w:pStyle w:val="Heading3"/>
      </w:pPr>
      <w:r>
        <w:t>A.5 Organisatorische maatregelen (37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Van toepassing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Onderbouwing / Referentie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Beleid voor informatiebeveiliging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ISMS-002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Rollen en verantwoordelijkheden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 van taken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Managementverantwoordelijkheden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 met autoriteiten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Contact met speciale belangengroepen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Threat intelligence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 in projectmanagement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Inventarisatie van informatie en assets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ISMS-008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Acceptabel gebruik van informatie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ISMS-011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Teruggave van assets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Classificatie van informatie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ISMS-014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Labeling van informatie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ISMS-014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Informatieoverdracht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Toegangsbeveiliging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ISMS-012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Identiteitsbeheer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Authenticatie-informatie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ISMS-013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Toegangsrechten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A.5.19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 in leveranciersrelaties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Adressering van IB in leveranciersovereenkomsten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Beheer van IB in de ICT-toeleveringsketen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 en review van leveranciersdiensten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Informatiebeveiliging voor gebruik van clouddiensten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Planning incidentmanagement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Beoordeling en besluitvorming over IB-gebeurtenissen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Respons op IB-incidenten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Leren van IB-incidenten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Verzameling van bewijsmateriaal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A.5.29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IB tijdens verstoring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ISMS-020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ICT-gereedheid voor bedrijfscontinuïteit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ISMS-020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Wettelijke, statutaire en contractuele eisen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Intellectuele eigendomsrechten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van registraties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Privacy en bescherming van PII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Onafhankelijke beoordeling van IB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Naleving van beleid, regels en normen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A.5.37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Gedocumenteerde bedieningsprocedures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</w:tbl>
    <w:p>
      <w:pPr>
        <w:pStyle w:val="Heading3"/>
      </w:pPr>
      <w:r>
        <w:t>A.6 Persoonsgebonden maatregelen (8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Van toepassing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Onderbouwing / Referentie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Screening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ISMS-009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Arbeidsvoorwaarden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ISMS-009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IB-bewustwording, opleiding en training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ISMS-010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Disciplinair proces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Verantwoordelijkheden bij beëindiging of wijziging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ISMS-009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Geheimhoudingsovereenkomsten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Werken op afstand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A.6.8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Rapportage van IB-gebeurtenissen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ISMS-019</w:t>
            </w:r>
          </w:p>
        </w:tc>
      </w:tr>
    </w:tbl>
    <w:p>
      <w:pPr>
        <w:pStyle w:val="Heading3"/>
      </w:pPr>
      <w:r>
        <w:t>A.7 Fysieke maatregelen (14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Van toepassing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Onderbouwing / Referentie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beveiligingsperimeters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ISMS-015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toegang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ISMS-015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 van kantoren, ruimtes en faciliteiten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ISMS-015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Fysieke beveiligingsmonitoring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tegen fysieke en omgevingsdreigingen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Werken in beveiligde zones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Clear desk en clear screen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ISMS-015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Plaatsing en bescherming van apparatuur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 van assets buiten het terrein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Opslagmedia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Ondersteunende nutsvoorzieningen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 van bekabeling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Onderhoud van apparatuur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A.7.14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Veilige verwijdering of hergebruik van apparatuur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</w:tbl>
    <w:p>
      <w:pPr>
        <w:pStyle w:val="Heading3"/>
      </w:pPr>
      <w:r>
        <w:t>A.8 Technologische maatregelen (34 controls)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Control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Beschrijving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Van toepassing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Status</w:t>
            </w:r>
          </w:p>
        </w:tc>
        <w:tc>
          <w:tcPr>
            <w:tcW w:type="dxa" w:w="188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Onderbouwing / Referentie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Gebruikersapparatuur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Geprivilegieerde toegangsrechten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ISMS-012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Beperking van toegang tot informatie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ISMS-012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Toegang tot broncode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Beveiligde authenticatie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ISMS-013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Capaciteitsbeheer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tegen malware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Beheer van technische kwetsbaarheden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ISMS-017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Configuratiebeheer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Verwijdering van informatie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Datamaskering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Preventie van gegevenslekken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Back-up van informatie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Redundantie van informatieverwerkende faciliteiten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Logging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ISMS-018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Monitoringactiviteiten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ISMS-018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Kloksynchronisatie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 van geprivilegieerde hulpprogramma's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A.8.19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Installatie van software op operationele systemen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Netwerkbeveiliging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 van netwerkdiensten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Segmentatie van netwerken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Webfiltering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Gebruik van cryptografie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Ja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ISMS-016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A.8.25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Levenscyclus van veilige ontwikkeling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A.8.26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Beveiligingseisen voor applicaties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A.8.27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Veilige systeemarchitectuur en technische principes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A.8.28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Veilig coderen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A.8.29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Beveiligingstesten in ontwikkeling en acceptatie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A.8.30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Uitbestede ontwikkeling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A.8.31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Scheiding van ontwikkel-, test- en productieomgevingen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A.8.32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Wijzigingsbeheer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A.8.33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Testinformatie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  <w:tr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A.8.34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Bescherming van informatiesystemen tijdens audittesten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[Ja/Nee]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[Status]</w:t>
            </w:r>
          </w:p>
        </w:tc>
        <w:tc>
          <w:tcPr>
            <w:tcW w:type="dxa" w:w="188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[Ref]</w:t>
            </w:r>
          </w:p>
        </w:tc>
      </w:tr>
    </w:tbl>
    <w:p>
      <w:pPr>
        <w:pStyle w:val="Heading2"/>
      </w:pPr>
      <w:r>
        <w:t>4. Samenvatting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Categorie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Totaal controls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Van toepassing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Uitgesloten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A.5 Organisatorisch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37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A.6 Persoonsgebonden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8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A.7 Fysiek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14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</w:tr>
      <w:tr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A.8 Technologisch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34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2351"/>
            <w:shd w:fill="F8FAFC" w:val="clear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Totaal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93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[Aantal]</w:t>
            </w:r>
          </w:p>
        </w:tc>
      </w:tr>
    </w:tbl>
    <w:p>
      <w:pPr>
        <w:pStyle w:val="Heading2"/>
      </w:pPr>
      <w:r>
        <w:t>5. Versiebeheer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Versie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Datum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Wijziging</w:t>
            </w:r>
          </w:p>
        </w:tc>
        <w:tc>
          <w:tcPr>
            <w:tcW w:type="dxa" w:w="2351"/>
            <w:shd w:fill="0F172A" w:val="clear"/>
          </w:tcPr>
          <w:p>
            <w:r/>
            <w:r>
              <w:rPr>
                <w:rFonts w:ascii="Calibri" w:hAnsi="Calibri"/>
                <w:b/>
                <w:color w:val="FFFFFF"/>
                <w:sz w:val="17"/>
              </w:rPr>
              <w:t>Auteur</w:t>
            </w:r>
          </w:p>
        </w:tc>
      </w:tr>
      <w:tr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1.0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[DD-MM-JJJJ]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Initiële versie</w:t>
            </w:r>
          </w:p>
        </w:tc>
        <w:tc>
          <w:tcPr>
            <w:tcW w:type="dxa" w:w="2351"/>
          </w:tcPr>
          <w:p>
            <w:r/>
            <w:r>
              <w:rPr>
                <w:rFonts w:ascii="Calibri" w:hAnsi="Calibri"/>
                <w:color w:val="475569"/>
                <w:sz w:val="17"/>
              </w:rPr>
              <w:t>[Naam]</w:t>
            </w:r>
          </w:p>
        </w:tc>
      </w:tr>
    </w:tbl>
    <w:p>
      <w:pPr>
        <w:spacing w:before="480"/>
      </w:pPr>
      <w:r>
        <w:rPr>
          <w:color w:val="94A3B8"/>
          <w:sz w:val="14"/>
        </w:rPr>
        <w:t>© 2026 Annex27 — annex27.nl — Alle rechten voorbehouden</w:t>
      </w:r>
    </w:p>
    <w:sectPr w:rsidR="00FC693F" w:rsidRPr="0006063C" w:rsidSect="00034616">
      <w:pgSz w:w="12240" w:h="15840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475569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0F172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172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D948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