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/>
          <w:color w:val="0F172A"/>
          <w:sz w:val="28"/>
        </w:rPr>
        <w:t>annex</w:t>
      </w:r>
      <w:r>
        <w:rPr>
          <w:rFonts w:ascii="Calibri" w:hAnsi="Calibri"/>
          <w:b/>
          <w:color w:val="0D9488"/>
          <w:sz w:val="28"/>
        </w:rPr>
        <w:t>27</w:t>
      </w:r>
      <w:r>
        <w:rPr>
          <w:rFonts w:ascii="Calibri" w:hAnsi="Calibri"/>
          <w:color w:val="94A3B8"/>
          <w:sz w:val="16"/>
        </w:rPr>
        <w:t xml:space="preserve">    ISO 27001:2022 Beleidspakket</w:t>
      </w:r>
    </w:p>
    <w:p>
      <w:pPr>
        <w:spacing w:before="0" w:after="320"/>
        <w:pBdr>
          <w:bottom w:val="single" w:sz="12" w:space="1" w:color="0D9488"/>
        </w:pBdr>
      </w:pPr>
    </w:p>
    <w:p>
      <w:pPr>
        <w:pStyle w:val="Heading1"/>
      </w:pPr>
      <w:r>
        <w:t>Documentbeheerprocedure</w:t>
      </w:r>
    </w:p>
    <w:p>
      <w:r>
        <w:t>ISO 27001:2022 — Clause 7.5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</w:r>
          </w:p>
        </w:tc>
        <w:tc>
          <w:tcPr>
            <w:tcW w:type="dxa" w:w="4703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Documentnummer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ISMS-007</w:t>
            </w:r>
          </w:p>
        </w:tc>
      </w:tr>
      <w:tr>
        <w:tc>
          <w:tcPr>
            <w:tcW w:type="dxa" w:w="4703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Versie</w:t>
            </w:r>
          </w:p>
        </w:tc>
        <w:tc>
          <w:tcPr>
            <w:tcW w:type="dxa" w:w="4703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1.0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Classificatie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Intern</w:t>
            </w:r>
          </w:p>
        </w:tc>
      </w:tr>
      <w:tr>
        <w:tc>
          <w:tcPr>
            <w:tcW w:type="dxa" w:w="4703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Eigenaar</w:t>
            </w:r>
          </w:p>
        </w:tc>
        <w:tc>
          <w:tcPr>
            <w:tcW w:type="dxa" w:w="4703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[Naam CISO / Verantwoordelijke]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Goedgekeurd door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[Naam Directie]</w:t>
            </w:r>
          </w:p>
        </w:tc>
      </w:tr>
      <w:tr>
        <w:tc>
          <w:tcPr>
            <w:tcW w:type="dxa" w:w="4703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Datum goedkeuring</w:t>
            </w:r>
          </w:p>
        </w:tc>
        <w:tc>
          <w:tcPr>
            <w:tcW w:type="dxa" w:w="4703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[DD-MM-JJJJ]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Volgende review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[DD-MM-JJJJ]</w:t>
            </w:r>
          </w:p>
        </w:tc>
      </w:tr>
    </w:tbl>
    <w:p>
      <w:pPr>
        <w:spacing w:before="160" w:after="160"/>
      </w:pPr>
    </w:p>
    <w:p>
      <w:pPr>
        <w:pStyle w:val="Heading2"/>
      </w:pPr>
      <w:r>
        <w:t>1. Doel</w:t>
      </w:r>
    </w:p>
    <w:p>
      <w:r>
        <w:t>Deze procedure beschrijft hoe gedocumenteerde informatie binnen het ISMS van [Organisatienaam] wordt aangemaakt, goedgekeurd, gedistribueerd, gewijzigd, gearchiveerd en vernietigd. Correct documentbeheer is een voorwaarde voor certificering en voorkomt dat verouderde of ongeautoriseerde documenten in omloop zijn.</w:t>
      </w:r>
    </w:p>
    <w:p>
      <w:pPr>
        <w:pStyle w:val="Heading2"/>
      </w:pPr>
      <w:r>
        <w:t>2. Toepassingsgebied</w:t>
      </w:r>
    </w:p>
    <w:p>
      <w:r>
        <w:t>Alle gedocumenteerde informatie die onderdeel uitmaakt van het ISMS, waaronder:</w:t>
      </w:r>
    </w:p>
    <w:p>
      <w:pPr>
        <w:pStyle w:val="ListBullet"/>
      </w:pPr>
      <w:r>
        <w:t>Beleids- en proceduredocumenten</w:t>
      </w:r>
    </w:p>
    <w:p>
      <w:pPr>
        <w:pStyle w:val="ListBullet"/>
      </w:pPr>
      <w:r>
        <w:t>Registraties en logboeken (auditlogs, incidentregistraties, notulen)</w:t>
      </w:r>
    </w:p>
    <w:p>
      <w:pPr>
        <w:pStyle w:val="ListBullet"/>
      </w:pPr>
      <w:r>
        <w:t>Formulieren en templates</w:t>
      </w:r>
    </w:p>
    <w:p>
      <w:pPr>
        <w:pStyle w:val="ListBullet"/>
      </w:pPr>
      <w:r>
        <w:t>Externe documenten die relevant zijn voor het ISMS (normen, wetteksten, contracten)</w:t>
      </w:r>
    </w:p>
    <w:p>
      <w:pPr>
        <w:pStyle w:val="Heading2"/>
      </w:pPr>
      <w:r>
        <w:t>3. Documentstructuur</w:t>
      </w:r>
    </w:p>
    <w:p>
      <w:pPr>
        <w:pStyle w:val="Heading3"/>
      </w:pPr>
      <w:r>
        <w:t>3.1 Hiërarchie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Niveau</w:t>
            </w:r>
          </w:p>
        </w:tc>
        <w:tc>
          <w:tcPr>
            <w:tcW w:type="dxa" w:w="2351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Type</w:t>
            </w:r>
          </w:p>
        </w:tc>
        <w:tc>
          <w:tcPr>
            <w:tcW w:type="dxa" w:w="2351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Beschrijving</w:t>
            </w:r>
          </w:p>
        </w:tc>
        <w:tc>
          <w:tcPr>
            <w:tcW w:type="dxa" w:w="2351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Voorbeeld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1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Beleid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Overkoepelende principes en uitgangspunten, goedgekeurd door directie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Informatiebeveiligingsbeleid</w:t>
            </w:r>
          </w:p>
        </w:tc>
      </w:tr>
      <w:tr>
        <w:tc>
          <w:tcPr>
            <w:tcW w:type="dxa" w:w="2351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2</w:t>
            </w:r>
          </w:p>
        </w:tc>
        <w:tc>
          <w:tcPr>
            <w:tcW w:type="dxa" w:w="2351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Procedure</w:t>
            </w:r>
          </w:p>
        </w:tc>
        <w:tc>
          <w:tcPr>
            <w:tcW w:type="dxa" w:w="2351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Beschrijft hoe een proces wordt uitgevoerd (wie, wat, wanneer)</w:t>
            </w:r>
          </w:p>
        </w:tc>
        <w:tc>
          <w:tcPr>
            <w:tcW w:type="dxa" w:w="2351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Incident Response Plan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3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Werkinstructie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Gedetailleerde stap-voor-stap instructies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Handleiding MFA-configuratie</w:t>
            </w:r>
          </w:p>
        </w:tc>
      </w:tr>
      <w:tr>
        <w:tc>
          <w:tcPr>
            <w:tcW w:type="dxa" w:w="2351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4</w:t>
            </w:r>
          </w:p>
        </w:tc>
        <w:tc>
          <w:tcPr>
            <w:tcW w:type="dxa" w:w="2351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Registratie</w:t>
            </w:r>
          </w:p>
        </w:tc>
        <w:tc>
          <w:tcPr>
            <w:tcW w:type="dxa" w:w="2351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Bewijs van uitgevoerde activiteiten</w:t>
            </w:r>
          </w:p>
        </w:tc>
        <w:tc>
          <w:tcPr>
            <w:tcW w:type="dxa" w:w="2351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Auditrapport, incidentlog</w:t>
            </w:r>
          </w:p>
        </w:tc>
      </w:tr>
    </w:tbl>
    <w:p>
      <w:pPr>
        <w:pStyle w:val="Heading3"/>
      </w:pPr>
      <w:r>
        <w:t>3.2 Documentnummering</w:t>
      </w:r>
    </w:p>
    <w:p>
      <w:r>
        <w:t>Elk ISMS-document krijgt een uniek nummer:</w:t>
      </w:r>
    </w:p>
    <w:p>
      <w:r>
        <w:t>ISMS-[NNN]</w:t>
      </w:r>
    </w:p>
    <w:p>
      <w:pPr>
        <w:pStyle w:val="ListBullet"/>
      </w:pPr>
      <w:r>
        <w:t>ISMS = vaste prefix</w:t>
      </w:r>
    </w:p>
    <w:p>
      <w:pPr>
        <w:pStyle w:val="ListBullet"/>
      </w:pPr>
      <w:r>
        <w:t>NNN = volgnummer (001 t/m 999)</w:t>
      </w:r>
    </w:p>
    <w:p>
      <w:pPr>
        <w:pStyle w:val="Heading3"/>
      </w:pPr>
      <w:r>
        <w:t>3.3 Verplichte metadata</w:t>
      </w:r>
    </w:p>
    <w:p>
      <w:r>
        <w:t>Elk document bevat minimaal: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Veld</w:t>
            </w:r>
          </w:p>
        </w:tc>
        <w:tc>
          <w:tcPr>
            <w:tcW w:type="dxa" w:w="4703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Beschrijving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Documentnummer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Unieke identificatie</w:t>
            </w:r>
          </w:p>
        </w:tc>
      </w:tr>
      <w:tr>
        <w:tc>
          <w:tcPr>
            <w:tcW w:type="dxa" w:w="4703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Versie</w:t>
            </w:r>
          </w:p>
        </w:tc>
        <w:tc>
          <w:tcPr>
            <w:tcW w:type="dxa" w:w="4703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Major.Minor (bijv. 1.0, 1.1, 2.0)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Classificatie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Openbaar / Intern / Vertrouwelijk / Geheim</w:t>
            </w:r>
          </w:p>
        </w:tc>
      </w:tr>
      <w:tr>
        <w:tc>
          <w:tcPr>
            <w:tcW w:type="dxa" w:w="4703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Eigenaar</w:t>
            </w:r>
          </w:p>
        </w:tc>
        <w:tc>
          <w:tcPr>
            <w:tcW w:type="dxa" w:w="4703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Verantwoordelijke voor inhoud en actualiteit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Goedgekeurd door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Naam en functie van goedkeurder</w:t>
            </w:r>
          </w:p>
        </w:tc>
      </w:tr>
      <w:tr>
        <w:tc>
          <w:tcPr>
            <w:tcW w:type="dxa" w:w="4703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Datum goedkeuring</w:t>
            </w:r>
          </w:p>
        </w:tc>
        <w:tc>
          <w:tcPr>
            <w:tcW w:type="dxa" w:w="4703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Datum waarop huidige versie is goedgekeurd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Volgende review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Uiterlijke datum voor herbeoordeling</w:t>
            </w:r>
          </w:p>
        </w:tc>
      </w:tr>
    </w:tbl>
    <w:p>
      <w:pPr>
        <w:pStyle w:val="Heading2"/>
      </w:pPr>
      <w:r>
        <w:t>4. Levenscyclus van documenten</w:t>
      </w:r>
    </w:p>
    <w:p>
      <w:pPr>
        <w:pStyle w:val="Heading3"/>
      </w:pPr>
      <w:r>
        <w:t>4.1 Aanmaken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Stap</w:t>
            </w:r>
          </w:p>
        </w:tc>
        <w:tc>
          <w:tcPr>
            <w:tcW w:type="dxa" w:w="3135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Actie</w:t>
            </w:r>
          </w:p>
        </w:tc>
        <w:tc>
          <w:tcPr>
            <w:tcW w:type="dxa" w:w="3135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Verantwoordelijke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1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Behoefte identificeren (nieuw beleid, procedure of registratie)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CISO / Proceseigenaar</w:t>
            </w:r>
          </w:p>
        </w:tc>
      </w:tr>
      <w:tr>
        <w:tc>
          <w:tcPr>
            <w:tcW w:type="dxa" w:w="3135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2</w:t>
            </w:r>
          </w:p>
        </w:tc>
        <w:tc>
          <w:tcPr>
            <w:tcW w:type="dxa" w:w="3135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Document opstellen volgens template en metadata-eisen</w:t>
            </w:r>
          </w:p>
        </w:tc>
        <w:tc>
          <w:tcPr>
            <w:tcW w:type="dxa" w:w="3135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Auteur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3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Documentnummer toekennen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CISO</w:t>
            </w:r>
          </w:p>
        </w:tc>
      </w:tr>
    </w:tbl>
    <w:p>
      <w:pPr>
        <w:pStyle w:val="Heading3"/>
      </w:pPr>
      <w:r>
        <w:t>4.2 Review en goedkeuring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Documentniveau</w:t>
            </w:r>
          </w:p>
        </w:tc>
        <w:tc>
          <w:tcPr>
            <w:tcW w:type="dxa" w:w="3135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Reviewer</w:t>
            </w:r>
          </w:p>
        </w:tc>
        <w:tc>
          <w:tcPr>
            <w:tcW w:type="dxa" w:w="3135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Goedkeurder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Beleid (niveau 1)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CISO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Directie</w:t>
            </w:r>
          </w:p>
        </w:tc>
      </w:tr>
      <w:tr>
        <w:tc>
          <w:tcPr>
            <w:tcW w:type="dxa" w:w="3135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Procedure (niveau 2)</w:t>
            </w:r>
          </w:p>
        </w:tc>
        <w:tc>
          <w:tcPr>
            <w:tcW w:type="dxa" w:w="3135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Proceseigenaar</w:t>
            </w:r>
          </w:p>
        </w:tc>
        <w:tc>
          <w:tcPr>
            <w:tcW w:type="dxa" w:w="3135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CISO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Werkinstructie (niveau 3)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Teamleider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Proceseigenaar</w:t>
            </w:r>
          </w:p>
        </w:tc>
      </w:tr>
      <w:tr>
        <w:tc>
          <w:tcPr>
            <w:tcW w:type="dxa" w:w="3135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Registratie (niveau 4)</w:t>
            </w:r>
          </w:p>
        </w:tc>
        <w:tc>
          <w:tcPr>
            <w:tcW w:type="dxa" w:w="3135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N.v.t.</w:t>
            </w:r>
          </w:p>
        </w:tc>
        <w:tc>
          <w:tcPr>
            <w:tcW w:type="dxa" w:w="3135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N.v.t. (wordt vastgelegd)</w:t>
            </w:r>
          </w:p>
        </w:tc>
      </w:tr>
    </w:tbl>
    <w:p>
      <w:pPr>
        <w:pStyle w:val="Heading3"/>
      </w:pPr>
      <w:r>
        <w:t>4.3 Distributie en beschikbaarheid</w:t>
      </w:r>
    </w:p>
    <w:p>
      <w:pPr>
        <w:pStyle w:val="ListBullet"/>
      </w:pPr>
      <w:r>
        <w:t>Goedgekeurde documenten worden gepubliceerd op [documentmanagementsysteem / SharePoint / intranet / Annex27 platform]</w:t>
      </w:r>
    </w:p>
    <w:p>
      <w:pPr>
        <w:pStyle w:val="ListBullet"/>
      </w:pPr>
      <w:r>
        <w:t>Medewerkers worden geïnformeerd over nieuwe of gewijzigde documenten via [e-mail / Teams / intranet]</w:t>
      </w:r>
    </w:p>
    <w:p>
      <w:pPr>
        <w:pStyle w:val="ListBullet"/>
      </w:pPr>
      <w:r>
        <w:t>Verouderde versies worden verwijderd uit circulatie of duidelijk gemarkeerd als "VERVALLEN"</w:t>
      </w:r>
    </w:p>
    <w:p>
      <w:pPr>
        <w:pStyle w:val="ListBullet"/>
      </w:pPr>
      <w:r>
        <w:t>Externe partijen ontvangen documenten uitsluitend na goedkeuring door de CISO</w:t>
      </w:r>
    </w:p>
    <w:p>
      <w:pPr>
        <w:pStyle w:val="Heading3"/>
      </w:pPr>
      <w:r>
        <w:t>4.4 Wijzigen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Stap</w:t>
            </w:r>
          </w:p>
        </w:tc>
        <w:tc>
          <w:tcPr>
            <w:tcW w:type="dxa" w:w="4703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Actie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1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Wijzigingsvoorstel indienen bij documenteigenaar</w:t>
            </w:r>
          </w:p>
        </w:tc>
      </w:tr>
      <w:tr>
        <w:tc>
          <w:tcPr>
            <w:tcW w:type="dxa" w:w="4703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2</w:t>
            </w:r>
          </w:p>
        </w:tc>
        <w:tc>
          <w:tcPr>
            <w:tcW w:type="dxa" w:w="4703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Wijziging doorvoeren in het document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3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Versienummer ophogen (minor wijziging: 1.0 → 1.1, major: 1.x → 2.0)</w:t>
            </w:r>
          </w:p>
        </w:tc>
      </w:tr>
      <w:tr>
        <w:tc>
          <w:tcPr>
            <w:tcW w:type="dxa" w:w="4703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4</w:t>
            </w:r>
          </w:p>
        </w:tc>
        <w:tc>
          <w:tcPr>
            <w:tcW w:type="dxa" w:w="4703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Versiebeheer-tabel bijwerken met beschrijving van de wijziging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5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Review en goedkeuring doorlopen (zelfde procedure als nieuw document)</w:t>
            </w:r>
          </w:p>
        </w:tc>
      </w:tr>
      <w:tr>
        <w:tc>
          <w:tcPr>
            <w:tcW w:type="dxa" w:w="4703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6</w:t>
            </w:r>
          </w:p>
        </w:tc>
        <w:tc>
          <w:tcPr>
            <w:tcW w:type="dxa" w:w="4703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Vorige versie archiveren, nieuwe versie publiceren</w:t>
            </w:r>
          </w:p>
        </w:tc>
      </w:tr>
    </w:tbl>
    <w:p>
      <w:pPr>
        <w:pStyle w:val="Heading3"/>
      </w:pPr>
      <w:r>
        <w:t>4.5 Archiveren</w:t>
      </w:r>
    </w:p>
    <w:p>
      <w:pPr>
        <w:pStyle w:val="ListBullet"/>
      </w:pPr>
      <w:r>
        <w:t>Vervallen versies worden gearchiveerd en bewaard voor minimaal 3 jaar (of langer indien wettelijk vereist)</w:t>
      </w:r>
    </w:p>
    <w:p>
      <w:pPr>
        <w:pStyle w:val="ListBullet"/>
      </w:pPr>
      <w:r>
        <w:t>Gearchiveerde documenten zijn alleen toegankelijk voor de CISO en auditors</w:t>
      </w:r>
    </w:p>
    <w:p>
      <w:pPr>
        <w:pStyle w:val="ListBullet"/>
      </w:pPr>
      <w:r>
        <w:t>Archief is beschermd tegen ongeautoriseerde wijziging of verwijdering</w:t>
      </w:r>
    </w:p>
    <w:p>
      <w:pPr>
        <w:pStyle w:val="Heading3"/>
      </w:pPr>
      <w:r>
        <w:t>4.6 Vernietigen</w:t>
      </w:r>
    </w:p>
    <w:p>
      <w:pPr>
        <w:pStyle w:val="ListBullet"/>
      </w:pPr>
      <w:r>
        <w:t>Documenten worden vernietigd na afloop van de bewaartermijn</w:t>
      </w:r>
    </w:p>
    <w:p>
      <w:pPr>
        <w:pStyle w:val="ListBullet"/>
      </w:pPr>
      <w:r>
        <w:t>Vertrouwelijke en geheime documenten worden veilig vernietigd (digitaal: permanent verwijderen; fysiek: versnipperen)</w:t>
      </w:r>
    </w:p>
    <w:p>
      <w:pPr>
        <w:pStyle w:val="ListBullet"/>
      </w:pPr>
      <w:r>
        <w:t>Vernietiging wordt geregistreerd</w:t>
      </w:r>
    </w:p>
    <w:p>
      <w:pPr>
        <w:pStyle w:val="Heading2"/>
      </w:pPr>
      <w:r>
        <w:t>5. Beheer van externe documenten</w:t>
      </w:r>
    </w:p>
    <w:p>
      <w:r>
        <w:t>Externe documenten die relevant zijn voor het ISMS (bijv. normen, wetteksten, contracten) worden:</w:t>
      </w:r>
    </w:p>
    <w:p>
      <w:pPr>
        <w:pStyle w:val="ListBullet"/>
      </w:pPr>
      <w:r>
        <w:t>Geregistreerd in de documentenlijst</w:t>
      </w:r>
    </w:p>
    <w:p>
      <w:pPr>
        <w:pStyle w:val="ListBullet"/>
      </w:pPr>
      <w:r>
        <w:t>Periodiek gecontroleerd op actualiteit</w:t>
      </w:r>
    </w:p>
    <w:p>
      <w:pPr>
        <w:pStyle w:val="ListBullet"/>
      </w:pPr>
      <w:r>
        <w:t>Beschikbaar gesteld aan relevante medewerkers</w:t>
      </w:r>
    </w:p>
    <w:p>
      <w:pPr>
        <w:pStyle w:val="Heading2"/>
      </w:pPr>
      <w:r>
        <w:t>6. Documentenregister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176"/>
        <w:gridCol w:w="1176"/>
        <w:gridCol w:w="1176"/>
        <w:gridCol w:w="1176"/>
        <w:gridCol w:w="1176"/>
        <w:gridCol w:w="1176"/>
        <w:gridCol w:w="1176"/>
        <w:gridCol w:w="1176"/>
      </w:tblGrid>
      <w:tr>
        <w:tc>
          <w:tcPr>
            <w:tcW w:type="dxa" w:w="1176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Nr</w:t>
            </w:r>
          </w:p>
        </w:tc>
        <w:tc>
          <w:tcPr>
            <w:tcW w:type="dxa" w:w="1176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Documentnaam</w:t>
            </w:r>
          </w:p>
        </w:tc>
        <w:tc>
          <w:tcPr>
            <w:tcW w:type="dxa" w:w="1176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Versie</w:t>
            </w:r>
          </w:p>
        </w:tc>
        <w:tc>
          <w:tcPr>
            <w:tcW w:type="dxa" w:w="1176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Eigenaar</w:t>
            </w:r>
          </w:p>
        </w:tc>
        <w:tc>
          <w:tcPr>
            <w:tcW w:type="dxa" w:w="1176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Goedgekeurd</w:t>
            </w:r>
          </w:p>
        </w:tc>
        <w:tc>
          <w:tcPr>
            <w:tcW w:type="dxa" w:w="1176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Volgende review</w:t>
            </w:r>
          </w:p>
        </w:tc>
        <w:tc>
          <w:tcPr>
            <w:tcW w:type="dxa" w:w="1176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Classificatie</w:t>
            </w:r>
          </w:p>
        </w:tc>
        <w:tc>
          <w:tcPr>
            <w:tcW w:type="dxa" w:w="1176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Locatie</w:t>
            </w:r>
          </w:p>
        </w:tc>
      </w:tr>
      <w:tr>
        <w:tc>
          <w:tcPr>
            <w:tcW w:type="dxa" w:w="1176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ISMS-001</w:t>
            </w:r>
          </w:p>
        </w:tc>
        <w:tc>
          <w:tcPr>
            <w:tcW w:type="dxa" w:w="1176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ISMS Scope Document</w:t>
            </w:r>
          </w:p>
        </w:tc>
        <w:tc>
          <w:tcPr>
            <w:tcW w:type="dxa" w:w="1176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1.0</w:t>
            </w:r>
          </w:p>
        </w:tc>
        <w:tc>
          <w:tcPr>
            <w:tcW w:type="dxa" w:w="1176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[Naam]</w:t>
            </w:r>
          </w:p>
        </w:tc>
        <w:tc>
          <w:tcPr>
            <w:tcW w:type="dxa" w:w="1176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[Datum]</w:t>
            </w:r>
          </w:p>
        </w:tc>
        <w:tc>
          <w:tcPr>
            <w:tcW w:type="dxa" w:w="1176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[Datum]</w:t>
            </w:r>
          </w:p>
        </w:tc>
        <w:tc>
          <w:tcPr>
            <w:tcW w:type="dxa" w:w="1176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Intern</w:t>
            </w:r>
          </w:p>
        </w:tc>
        <w:tc>
          <w:tcPr>
            <w:tcW w:type="dxa" w:w="1176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[Locatie]</w:t>
            </w:r>
          </w:p>
        </w:tc>
      </w:tr>
      <w:tr>
        <w:tc>
          <w:tcPr>
            <w:tcW w:type="dxa" w:w="1176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ISMS-002</w:t>
            </w:r>
          </w:p>
        </w:tc>
        <w:tc>
          <w:tcPr>
            <w:tcW w:type="dxa" w:w="1176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Informatiebeveiligingsbeleid</w:t>
            </w:r>
          </w:p>
        </w:tc>
        <w:tc>
          <w:tcPr>
            <w:tcW w:type="dxa" w:w="1176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1.0</w:t>
            </w:r>
          </w:p>
        </w:tc>
        <w:tc>
          <w:tcPr>
            <w:tcW w:type="dxa" w:w="1176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[Naam]</w:t>
            </w:r>
          </w:p>
        </w:tc>
        <w:tc>
          <w:tcPr>
            <w:tcW w:type="dxa" w:w="1176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[Datum]</w:t>
            </w:r>
          </w:p>
        </w:tc>
        <w:tc>
          <w:tcPr>
            <w:tcW w:type="dxa" w:w="1176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[Datum]</w:t>
            </w:r>
          </w:p>
        </w:tc>
        <w:tc>
          <w:tcPr>
            <w:tcW w:type="dxa" w:w="1176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Intern</w:t>
            </w:r>
          </w:p>
        </w:tc>
        <w:tc>
          <w:tcPr>
            <w:tcW w:type="dxa" w:w="1176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[Locatie]</w:t>
            </w:r>
          </w:p>
        </w:tc>
      </w:tr>
      <w:tr>
        <w:tc>
          <w:tcPr>
            <w:tcW w:type="dxa" w:w="1176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...</w:t>
            </w:r>
          </w:p>
        </w:tc>
        <w:tc>
          <w:tcPr>
            <w:tcW w:type="dxa" w:w="1176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...</w:t>
            </w:r>
          </w:p>
        </w:tc>
        <w:tc>
          <w:tcPr>
            <w:tcW w:type="dxa" w:w="1176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...</w:t>
            </w:r>
          </w:p>
        </w:tc>
        <w:tc>
          <w:tcPr>
            <w:tcW w:type="dxa" w:w="1176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...</w:t>
            </w:r>
          </w:p>
        </w:tc>
        <w:tc>
          <w:tcPr>
            <w:tcW w:type="dxa" w:w="1176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...</w:t>
            </w:r>
          </w:p>
        </w:tc>
        <w:tc>
          <w:tcPr>
            <w:tcW w:type="dxa" w:w="1176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...</w:t>
            </w:r>
          </w:p>
        </w:tc>
        <w:tc>
          <w:tcPr>
            <w:tcW w:type="dxa" w:w="1176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...</w:t>
            </w:r>
          </w:p>
        </w:tc>
        <w:tc>
          <w:tcPr>
            <w:tcW w:type="dxa" w:w="1176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...</w:t>
            </w:r>
          </w:p>
        </w:tc>
      </w:tr>
    </w:tbl>
    <w:p>
      <w:pPr>
        <w:pStyle w:val="Heading2"/>
      </w:pPr>
      <w:r>
        <w:t>7. Versiebeheer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Versie</w:t>
            </w:r>
          </w:p>
        </w:tc>
        <w:tc>
          <w:tcPr>
            <w:tcW w:type="dxa" w:w="2351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Datum</w:t>
            </w:r>
          </w:p>
        </w:tc>
        <w:tc>
          <w:tcPr>
            <w:tcW w:type="dxa" w:w="2351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Wijziging</w:t>
            </w:r>
          </w:p>
        </w:tc>
        <w:tc>
          <w:tcPr>
            <w:tcW w:type="dxa" w:w="2351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Auteur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1.0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[DD-MM-JJJJ]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Initiële versie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[Naam]</w:t>
            </w:r>
          </w:p>
        </w:tc>
      </w:tr>
    </w:tbl>
    <w:p>
      <w:pPr>
        <w:spacing w:before="480"/>
      </w:pPr>
      <w:r>
        <w:rPr>
          <w:color w:val="94A3B8"/>
          <w:sz w:val="14"/>
        </w:rPr>
        <w:t>© 2026 Annex27 — annex27.nl — Alle rechten voorbehouden</w:t>
      </w:r>
    </w:p>
    <w:sectPr w:rsidR="00FC693F" w:rsidRPr="0006063C" w:rsidSect="00034616">
      <w:pgSz w:w="12240" w:h="15840"/>
      <w:pgMar w:top="1417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onsolas" w:hAnsi="Consolas"/>
      <w:color w:val="475569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0F172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F172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0D948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