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annex</w:t>
      </w:r>
      <w:r>
        <w:rPr>
          <w:rFonts w:ascii="Calibri" w:hAnsi="Calibri"/>
          <w:b/>
          <w:color w:val="0D9488"/>
          <w:sz w:val="28"/>
        </w:rPr>
        <w:t>27</w:t>
      </w:r>
      <w:r>
        <w:rPr>
          <w:rFonts w:ascii="Calibri" w:hAnsi="Calibri"/>
          <w:color w:val="94A3B8"/>
          <w:sz w:val="16"/>
        </w:rPr>
        <w:t xml:space="preserve">    ISO 27001:2022 Beleidspakket</w:t>
      </w:r>
    </w:p>
    <w:p>
      <w:pPr>
        <w:spacing w:before="0" w:after="320"/>
        <w:pBdr>
          <w:bottom w:val="single" w:sz="12" w:space="1" w:color="0D9488"/>
        </w:pBdr>
      </w:pPr>
    </w:p>
    <w:p>
      <w:pPr>
        <w:pStyle w:val="Heading1"/>
      </w:pPr>
      <w:r>
        <w:t>Acceptable Use Policy</w:t>
      </w:r>
    </w:p>
    <w:p>
      <w:r>
        <w:t>ISO 27001:2022 — A.5.10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Documentnummer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ISMS-011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Versie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Classificatie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Intern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Eigenaar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CISO / Verantwoordelijke]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Goedgekeurd door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Directie]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Datum goedkeuring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Volgende review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</w:tbl>
    <w:p>
      <w:pPr>
        <w:spacing w:before="160" w:after="160"/>
      </w:pPr>
    </w:p>
    <w:p>
      <w:pPr>
        <w:pStyle w:val="Heading2"/>
      </w:pPr>
      <w:r>
        <w:t>1. Doel</w:t>
      </w:r>
    </w:p>
    <w:p>
      <w:r>
        <w:t>Dit document beschrijft de regels voor het acceptabele gebruik van informatie, IT-middelen en bedrijfsmiddelen van [Organisatienaam]. Elke medewerker ondertekent deze policy bij indiensttreding.</w:t>
      </w:r>
    </w:p>
    <w:p>
      <w:pPr>
        <w:pStyle w:val="Heading2"/>
      </w:pPr>
      <w:r>
        <w:t>2. Toepassingsgebied</w:t>
      </w:r>
    </w:p>
    <w:p>
      <w:r>
        <w:t>Deze policy is van toepassing op iedereen die gebruik maakt van IT-middelen van [Organisatienaam]:</w:t>
      </w:r>
    </w:p>
    <w:p>
      <w:pPr>
        <w:pStyle w:val="ListBullet"/>
      </w:pPr>
      <w:r>
        <w:t>Medewerkers (vast en tijdelijk)</w:t>
      </w:r>
    </w:p>
    <w:p>
      <w:pPr>
        <w:pStyle w:val="ListBullet"/>
      </w:pPr>
      <w:r>
        <w:t>Inhuurkrachten, consultants en gedetacheerden</w:t>
      </w:r>
    </w:p>
    <w:p>
      <w:pPr>
        <w:pStyle w:val="ListBullet"/>
      </w:pPr>
      <w:r>
        <w:t>Stagiaires</w:t>
      </w:r>
    </w:p>
    <w:p>
      <w:pPr>
        <w:pStyle w:val="ListBullet"/>
      </w:pPr>
      <w:r>
        <w:t>Externe partijen met toegang tot systemen</w:t>
      </w:r>
    </w:p>
    <w:p>
      <w:pPr>
        <w:pStyle w:val="Heading2"/>
      </w:pPr>
      <w:r>
        <w:t>3. Eigendom</w:t>
      </w:r>
    </w:p>
    <w:p>
      <w:pPr>
        <w:pStyle w:val="ListBullet"/>
      </w:pPr>
      <w:r>
        <w:t>Alle IT-middelen (laptops, telefoons, software, accounts, data) zijn eigendom van [Organisatienaam]</w:t>
      </w:r>
    </w:p>
    <w:p>
      <w:pPr>
        <w:pStyle w:val="ListBullet"/>
      </w:pPr>
      <w:r>
        <w:t>[Organisatienaam] behoudt zich het recht voor om het gebruik van IT-middelen te monitoren en te loggen, binnen de kaders van de AVG en geldende wetgeving</w:t>
      </w:r>
    </w:p>
    <w:p>
      <w:pPr>
        <w:pStyle w:val="ListBullet"/>
      </w:pPr>
      <w:r>
        <w:t>Bij beëindiging van het dienstverband worden alle bedrijfsmiddelen ingeleverd</w:t>
      </w:r>
    </w:p>
    <w:p>
      <w:pPr>
        <w:pStyle w:val="Heading2"/>
      </w:pPr>
      <w:r>
        <w:t>4. Toegestaan gebruik</w:t>
      </w:r>
    </w:p>
    <w:p>
      <w:pPr>
        <w:pStyle w:val="Heading3"/>
      </w:pPr>
      <w:r>
        <w:t>4.1 Algemeen</w:t>
      </w:r>
    </w:p>
    <w:p>
      <w:pPr>
        <w:pStyle w:val="ListBullet"/>
      </w:pPr>
      <w:r>
        <w:t>IT-middelen worden primair gebruikt voor werkgerelateerde doeleinden</w:t>
      </w:r>
    </w:p>
    <w:p>
      <w:pPr>
        <w:pStyle w:val="ListBullet"/>
      </w:pPr>
      <w:r>
        <w:t>Beperkt persoonlijk gebruik is toegestaan mits dit niet interfereert met werkzaamheden, de beveiliging niet in gevaar brengt en niet in strijd is met wet- of regelgeving</w:t>
      </w:r>
    </w:p>
    <w:p>
      <w:pPr>
        <w:pStyle w:val="ListBullet"/>
      </w:pPr>
      <w:r>
        <w:t>Medewerkers zijn verantwoordelijk voor het veilige gebruik van de aan hen toegewezen middelen</w:t>
      </w:r>
    </w:p>
    <w:p>
      <w:pPr>
        <w:pStyle w:val="Heading3"/>
      </w:pPr>
      <w:r>
        <w:t>4.2 E-mail en communicatie</w:t>
      </w:r>
    </w:p>
    <w:p>
      <w:pPr>
        <w:pStyle w:val="ListBullet"/>
      </w:pPr>
      <w:r>
        <w:t>Zakelijke e-mail wordt uitsluitend gebruikt via het bedrijfse-mailsysteem</w:t>
      </w:r>
    </w:p>
    <w:p>
      <w:pPr>
        <w:pStyle w:val="ListBullet"/>
      </w:pPr>
      <w:r>
        <w:t>Vertrouwelijke informatie wordt niet verzonden via onbeveiligde kanalen</w:t>
      </w:r>
    </w:p>
    <w:p>
      <w:pPr>
        <w:pStyle w:val="ListBullet"/>
      </w:pPr>
      <w:r>
        <w:t>Bij twijfel over de legitimiteit van een e-mail: niet klikken, niet antwoorden, melden bij [IT-helpdesk / CISO]</w:t>
      </w:r>
    </w:p>
    <w:p>
      <w:pPr>
        <w:pStyle w:val="Heading3"/>
      </w:pPr>
      <w:r>
        <w:t>4.3 Internet</w:t>
      </w:r>
    </w:p>
    <w:p>
      <w:pPr>
        <w:pStyle w:val="ListBullet"/>
      </w:pPr>
      <w:r>
        <w:t>Internettoegang wordt verantwoord gebruikt</w:t>
      </w:r>
    </w:p>
    <w:p>
      <w:pPr>
        <w:pStyle w:val="ListBullet"/>
      </w:pPr>
      <w:r>
        <w:t>Zakelijke cloud-diensten worden uitsluitend gebruikt via goedgekeurde accounts</w:t>
      </w:r>
    </w:p>
    <w:p>
      <w:pPr>
        <w:pStyle w:val="Heading3"/>
      </w:pPr>
      <w:r>
        <w:t>4.4 Mobiele apparatuur</w:t>
      </w:r>
    </w:p>
    <w:p>
      <w:pPr>
        <w:pStyle w:val="ListBullet"/>
      </w:pPr>
      <w:r>
        <w:t>Bedrijfsapparaten worden beveiligd met een pincode, wachtwoord of biometrie</w:t>
      </w:r>
    </w:p>
    <w:p>
      <w:pPr>
        <w:pStyle w:val="ListBullet"/>
      </w:pPr>
      <w:r>
        <w:t>Automatische schermvergrendeling is ingesteld op maximaal 5 minuten</w:t>
      </w:r>
    </w:p>
    <w:p>
      <w:pPr>
        <w:pStyle w:val="ListBullet"/>
      </w:pPr>
      <w:r>
        <w:t>Verlies of diefstal van apparatuur wordt onmiddellijk gemeld bij IT-beheer</w:t>
      </w:r>
    </w:p>
    <w:p>
      <w:pPr>
        <w:pStyle w:val="Heading3"/>
      </w:pPr>
      <w:r>
        <w:t>4.5 Thuiswerken</w:t>
      </w:r>
    </w:p>
    <w:p>
      <w:pPr>
        <w:pStyle w:val="ListBullet"/>
      </w:pPr>
      <w:r>
        <w:t>Thuiswerken geschiedt via een beveiligde verbinding (VPN of vergelijkbaar)</w:t>
      </w:r>
    </w:p>
    <w:p>
      <w:pPr>
        <w:pStyle w:val="ListBullet"/>
      </w:pPr>
      <w:r>
        <w:t>Bedrijfsinformatie wordt niet opgeslagen op privéapparatuur tenzij expliciet toegestaan</w:t>
      </w:r>
    </w:p>
    <w:p>
      <w:pPr>
        <w:pStyle w:val="ListBullet"/>
      </w:pPr>
      <w:r>
        <w:t>Gesprekken over vertrouwelijke onderwerpen vinden niet plaats in openbare ruimtes</w:t>
      </w:r>
    </w:p>
    <w:p>
      <w:pPr>
        <w:pStyle w:val="Heading2"/>
      </w:pPr>
      <w:r>
        <w:t>5. Verboden gebruik</w:t>
      </w:r>
    </w:p>
    <w:p>
      <w:r>
        <w:t>Het is niet toegestaan om:</w:t>
      </w:r>
    </w:p>
    <w:p>
      <w:pPr>
        <w:pStyle w:val="ListBullet"/>
      </w:pPr>
      <w:r>
        <w:t>Wachtwoorden te delen, op te schrijven of onbeveiligd op te slaan</w:t>
      </w:r>
    </w:p>
    <w:p>
      <w:pPr>
        <w:pStyle w:val="ListBullet"/>
      </w:pPr>
      <w:r>
        <w:t>Ongeautoriseerde software te installeren op bedrijfsapparatuur</w:t>
      </w:r>
    </w:p>
    <w:p>
      <w:pPr>
        <w:pStyle w:val="ListBullet"/>
      </w:pPr>
      <w:r>
        <w:t>Bedrijfsgegevens op te slaan op niet-goedgekeurde cloud-diensten of USB-sticks</w:t>
      </w:r>
    </w:p>
    <w:p>
      <w:pPr>
        <w:pStyle w:val="ListBullet"/>
      </w:pPr>
      <w:r>
        <w:t>Illegale, aanstootgevende of discriminerende content te bekijken, downloaden of verspreiden</w:t>
      </w:r>
    </w:p>
    <w:p>
      <w:pPr>
        <w:pStyle w:val="ListBullet"/>
      </w:pPr>
      <w:r>
        <w:t>Beveiligingsmaatregelen te omzeilen, uit te schakelen of te manipuleren</w:t>
      </w:r>
    </w:p>
    <w:p>
      <w:pPr>
        <w:pStyle w:val="ListBullet"/>
      </w:pPr>
      <w:r>
        <w:t>Bedrijfsinformatie te delen met onbevoegden (intern of extern)</w:t>
      </w:r>
    </w:p>
    <w:p>
      <w:pPr>
        <w:pStyle w:val="ListBullet"/>
      </w:pPr>
      <w:r>
        <w:t>Privé-e-mailaccounts te gebruiken voor zakelijke communicatie</w:t>
      </w:r>
    </w:p>
    <w:p>
      <w:pPr>
        <w:pStyle w:val="ListBullet"/>
      </w:pPr>
      <w:r>
        <w:t>Netwerken te scannen, systemen te hacken of ongeautoriseerde tools te gebruiken</w:t>
      </w:r>
    </w:p>
    <w:p>
      <w:pPr>
        <w:pStyle w:val="ListBullet"/>
      </w:pPr>
      <w:r>
        <w:t>Auteursrechtelijk beschermd materiaal illegaal te kopiëren of verspreiden</w:t>
      </w:r>
    </w:p>
    <w:p>
      <w:pPr>
        <w:pStyle w:val="Heading2"/>
      </w:pPr>
      <w:r>
        <w:t>6. Wachtwoorden en authenticatie</w:t>
      </w:r>
    </w:p>
    <w:p>
      <w:pPr>
        <w:pStyle w:val="ListBullet"/>
      </w:pPr>
      <w:r>
        <w:t>Gebruik unieke, sterke wachtwoorden conform het Wachtwoord- &amp; Authenticatiebeleid (ISMS-013)</w:t>
      </w:r>
    </w:p>
    <w:p>
      <w:pPr>
        <w:pStyle w:val="ListBullet"/>
      </w:pPr>
      <w:r>
        <w:t>Gebruik MFA waar dit is ingeschakeld</w:t>
      </w:r>
    </w:p>
    <w:p>
      <w:pPr>
        <w:pStyle w:val="ListBullet"/>
      </w:pPr>
      <w:r>
        <w:t>Deel nooit uw wachtwoord, ook niet met IT-beheer of leidinggevenden</w:t>
      </w:r>
    </w:p>
    <w:p>
      <w:pPr>
        <w:pStyle w:val="ListBullet"/>
      </w:pPr>
      <w:r>
        <w:t>Gebruik een door [Organisatienaam] goedgekeurde wachtwoordmanager</w:t>
      </w:r>
    </w:p>
    <w:p>
      <w:pPr>
        <w:pStyle w:val="Heading2"/>
      </w:pPr>
      <w:r>
        <w:t>7. Clean desk en clear screen</w:t>
      </w:r>
    </w:p>
    <w:p>
      <w:pPr>
        <w:pStyle w:val="ListBullet"/>
      </w:pPr>
      <w:r>
        <w:t>Vertrouwelijke documenten worden niet onbeheerd achtergelaten op het bureau</w:t>
      </w:r>
    </w:p>
    <w:p>
      <w:pPr>
        <w:pStyle w:val="ListBullet"/>
      </w:pPr>
      <w:r>
        <w:t>Werkstations worden vergrendeld bij het verlaten van de werkplek (Windows: Win+L / Mac: Ctrl+Cmd+Q)</w:t>
      </w:r>
    </w:p>
    <w:p>
      <w:pPr>
        <w:pStyle w:val="ListBullet"/>
      </w:pPr>
      <w:r>
        <w:t>Printers worden direct geleegd na het printen van vertrouwelijke documenten</w:t>
      </w:r>
    </w:p>
    <w:p>
      <w:pPr>
        <w:pStyle w:val="ListBullet"/>
      </w:pPr>
      <w:r>
        <w:t>Vertrouwelijke papieren documenten worden versnipperd bij verwijdering</w:t>
      </w:r>
    </w:p>
    <w:p>
      <w:pPr>
        <w:pStyle w:val="Heading2"/>
      </w:pPr>
      <w:r>
        <w:t>8. Meldplicht</w:t>
      </w:r>
    </w:p>
    <w:p>
      <w:r>
        <w:t>Medewerkers melden onmiddellijk bij [IT-helpdesk / CISO]:</w:t>
      </w:r>
    </w:p>
    <w:p>
      <w:pPr>
        <w:pStyle w:val="ListBullet"/>
      </w:pPr>
      <w:r>
        <w:t>Beveiligingsincidenten of vermoedelijke incidenten</w:t>
      </w:r>
    </w:p>
    <w:p>
      <w:pPr>
        <w:pStyle w:val="ListBullet"/>
      </w:pPr>
      <w:r>
        <w:t>Verlies of diefstal van apparatuur</w:t>
      </w:r>
    </w:p>
    <w:p>
      <w:pPr>
        <w:pStyle w:val="ListBullet"/>
      </w:pPr>
      <w:r>
        <w:t>Verdachte e-mails of phishing-pogingen</w:t>
      </w:r>
    </w:p>
    <w:p>
      <w:pPr>
        <w:pStyle w:val="ListBullet"/>
      </w:pPr>
      <w:r>
        <w:t>Ongeautoriseerde toegang of ongebruikelijke systeemactiviteit</w:t>
      </w:r>
    </w:p>
    <w:p>
      <w:pPr>
        <w:pStyle w:val="ListBullet"/>
      </w:pPr>
      <w:r>
        <w:t>Kwetsbaarheden in systemen of processen</w:t>
      </w:r>
    </w:p>
    <w:p>
      <w:pPr>
        <w:pStyle w:val="Heading2"/>
      </w:pPr>
      <w:r>
        <w:t>9. Monitoring</w:t>
      </w:r>
    </w:p>
    <w:p>
      <w:r>
        <w:t>[Organisatienaam] monitort het gebruik van IT-middelen voor de volgende doeleinden:</w:t>
      </w:r>
    </w:p>
    <w:p>
      <w:pPr>
        <w:pStyle w:val="ListBullet"/>
      </w:pPr>
      <w:r>
        <w:t>Bescherming van de vertrouwelijkheid, integriteit en beschikbaarheid van informatie</w:t>
      </w:r>
    </w:p>
    <w:p>
      <w:pPr>
        <w:pStyle w:val="ListBullet"/>
      </w:pPr>
      <w:r>
        <w:t>Detectie van beveiligingsincidenten</w:t>
      </w:r>
    </w:p>
    <w:p>
      <w:pPr>
        <w:pStyle w:val="ListBullet"/>
      </w:pPr>
      <w:r>
        <w:t>Naleving van beleid en wet- en regelgeving</w:t>
      </w:r>
    </w:p>
    <w:p>
      <w:r>
        <w:t>Monitoring geschiedt proportioneel en conform de AVG. Medewerkers worden hierover geïnformeerd via dit beleid.</w:t>
      </w:r>
    </w:p>
    <w:p>
      <w:pPr>
        <w:pStyle w:val="Heading2"/>
      </w:pPr>
      <w:r>
        <w:t>10. Sancties</w:t>
      </w:r>
    </w:p>
    <w:p>
      <w:r>
        <w:t>Overtreding van deze policy kan leiden tot disciplinaire maatregelen conform het HR-beveiligingsbeleid (ISMS-009), variërend van waarschuwing tot ontslag. Bij vermoeden van strafbare feiten wordt aangifte gedaan.</w:t>
      </w:r>
    </w:p>
    <w:p>
      <w:pPr>
        <w:pStyle w:val="Heading2"/>
      </w:pPr>
      <w:r>
        <w:t>11. Akkoordverklaring</w:t>
      </w:r>
    </w:p>
    <w:p>
      <w:r>
        <w:t>Door ondertekening verklaart de medewerker:</w:t>
      </w:r>
    </w:p>
    <w:p>
      <w:pPr>
        <w:pStyle w:val="ListBullet"/>
      </w:pPr>
      <w:r>
        <w:t>Dit beleid te hebben gelezen en begrepen</w:t>
      </w:r>
    </w:p>
    <w:p>
      <w:pPr>
        <w:pStyle w:val="ListBullet"/>
      </w:pPr>
      <w:r>
        <w:t>Zich te houden aan de hierin beschreven regels</w:t>
      </w:r>
    </w:p>
    <w:p>
      <w:pPr>
        <w:pStyle w:val="ListBullet"/>
      </w:pPr>
      <w:r>
        <w:t>Op de hoogte te zijn van de consequenties bij overtreding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Naam medewerker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__________________________________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Functie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__________________________________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Datum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__________________________________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Handtekening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__________________________________</w:t>
            </w:r>
          </w:p>
        </w:tc>
      </w:tr>
    </w:tbl>
    <w:p>
      <w:pPr>
        <w:pStyle w:val="Heading2"/>
      </w:pPr>
      <w:r>
        <w:t>12. Versiebeheer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Versie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Wijziging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Auteur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Initiële versie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</w:tr>
    </w:tbl>
    <w:p>
      <w:pPr>
        <w:spacing w:before="480"/>
      </w:pPr>
      <w:r>
        <w:rPr>
          <w:color w:val="94A3B8"/>
          <w:sz w:val="14"/>
        </w:rPr>
        <w:t>© 2026 Annex27 — annex27.nl — Alle rechten voorbehouden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94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