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Cryptografiebeleid</w:t>
      </w:r>
    </w:p>
    <w:p>
      <w:r>
        <w:t>ISO 27001:2022 — A.8.24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IT-beheer]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wanneer en hoe cryptografie (versleuteling) wordt ingezet om de vertrouwelijkheid, integriteit en authenticiteit van informatie te beschermen.</w:t>
      </w:r>
    </w:p>
    <w:p>
      <w:pPr>
        <w:pStyle w:val="Heading2"/>
      </w:pPr>
      <w:r>
        <w:t>2. Wanneer wordt encryptie toegepast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Situatie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Encryptie vereist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Minimale standaard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in transit — e-mail met vertrouwelijke bijlagen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 1.2+ / S/MIME / PGP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in transit — webverkeer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HTTPS (TLS 1.2+)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in transit — VPN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IPSec of WireGuard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at rest — laptops en werkstations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BitLocker (Windows) / FileVault (Mac)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at rest — servers en databases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 (vertrouwelijk+)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AES-256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at rest — backups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AES-256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at rest — mobiele apparaten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Native device encryption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at rest — USB / externe media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 (vertrouwelijk+)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BitLocker To Go / VeraCrypt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at rest — cloud-opslag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Provider-side encryption + eventueel client-side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Bcrypt / Argon2 (hashing, niet encryptie)</w:t>
            </w:r>
          </w:p>
        </w:tc>
      </w:tr>
    </w:tbl>
    <w:p>
      <w:pPr>
        <w:pStyle w:val="Heading2"/>
      </w:pPr>
      <w:r>
        <w:t>3. Cryptografische standaarden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Toepassing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Minimale standaard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Aanbevolen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Symmetrische encryptie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AES-128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AES-256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Asymmetrische encryptie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RSA-2048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RSA-4096 of ECC P-256+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Hashfuncties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SHA-256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SHA-384 / SHA-512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TLS-versie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 1.2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 1.3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Wachtwoord-hashing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Bcrypt (cost 12+)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Argon2id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Digitale handtekeningen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RSA-2048 + SHA-256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ECDSA P-256 + SHA-256</w:t>
            </w:r>
          </w:p>
        </w:tc>
      </w:tr>
    </w:tbl>
    <w:p>
      <w:r>
        <w:t>Verboden algoritmes: MD5, SHA-1, DES, 3DES, RC4, TLS 1.0/1.1, SSL.</w:t>
      </w:r>
    </w:p>
    <w:p>
      <w:pPr>
        <w:pStyle w:val="Heading2"/>
      </w:pPr>
      <w:r>
        <w:t>4. Sleutelbeheer</w:t>
      </w:r>
    </w:p>
    <w:p>
      <w:pPr>
        <w:pStyle w:val="Heading3"/>
      </w:pPr>
      <w:r>
        <w:t>4.1 Generatie</w:t>
      </w:r>
    </w:p>
    <w:p>
      <w:pPr>
        <w:pStyle w:val="ListBullet"/>
      </w:pPr>
      <w:r>
        <w:t>Cryptografische sleutels worden gegenereerd met een cryptografisch veilige random number generator (CSPRNG)</w:t>
      </w:r>
    </w:p>
    <w:p>
      <w:pPr>
        <w:pStyle w:val="ListBullet"/>
      </w:pPr>
      <w:r>
        <w:t>Sleutellengtes voldoen aan de minimale standaarden in sectie 3</w:t>
      </w:r>
    </w:p>
    <w:p>
      <w:pPr>
        <w:pStyle w:val="Heading3"/>
      </w:pPr>
      <w:r>
        <w:t>4.2 Opslag</w:t>
      </w:r>
    </w:p>
    <w:p>
      <w:pPr>
        <w:pStyle w:val="ListBullet"/>
      </w:pPr>
      <w:r>
        <w:t>Privésleutels worden opgeslagen in een beveiligd sleutelmanagementsysteem (HSM, key vault, of wachtwoordkluis)</w:t>
      </w:r>
    </w:p>
    <w:p>
      <w:pPr>
        <w:pStyle w:val="ListBullet"/>
      </w:pPr>
      <w:r>
        <w:t>Sleutels worden nooit opgeslagen in broncode, configuratiebestanden of e-mails</w:t>
      </w:r>
    </w:p>
    <w:p>
      <w:pPr>
        <w:pStyle w:val="ListBullet"/>
      </w:pPr>
      <w:r>
        <w:t>Toegang tot sleutels is beperkt tot geautoriseerd personeel</w:t>
      </w:r>
    </w:p>
    <w:p>
      <w:pPr>
        <w:pStyle w:val="Heading3"/>
      </w:pPr>
      <w:r>
        <w:t>4.3 Rotatie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Sleuteltype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Rotatiefrequentie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TLS-certificaten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(of bij verlopen)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Encryptiesleutels (data at rest)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API-sleutels en tokens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vermoeden van compromittatie, anders jaarlijks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SSH-sleutels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</w:tr>
    </w:tbl>
    <w:p>
      <w:pPr>
        <w:pStyle w:val="Heading3"/>
      </w:pPr>
      <w:r>
        <w:t>4.4 Intrekking en vernietiging</w:t>
      </w:r>
    </w:p>
    <w:p>
      <w:pPr>
        <w:pStyle w:val="ListBullet"/>
      </w:pPr>
      <w:r>
        <w:t>Gecompromitteerde sleutels worden onmiddellijk ingetrokken</w:t>
      </w:r>
    </w:p>
    <w:p>
      <w:pPr>
        <w:pStyle w:val="ListBullet"/>
      </w:pPr>
      <w:r>
        <w:t>Verlopen of vervangen sleutels worden veilig vernietigd</w:t>
      </w:r>
    </w:p>
    <w:p>
      <w:pPr>
        <w:pStyle w:val="ListBullet"/>
      </w:pPr>
      <w:r>
        <w:t>Certificaatintrekking geschiedt via CRL of OCSP</w:t>
      </w:r>
    </w:p>
    <w:p>
      <w:pPr>
        <w:pStyle w:val="Heading2"/>
      </w:pPr>
      <w:r>
        <w:t>5. Verantwoordelijkheden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Implementatie en beheer van encryptie-oplossingen, sleutelbeheer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Beleidseigenaar, toezicht op naleving, evaluatie van cryptografische standaarden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Ontwikkelaars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Toepassen van goedgekeurde cryptografische bibliotheken, geen eigen implementaties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medewerkers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Activeren van device-encryptie, gebruik van beveiligde kanalen</w:t>
            </w:r>
          </w:p>
        </w:tc>
      </w:tr>
    </w:tbl>
    <w:p>
      <w:pPr>
        <w:pStyle w:val="Heading2"/>
      </w:pPr>
      <w:r>
        <w:t>6.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