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Management Review &amp; Correctieve Maatregelen</w:t>
      </w:r>
    </w:p>
    <w:p>
      <w:r>
        <w:t>ISO 27001:2022 — Clause 9.3, 10.1, 10.2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ISMS-022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1"/>
      </w:pPr>
      <w:r>
        <w:t>DEEL A — Management Review (Clause 9.3)</w:t>
      </w:r>
    </w:p>
    <w:p>
      <w:pPr>
        <w:pStyle w:val="Heading2"/>
      </w:pPr>
      <w:r>
        <w:t>1. Doel</w:t>
      </w:r>
    </w:p>
    <w:p>
      <w:r>
        <w:t>De managementreview is een periodieke directiebeoordeling van het ISMS om te waarborgen dat het geschikt, adequaat en effectief blijft. Het is een verplicht onderdeel van ISO 27001:2022 en essentieel voor continue verbetering.</w:t>
      </w:r>
    </w:p>
    <w:p>
      <w:pPr>
        <w:pStyle w:val="Heading2"/>
      </w:pPr>
      <w:r>
        <w:t>2. Frequentie en deelnemers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Frequentie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Minimaal jaarlijks; bij voorkeur halfjaarlijks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Voorzitter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/ Bestuurder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Vaste deelnemers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Directie, CISO, IT-beheer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Optionele deelnemers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HR, juridisch, externe adviseur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Notulist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of aangewezen notulist</w:t>
            </w:r>
          </w:p>
        </w:tc>
      </w:tr>
    </w:tbl>
    <w:p>
      <w:pPr>
        <w:pStyle w:val="Heading2"/>
      </w:pPr>
      <w:r>
        <w:t>3. Verplichte input (Clause 9.3)</w:t>
      </w:r>
    </w:p>
    <w:p>
      <w:r>
        <w:t>De CISO bereidt de volgende input voor: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Bron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Status van acties uit vorige managementreviews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Notulen vorige review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Wijzigingen in interne en externe context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 Scope (ISMS-001)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Wijzigingen in behoeften en verwachtingen van belanghebbenden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Stakeholderanalyse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Informatiebeveiligingsprestaties, waaronder: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— Non-conformiteiten en correctieve maatregelen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CAPA-register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4b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— Monitoring- en meetresultaten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KPI-rapportage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4c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— Auditresultaten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Interne auditrapporten (ISMS-021)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— Realisatie van doelstellingen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Doelstellingen (ISMS-003)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Feedback van belanghebbenden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Klachtenoverzicht, klantaudits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Resultaten van risicobeoordeling en status risicobehandeling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Risicoregister (ISMS-005)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Kansen voor verbetering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Input van alle deelnemers</w:t>
            </w:r>
          </w:p>
        </w:tc>
      </w:tr>
    </w:tbl>
    <w:p>
      <w:pPr>
        <w:pStyle w:val="Heading2"/>
      </w:pPr>
      <w:r>
        <w:t>4. Verplichte output (besluiten)</w:t>
      </w:r>
    </w:p>
    <w:p>
      <w:r>
        <w:t>De managementreview resulteert in besluiten over: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Vastlegging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Mogelijkheden voor continue verbetering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Actielijst met eigenaar en deadline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Noodzaak tot wijziging van het ISMS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Beschrijving wijzigingen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Benodigde middelen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Budget- en personeelsbeslissingen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Risicoacceptaties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Ondertekening door directie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Bijstelling van doelstellingen (indien nodig)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Update ISMS-003</w:t>
            </w:r>
          </w:p>
        </w:tc>
      </w:tr>
    </w:tbl>
    <w:p>
      <w:pPr>
        <w:pStyle w:val="Heading2"/>
      </w:pPr>
      <w:r>
        <w:t>5. Notulen-template</w:t>
      </w:r>
    </w:p>
    <w:p>
      <w:pPr>
        <w:pStyle w:val="Heading3"/>
      </w:pPr>
      <w:r>
        <w:t>Management Review Notulen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Locatie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[Kantoor / Online]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Aanwezig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[Namen en functies]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Afwezig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[Namen en functies]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Notulist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r>
        <w:t>Agendapunten en bespreking: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Agendapunt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Bespreking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Besluit / Actie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Eigenaar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Deadline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Status acties vorige review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[Samenvatting]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[Besluit]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Wijzigingen context en stakeholders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[Samenvatting]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[Besluit]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ISMS-prestaties en KPI's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[Samenvatting]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[Besluit]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Auditresultaten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[Samenvatting]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[Besluit]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Incidentoverzicht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[Samenvatting]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[Besluit]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Risicobeoordeling update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[Samenvatting]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[Besluit]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Doelstellingen evaluatie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[Samenvatting]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[Besluit]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Verbetermogelijkheden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[Samenvatting]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[Besluit]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Middelen en budget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[Samenvatting]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[Besluit]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</w:tbl>
    <w:p>
      <w:r>
        <w:t>Volgende managementreview gepland op: [DD-MM-JJJJ]</w:t>
      </w:r>
    </w:p>
    <w:p>
      <w:r>
        <w:t>Handtekening voorzitter: _________________________ Datum: __________</w:t>
      </w:r>
    </w:p>
    <w:p>
      <w:pPr>
        <w:spacing w:before="160" w:after="160"/>
      </w:pPr>
    </w:p>
    <w:p>
      <w:pPr>
        <w:pStyle w:val="Heading1"/>
      </w:pPr>
      <w:r>
        <w:t>DEEL B — Correctieve Maatregelen (Clause 10.1, 10.2)</w:t>
      </w:r>
    </w:p>
    <w:p>
      <w:pPr>
        <w:pStyle w:val="Heading2"/>
      </w:pPr>
      <w:r>
        <w:t>6. Doel</w:t>
      </w:r>
    </w:p>
    <w:p>
      <w:r>
        <w:t>Deze procedure beschrijft hoe [Organisatienaam] non-conformiteiten identificeert, analyseert en corrigeert om herhaling te voorkomen. Correctieve maatregelen zijn onderdeel van de PDCA-cyclus (Plan-Do-Check-Act).</w:t>
      </w:r>
    </w:p>
    <w:p>
      <w:pPr>
        <w:pStyle w:val="Heading2"/>
      </w:pPr>
      <w:r>
        <w:t>7. Wanneer worden correctieve maatregelen geïnitieerd</w:t>
      </w:r>
    </w:p>
    <w:p>
      <w:pPr>
        <w:pStyle w:val="ListBullet"/>
      </w:pPr>
      <w:r>
        <w:t>Non-conformiteiten uit interne of externe audits</w:t>
      </w:r>
    </w:p>
    <w:p>
      <w:pPr>
        <w:pStyle w:val="ListBullet"/>
      </w:pPr>
      <w:r>
        <w:t>Beveiligingsincidenten met structurele oorzaak</w:t>
      </w:r>
    </w:p>
    <w:p>
      <w:pPr>
        <w:pStyle w:val="ListBullet"/>
      </w:pPr>
      <w:r>
        <w:t>Niet-behaalde doelstellingen</w:t>
      </w:r>
    </w:p>
    <w:p>
      <w:pPr>
        <w:pStyle w:val="ListBullet"/>
      </w:pPr>
      <w:r>
        <w:t>Klachten of feedback van klanten of belanghebbenden</w:t>
      </w:r>
    </w:p>
    <w:p>
      <w:pPr>
        <w:pStyle w:val="ListBullet"/>
      </w:pPr>
      <w:r>
        <w:t>Bevindingen uit managementreviews</w:t>
      </w:r>
    </w:p>
    <w:p>
      <w:pPr>
        <w:pStyle w:val="ListBullet"/>
      </w:pPr>
      <w:r>
        <w:t>Afwijkingen geconstateerd tijdens dagelijkse operatie</w:t>
      </w:r>
    </w:p>
    <w:p>
      <w:pPr>
        <w:pStyle w:val="Heading2"/>
      </w:pPr>
      <w:r>
        <w:t>8. Correctief actieproces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Identificatie: Non-conformiteit registreren in het CAPA-register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Melder / Auditor / 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Directe correctie: Indien nodig, onmiddellijke actie om de gevolgen te beperken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Proceseigenaar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Oorzaakanalyse: Onderliggende oorzaak bepalen (5x Waarom, Ishikawa, of andere methode)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Proceseigenaar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Correctieve maatregel: Structurele maatregel definiëren om herhaling te voorkomen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Proceseigenaar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Implementatie: Maatregel uitvoeren binnen de gestelde deadline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 maatregel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Verificatie: Controleren of de maatregel effectief is (na implementatie)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Afsluiting: Non-conformiteit afsluiten en documenteren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</w:tbl>
    <w:p>
      <w:pPr>
        <w:pStyle w:val="Heading2"/>
      </w:pPr>
      <w:r>
        <w:t>9. CAPA-register (Corrective and Preventive Action)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78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78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Bron</w:t>
            </w:r>
          </w:p>
        </w:tc>
        <w:tc>
          <w:tcPr>
            <w:tcW w:type="dxa" w:w="78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 non-conformiteit</w:t>
            </w:r>
          </w:p>
        </w:tc>
        <w:tc>
          <w:tcPr>
            <w:tcW w:type="dxa" w:w="78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Directe correctie</w:t>
            </w:r>
          </w:p>
        </w:tc>
        <w:tc>
          <w:tcPr>
            <w:tcW w:type="dxa" w:w="78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Oorzaakanalyse</w:t>
            </w:r>
          </w:p>
        </w:tc>
        <w:tc>
          <w:tcPr>
            <w:tcW w:type="dxa" w:w="78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Correctieve maatregel</w:t>
            </w:r>
          </w:p>
        </w:tc>
        <w:tc>
          <w:tcPr>
            <w:tcW w:type="dxa" w:w="78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Eigenaar</w:t>
            </w:r>
          </w:p>
        </w:tc>
        <w:tc>
          <w:tcPr>
            <w:tcW w:type="dxa" w:w="78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Deadline</w:t>
            </w:r>
          </w:p>
        </w:tc>
        <w:tc>
          <w:tcPr>
            <w:tcW w:type="dxa" w:w="78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78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Verificatie</w:t>
            </w:r>
          </w:p>
        </w:tc>
        <w:tc>
          <w:tcPr>
            <w:tcW w:type="dxa" w:w="78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Afgesloten</w:t>
            </w:r>
          </w:p>
        </w:tc>
      </w:tr>
      <w:tr>
        <w:tc>
          <w:tcPr>
            <w:tcW w:type="dxa" w:w="78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CAPA-001</w:t>
            </w:r>
          </w:p>
        </w:tc>
        <w:tc>
          <w:tcPr>
            <w:tcW w:type="dxa" w:w="78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78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[Audit/Incident/Review]</w:t>
            </w:r>
          </w:p>
        </w:tc>
        <w:tc>
          <w:tcPr>
            <w:tcW w:type="dxa" w:w="78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[Beschrijving]</w:t>
            </w:r>
          </w:p>
        </w:tc>
        <w:tc>
          <w:tcPr>
            <w:tcW w:type="dxa" w:w="78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[Actie]</w:t>
            </w:r>
          </w:p>
        </w:tc>
        <w:tc>
          <w:tcPr>
            <w:tcW w:type="dxa" w:w="78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[Root cause]</w:t>
            </w:r>
          </w:p>
        </w:tc>
        <w:tc>
          <w:tcPr>
            <w:tcW w:type="dxa" w:w="78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[Structurele maatregel]</w:t>
            </w:r>
          </w:p>
        </w:tc>
        <w:tc>
          <w:tcPr>
            <w:tcW w:type="dxa" w:w="78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78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78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[Open/In uitvoering/Afgesloten]</w:t>
            </w:r>
          </w:p>
        </w:tc>
        <w:tc>
          <w:tcPr>
            <w:tcW w:type="dxa" w:w="78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[Effectief Ja/Nee]</w:t>
            </w:r>
          </w:p>
        </w:tc>
        <w:tc>
          <w:tcPr>
            <w:tcW w:type="dxa" w:w="78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78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CAPA-002</w:t>
            </w:r>
          </w:p>
        </w:tc>
        <w:tc>
          <w:tcPr>
            <w:tcW w:type="dxa" w:w="78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8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8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8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8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8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8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8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8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8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8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2"/>
      </w:pPr>
      <w:r>
        <w:t>10. Oorzaakanalyse methoden</w:t>
      </w:r>
    </w:p>
    <w:p>
      <w:pPr>
        <w:pStyle w:val="Heading3"/>
      </w:pPr>
      <w:r>
        <w:t>10.1 5x Waarom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Vraag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Antwoord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is [het probleem] opgetreden?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[Antwoord]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[antwoord 1]?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[Antwoord]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[antwoord 2]?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[Antwoord]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[antwoord 3]?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[Antwoord]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[antwoord 4]?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→ Root cause</w:t>
            </w:r>
          </w:p>
        </w:tc>
      </w:tr>
    </w:tbl>
    <w:p>
      <w:pPr>
        <w:pStyle w:val="Heading3"/>
      </w:pPr>
      <w:r>
        <w:t>10.2 Voorbeeld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Vraag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Antwoord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was het systeem kwetsbaar?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 patch was niet geïnstalleerd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was de patch niet geïnstalleerd?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Het patchproces had het niet opgepikt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had het patchproces het niet opgepikt?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 vulnerability scanner was niet geconfigureerd voor dit systeem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was de scanner niet geconfigureerd?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Het systeem was recent toegevoegd en niet opgenomen in het asset register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Waarom was het niet opgenomen?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Er is geen proces voor automatische registratie bij ingebruikname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→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Root cause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Ontbrekend proces voor asset-registratie bij ingebruikname nieuwe systemen</w:t>
            </w:r>
          </w:p>
        </w:tc>
      </w:tr>
    </w:tbl>
    <w:p>
      <w:pPr>
        <w:pStyle w:val="Heading2"/>
      </w:pPr>
      <w:r>
        <w:t>11. Monitoring en rapportage</w:t>
      </w:r>
    </w:p>
    <w:p>
      <w:pPr>
        <w:pStyle w:val="ListBullet"/>
      </w:pPr>
      <w:r>
        <w:t>Open CAPA's worden maandelijks gereviewed door de CISO</w:t>
      </w:r>
    </w:p>
    <w:p>
      <w:pPr>
        <w:pStyle w:val="ListBullet"/>
      </w:pPr>
      <w:r>
        <w:t>Overzicht van CAPA's wordt besproken in de managementreview</w:t>
      </w:r>
    </w:p>
    <w:p>
      <w:pPr>
        <w:pStyle w:val="ListBullet"/>
      </w:pPr>
      <w:r>
        <w:t>KPI: percentage CAPA's afgesloten binnen deadline (doel: ≥90%)</w:t>
      </w:r>
    </w:p>
    <w:p>
      <w:pPr>
        <w:pStyle w:val="ListBullet"/>
      </w:pPr>
      <w:r>
        <w:t>Trend-analyse: terugkerende oorzaken worden geïdentificeerd</w:t>
      </w:r>
    </w:p>
    <w:p>
      <w:pPr>
        <w:pStyle w:val="Heading2"/>
      </w:pPr>
      <w:r>
        <w:t>12. Registraties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Registratie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Bewaartermijn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Management review notulen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 jaar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CAPA-register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 jaar na afsluiting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Oorzaakanalyses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 jaar</w:t>
            </w:r>
          </w:p>
        </w:tc>
      </w:tr>
    </w:tbl>
    <w:p>
      <w:pPr>
        <w:pStyle w:val="Heading2"/>
      </w:pPr>
      <w:r>
        <w:t>13.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