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Context van de Organisatie &amp; Register Belanghebbenden</w:t>
      </w:r>
    </w:p>
    <w:p>
      <w:r>
        <w:t>ISO 27001:2022 — Clause 4.1, 4.2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ISMS-035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identificeert de interne en externe factoren die relevant zijn voor het doel van [Organisatienaam] en die het vermogen beïnvloeden om de beoogde resultaten van het ISMS te bereiken. Daarnaast worden de belanghebbenden en hun eisen vastgelegd.</w:t>
      </w:r>
    </w:p>
    <w:p>
      <w:pPr>
        <w:pStyle w:val="Heading2"/>
      </w:pPr>
      <w:r>
        <w:t>2. Interne context (Clause 4.1)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op ISMS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Missie en strategie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de strategische richting van de organisatie]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beïnvloedt dit informatiebeveiligingsprioriteiten]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Organisatiestructuur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[Plat/hiërarchisch, aantal afdelingen, locaties]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 op communicatie en verantwoordelijkheden]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Bedrijfscultuur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[Mate van beveiligingsbewustzijn, bereidheid tot verandering]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[Bepaalt aanpak van awareness en adoptie]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IT-volwassenheid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[Mate van automatisering, cloud-adoptie, legacy systemen]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[Bepaalt technische beveiligingsaanpak]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Beschikbare middelen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[Budget, personeel, kennis voor informatiebeveiliging]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[Beperkt of versterkt de implementatiemogelijkheden]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Bestaande processen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[Kwaliteitsmanagementsystemen, bestaande certificeringen]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[Synergie of overlap met bestaande systemen]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Eerdere incidenten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[Relevante beveiligingsincidenten uit het verleden]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[Lessons learned, prioriteiten voor risicobehandeling]</w:t>
            </w:r>
          </w:p>
        </w:tc>
      </w:tr>
    </w:tbl>
    <w:p>
      <w:pPr>
        <w:pStyle w:val="Heading2"/>
      </w:pPr>
      <w:r>
        <w:t>3. Externe context (Clause 4.1)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op ISMS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Wet- en regelgeving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AVG/GDPR, NIS2-richtlijn, [sectorspecifiek: BIO/NEN 7510/PCI DSS]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Compliance-eisen die het ISMS moet adresseren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Markt en concurrentie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[Klantverwachtingen rondom beveiliging, certificeringseisen in aanbestedingen]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Drijfveer voor certificering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Technologische ontwikkelingen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[Cloud, AI, IoT, remote work trends]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Nieuwe dreigingen en kansen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Dreigingslandschap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[Ransomware, phishing, supply chain attacks, sector-specifieke dreigingen]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Prioritering van beveiligingsmaatregelen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Economische factoren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[Budgetdruk, inflatie, beschikbaarheid IT-personeel]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Beperkingen in implementatie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Leveranciersrelaties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[Afhankelijkheid van cloud-providers, IT-dienstverleners]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Supply chain risico's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Maatschappelijke verwachtingen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[Privacy-bewustzijn, vertrouwen van klanten en publiek]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Reputatierisico bij incidenten</w:t>
            </w:r>
          </w:p>
        </w:tc>
      </w:tr>
    </w:tbl>
    <w:p>
      <w:pPr>
        <w:pStyle w:val="Heading2"/>
      </w:pPr>
      <w:r>
        <w:t>4. Register belanghebbenden (Clause 4.2)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Belanghebbende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Relevante eisen en verwachtingen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geadresseerd in ISMS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Vertrouwelijkheid van hun gegevens, beschikbaarheid van diensten, contractuele beveiligingseisen, ISO 27001 certificaat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Classificatiebeleid, SLA's, incident response, certificering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van persoonsgegevens, duidelijke richtlijnen, veilige werkomgeving, privacyrechten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AVG-beleid, AUP, awareness training, HR-beleid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Aandeelhouders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Bedrijfscontinuïteit, beperking van financieel en reputatierisico, compliance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BCP, risicomanagement, management review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Toezichthouders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Naleving AVG (AP), NIS2 (NCSC), sectorspecifieke regelgeving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Compliance register, meldprocedures, audittrail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 en partners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Wederzijdse beveiligingsafspraken, verwerkersovereenkomsten, betrouwbare samenwerking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Leveranciersbeleid, VWO's, assessments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Certificeerder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Conformiteit met ISO 27001:2022, continue verbetering, auditmedewerking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ISMS-documentatie, interne audits, management review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[Overige: bijv. verzekeraars]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[Eisen]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geadresseerd]</w:t>
            </w:r>
          </w:p>
        </w:tc>
      </w:tr>
    </w:tbl>
    <w:p>
      <w:pPr>
        <w:pStyle w:val="Heading2"/>
      </w:pPr>
      <w:r>
        <w:t>5. PESTLE-analyse (optioneel verdieping)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Relevantie voor ISMS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Politiek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[Overheidsbeleid cybersecurity, NIS2-implementatie]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Economisch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[Marktcondities, budgetbeperkingen]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Sociaal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[Thuiswerken, digital natives, privacybewustzijn]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Technologisch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[Cloud, AI, IoT, 5G]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Juridisch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[AVG, NIS2, sectorspecifiek]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Ecologisch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[Duurzaamheid datacenters, e-waste]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</w:tr>
    </w:tbl>
    <w:p>
      <w:pPr>
        <w:pStyle w:val="Heading2"/>
      </w:pPr>
      <w:r>
        <w:t>6. Review en actualisering</w:t>
      </w:r>
    </w:p>
    <w:p>
      <w:r>
        <w:t>De context en het register van belanghebbenden worden minimaal jaarlijks geëvalueerd en geactualiseerd, of eerder bij:</w:t>
      </w:r>
    </w:p>
    <w:p>
      <w:pPr>
        <w:pStyle w:val="ListBullet"/>
      </w:pPr>
      <w:r>
        <w:t>Significante organisatiewijzigingen (fusie, overname, nieuwe diensten)</w:t>
      </w:r>
    </w:p>
    <w:p>
      <w:pPr>
        <w:pStyle w:val="ListBullet"/>
      </w:pPr>
      <w:r>
        <w:t>Wijzigingen in wet- en regelgeving</w:t>
      </w:r>
    </w:p>
    <w:p>
      <w:pPr>
        <w:pStyle w:val="ListBullet"/>
      </w:pPr>
      <w:r>
        <w:t>Veranderingen in het dreigingslandschap</w:t>
      </w:r>
    </w:p>
    <w:p>
      <w:pPr>
        <w:pStyle w:val="ListBullet"/>
      </w:pPr>
      <w:r>
        <w:t>Bevindingen uit audits of managementreviews</w:t>
      </w:r>
    </w:p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