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annex</w:t>
      </w:r>
      <w:r>
        <w:rPr>
          <w:rFonts w:ascii="Calibri" w:hAnsi="Calibri"/>
          <w:b/>
          <w:color w:val="0D9488"/>
          <w:sz w:val="28"/>
        </w:rPr>
        <w:t>27</w:t>
      </w:r>
      <w:r>
        <w:rPr>
          <w:rFonts w:ascii="Calibri" w:hAnsi="Calibri"/>
          <w:color w:val="94A3B8"/>
          <w:sz w:val="16"/>
        </w:rPr>
        <w:t xml:space="preserve">    ISO 27001:2022 Beleidspakket</w:t>
      </w:r>
    </w:p>
    <w:p>
      <w:pPr>
        <w:spacing w:before="0" w:after="320"/>
        <w:pBdr>
          <w:bottom w:val="single" w:sz="12" w:space="1" w:color="0D9488"/>
        </w:pBdr>
      </w:pPr>
    </w:p>
    <w:p>
      <w:pPr>
        <w:pStyle w:val="Heading1"/>
      </w:pPr>
      <w:r>
        <w:t>ISMS KPI &amp; Meetrapportage</w:t>
      </w:r>
    </w:p>
    <w:p>
      <w:r>
        <w:t>ISO 27001:2022 — Clause 9.1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Documentnummer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ISMS-037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Versie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Classificatie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Intern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Eigenaar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CISO / Verantwoordelijke]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Goedgekeurd door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Directie]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Datum goedkeuring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Volgende review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</w:tbl>
    <w:p>
      <w:pPr>
        <w:spacing w:before="160" w:after="160"/>
      </w:pPr>
    </w:p>
    <w:p>
      <w:pPr>
        <w:pStyle w:val="Heading2"/>
      </w:pPr>
      <w:r>
        <w:t>1. Doel</w:t>
      </w:r>
    </w:p>
    <w:p>
      <w:r>
        <w:t>Dit document definieert wat [Organisatienaam] meet om de prestaties en effectiviteit van het ISMS te evalueren. Meting is verplicht onder Clause 9.1 en levert input voor de managementreview.</w:t>
      </w:r>
    </w:p>
    <w:p>
      <w:pPr>
        <w:pStyle w:val="Heading2"/>
      </w:pPr>
      <w:r>
        <w:t>2. Wat wordt gemeten</w:t>
      </w:r>
    </w:p>
    <w:p>
      <w:pPr>
        <w:pStyle w:val="Heading3"/>
      </w:pPr>
      <w:r>
        <w:t>2.1 ISMS-prestatie KPI's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KPI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Meetmethode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Frequentie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Doel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Eigenaar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Awareness training deelname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Trainingsregistratie: % medewerkers dat jaarlijkse training heeft afgerond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Kwartaallijks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≥ 95%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</w:tr>
      <w:tr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2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Phishing-simulatie klikpercentage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Percentage medewerkers dat op gesimuleerde phishing klikt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Per simulatie (min. 2x/jaar)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&lt; 5%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3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Phishing meldingspercentage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Percentage medewerkers dat gesimuleerde phishing correct meldt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Per simulatie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&gt; 60%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</w:tr>
      <w:tr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4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Gemiddelde tijd tot incidentescalatie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Tijdstip detectie vs. tijdstip escalatie per incident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Per incident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&lt; 4 uur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Patch compliance (kritiek)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% kritieke patches geïnstalleerd binnen 48 uur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Maandelijks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100%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</w:t>
            </w:r>
          </w:p>
        </w:tc>
      </w:tr>
      <w:tr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6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Patch compliance (hoog)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% hoge patches geïnstalleerd binnen 14 dagen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Maandelijks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≥ 95%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7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MFA-dekking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% bedrijfskritieke applicaties met MFA actief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Kwartaallijks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100%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</w:t>
            </w:r>
          </w:p>
        </w:tc>
      </w:tr>
      <w:tr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8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Toegangsrechten review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% afdelingen waarvan toegangsrechten zijn gereviewed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Halfjaarlijks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100%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9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Backup hersteltest succes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% geslaagde hersteltesten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Per test (min. 2x/jaar)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100%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</w:t>
            </w:r>
          </w:p>
        </w:tc>
      </w:tr>
      <w:tr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10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Open correctieve maatregelen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Aantal open CAPA's ouder dan deadline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Maandelijks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0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</w:tr>
    </w:tbl>
    <w:p>
      <w:pPr>
        <w:pStyle w:val="Heading3"/>
      </w:pPr>
      <w:r>
        <w:t>2.2 Effectiviteit KPI's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KPI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Meetmethode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Frequentie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Doel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Eigenaar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11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Aantal beveiligingsincidenten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Incidentregister: totaal aantal per kwartaal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Kwartaallijks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Dalende trend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</w:tr>
      <w:tr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12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Herhaalde incidenten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Incidenten met dezelfde root cause als eerder incident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Per incident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0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13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Audit non-conformiteiten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Aantal major + minor non-conformiteiten uit interne audit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Per audit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0 major, dalend minor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</w:tr>
      <w:tr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14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ISMS-doelstellingen behaald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% doelstellingen uit ISMS-003 die op schema liggen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Kwartaallijks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≥ 80%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Leveranciersbeoordelingen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% kritieke leveranciers dat tijdig is beoordeeld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Jaarlijks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100%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</w:tr>
    </w:tbl>
    <w:p>
      <w:pPr>
        <w:pStyle w:val="Heading2"/>
      </w:pPr>
      <w:r>
        <w:t>3. Meetrapportage template</w:t>
      </w:r>
    </w:p>
    <w:p>
      <w:pPr>
        <w:pStyle w:val="Heading3"/>
      </w:pPr>
      <w:r>
        <w:t>Kwartaalrapportage Informatiebeveiliging — [Kwartaal] [Jaar]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KPI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Doel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Resultaat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Trend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Opmerking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Awareness training deelname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≥ 95%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[%]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[↑ ↓ →]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[Groen/Oranje/Rood]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</w:tr>
      <w:tr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Phishing klikpercentage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&lt; 5%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[%]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[↑ ↓ →]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[Groen/Oranje/Rood]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Incidentescalatie &lt; 4u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100%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[%]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[↑ ↓ →]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[Groen/Oranje/Rood]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</w:tr>
      <w:tr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Patch compliance (kritiek)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100%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[%]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[↑ ↓ →]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[Groen/Oranje/Rood]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MFA-dekking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100%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[%]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[↑ ↓ →]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[Groen/Oranje/Rood]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</w:tr>
      <w:tr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Backup hersteltest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100%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[%]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[↑ ↓ →]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[Groen/Oranje/Rood]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Open CAPA's &gt; deadline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[Aantal]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[↑ ↓ →]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[Groen/Oranje/Rood]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</w:tr>
      <w:tr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Beveiligingsincidenten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Dalend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[Aantal]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[↑ ↓ →]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[Groen/Oranje/Rood]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Audit non-conformiteiten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0 major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[Aantal]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[↑ ↓ →]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[Groen/Oranje/Rood]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</w:tr>
    </w:tbl>
    <w:p>
      <w:r>
        <w:t>Statusdefinities:</w:t>
      </w:r>
    </w:p>
    <w:p>
      <w:pPr>
        <w:pStyle w:val="ListBullet"/>
      </w:pPr>
      <w:r>
        <w:t>Groen: Doel behaald</w:t>
      </w:r>
    </w:p>
    <w:p>
      <w:pPr>
        <w:pStyle w:val="ListBullet"/>
      </w:pPr>
      <w:r>
        <w:t>Oranje: Binnen 10% van doel, aandacht nodig</w:t>
      </w:r>
    </w:p>
    <w:p>
      <w:pPr>
        <w:pStyle w:val="ListBullet"/>
      </w:pPr>
      <w:r>
        <w:t>Rood: Doel niet behaald, actie vereist</w:t>
      </w:r>
    </w:p>
    <w:p>
      <w:pPr>
        <w:pStyle w:val="Heading3"/>
      </w:pPr>
      <w:r>
        <w:t>Samenvatting en aanbevelingen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Belangrijkste prestatie dit kwartaal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[Beschrijf]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Grootste aandachtspunt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[Beschrijf]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Aanbevolen acties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[Beschrijf]</w:t>
            </w:r>
          </w:p>
        </w:tc>
      </w:tr>
    </w:tbl>
    <w:p>
      <w:r>
        <w:t>Opgesteld door: [Naam CISO] — [Datum]</w:t>
      </w:r>
    </w:p>
    <w:p>
      <w:r>
        <w:t>Besproken in: Management review [Datum] / Kwartaaloverleg [Datum]</w:t>
      </w:r>
    </w:p>
    <w:p>
      <w:pPr>
        <w:pStyle w:val="Heading2"/>
      </w:pPr>
      <w:r>
        <w:t>4. Rapportage en review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Rapportage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Aan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Frequentie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KPI-dashboard (operationeel)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 + IT-beheer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Maandelijks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Kwartaalrapportage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Directie / MT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Kwartaallijks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Management review input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Directie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Minimaal jaarlijks</w:t>
            </w:r>
          </w:p>
        </w:tc>
      </w:tr>
    </w:tbl>
    <w:p>
      <w:pPr>
        <w:pStyle w:val="Heading2"/>
      </w:pPr>
      <w:r>
        <w:t>5. Versiebeheer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Versie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Datum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Wijziging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Auteur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Initiële versie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</w:tr>
    </w:tbl>
    <w:p>
      <w:pPr>
        <w:spacing w:before="480"/>
      </w:pPr>
      <w:r>
        <w:rPr>
          <w:color w:val="94A3B8"/>
          <w:sz w:val="14"/>
        </w:rPr>
        <w:t>© 2026 Annex27 — annex27.nl — Alle rechten voorbehouden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D948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