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Register Wettelijke, Statutaire en Contractuele Vereisten</w:t>
      </w:r>
    </w:p>
    <w:p>
      <w:r>
        <w:t>ISO 27001:2022 — A.5.31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Juridisch]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register identificeert alle wettelijke, statutaire, regelgevende en contractuele eisen die relevant zijn voor informatiebeveiliging bij [Organisatienaam]. Het waarborgt dat de organisatie aantoonbaar voldoet aan alle toepasselijke verplichtingen.</w:t>
      </w:r>
    </w:p>
    <w:p>
      <w:pPr>
        <w:pStyle w:val="Heading2"/>
      </w:pPr>
      <w:r>
        <w:t>2. Register</w:t>
      </w:r>
    </w:p>
    <w:p>
      <w:pPr>
        <w:pStyle w:val="Heading3"/>
      </w:pPr>
      <w:r>
        <w:t>2.1 Wetgeving en regelgeving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Wet / Regelgeving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Kernverplichting voor IB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geadresseerd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Algemene Verordening Gegevensbescherming (AVG/GDPR)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Verwerking persoonsgegevens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persoonsgegevens, meldplicht datalekken, rechten betrokkenen, verwerkersovereenkomsten, DPIA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AVG-beleid (ISMS-033), incidentprocedure, VWO's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 / In uitvoering / Gap]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NIS2-richtlijn / Cyberbeveiligingswet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[Essentiële / Belangrijke entiteiten]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Risicomanagement, incidentmelding (24u/72u), supply chain security, bestuurlijke verantwoordelijkheid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 als geheel, incident response, leveranciersbeleid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 / In uitvoering / Niet van toepassing]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Telecommunicatiewet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Elektronische communicatie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Cookiebeleid, spam-regelgeving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Cookiebanner website, e-mailmarketing opt-in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 / In uitvoering]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[Marketing / CISO]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 Computercriminaliteit III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IT-systemen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Strafbaarstelling van hacking, DDOS, malware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beveiliging, monitoring, aangifte bij strafbare feiten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 bescherming bedrijfsgeheimen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Bedrijfsvertrouwelijke informatie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trade secrets, geheimhouding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Classificatiebeleid, NDA's, toegangscontrole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 / In uitvoering]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Arbeidsrecht (BW 7)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Arbeidsrelaties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Screening, geheimhouding, privacy werknemers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HR-beleid, arbeidsovereenkomsten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Fiscale bewaarplicht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Financiële administratie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 jaar bewaarplicht voor financiële gegevens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Retentiebeleid (ISMS-027)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[Compliant]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Financiën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[Sectorspecifiek: BIO]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[Overheidsorganisaties]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[Baseline Informatiebeveiliging Overheid]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geadresseerd]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[Sectorspecifiek: NEN 7510]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[Zorginstellingen]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[Informatiebeveiliging in de zorg]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geadresseerd]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[Sectorspecifiek: PCI DSS]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[Betaalverwerking]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[Beveiliging creditcardgegevens]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geadresseerd]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pStyle w:val="Heading3"/>
      </w:pPr>
      <w:r>
        <w:t>2.2 Normen en standaarden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Norm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Toepasselijkheid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ISO/IEC 27001:2022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 — ISMS-certificering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[Gecertificeerd / In implementatie]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ISO/IEC 27002:2022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Richtlijn voor implementatie van controls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Referentie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 19011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Richtlijn voor interne audits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Toegepast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[ISO 9001]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[Kwaliteitsmanagementsysteem]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pStyle w:val="Heading3"/>
      </w:pPr>
      <w:r>
        <w:t>2.3 Contractuele verplichtingen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 contract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Partij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IB-relevante verplichtingen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geadresseerd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Review datum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Klantcontracten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 A, B, etc.]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SLA's, geheimhouding, beveiligingseisen, certificeringsvereiste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ISMS, SLA-management, certificering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[Leverancier A, B, etc.]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AVG-verplichtingen, beveiligingsmaatregelen, meldplicht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Leveranciersbeleid, VWO-register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Verzekeringspolissen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[Cyberverzekeraar]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Beveiligingseisen als voorwaarde voor dekking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ISMS-maatregelen, meldplicht bij incident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Huurovereenkomst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[Verhuurder]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beveiligingsverantwoordelijkheden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 beveiligingsbeleid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NDA's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[Partners, klanten]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Geheimhoudingsverplichtingen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Classificatie, toegangscontrole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</w:tr>
    </w:tbl>
    <w:p>
      <w:pPr>
        <w:pStyle w:val="Heading2"/>
      </w:pPr>
      <w:r>
        <w:t>3. Monitoring en actualisering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register op volledigheid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van wijzigingen in wet- en regelgeving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 nieuwe contractuele verplichtingen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ondertekening nieuw contract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Juridisch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Rapportage compliance-status aan directie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(management review)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2"/>
      </w:pPr>
      <w:r>
        <w:t>4. Bronnen voor wijzigingsmonitoring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Autoriteit Persoonsgegevens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AVG-updates en handhaving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Rijksoverheid.nl / Eerste Kamer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Nieuwe wetgeving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NCSC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Cybersecurity wetgeving en richtlijnen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Normwijzigingen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Branchevereniging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Sectorspecifieke ontwikkelingen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Juridisch adviseur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Contractuele en wettelijke updates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