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Threat Intelligence Procedure</w:t>
      </w:r>
    </w:p>
    <w:p>
      <w:r>
        <w:t>ISO 27001:2022 — A.5.7 (nieuw in 2022)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ISMS-025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Verantwoordelijke]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Deze procedure beschrijft hoe [Organisatienaam] informatie over actuele cyberdreigingen verzamelt, analyseert en gebruikt om proactief beveiligingsmaatregelen te treffen. Threat intelligence voorkomt dat de organisatie verrast wordt door bekende aanvalsmethoden.</w:t>
      </w:r>
    </w:p>
    <w:p>
      <w:pPr>
        <w:pStyle w:val="Heading2"/>
      </w:pPr>
      <w:r>
        <w:t>2. Bronnen</w:t>
      </w:r>
    </w:p>
    <w:p>
      <w:pPr>
        <w:pStyle w:val="Heading3"/>
      </w:pPr>
      <w:r>
        <w:t>2.1 Primaire bronnen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Bron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Frequentie monitoring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NCSC (Nationaal Cyber Security Centrum)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Waarschuwingen, adviezen, dreigingsbeelden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Dagelijks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CERT.be (Belgisch CSIRT)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Waarschuwingen en incidentmeldingen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Dagelijks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CVE/NVD (National Vulnerability Database)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Nieuwe kwetsbaarheden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Dagelijks (geautomatiseerd)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Leveranciers-advisories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Beveiligingsupdates van gebruikte software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Bij publicatie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Branche-ISAC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Sectorspecifieke dreigingsinformatie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Wekelijks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</w:tbl>
    <w:p>
      <w:pPr>
        <w:pStyle w:val="Heading3"/>
      </w:pPr>
      <w:r>
        <w:t>2.2 Aanvullende bronnen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Bron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ENISA (EU cybersecurity agency)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Dreigingslandschap en best practices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MITRE ATT&amp;CK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Aanvalstechnieken en -tactieken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OWASP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Webapplicatie-kwetsbaarheden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Cybersecurity nieuwsplatforms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Actueel dreigingsnieuws (Bleeping Computer, The Record, Security.nl)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Vendor threat reports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Jaarlijkse dreigingsrapporten (CrowdStrike, Mandiant, Microsoft)</w:t>
            </w:r>
          </w:p>
        </w:tc>
      </w:tr>
    </w:tbl>
    <w:p>
      <w:pPr>
        <w:pStyle w:val="Heading2"/>
      </w:pPr>
      <w:r>
        <w:t>3. Proces</w:t>
      </w:r>
    </w:p>
    <w:p>
      <w:pPr>
        <w:pStyle w:val="Heading3"/>
      </w:pPr>
      <w:r>
        <w:t>3.1 Verzamelen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Stap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Abonneren op waarschuwingsdiensten (NCSC, CERT.be, leveranciers)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RSS-feeds of e-mailnotificaties instellen voor CVE's relevant voor gebruikte technologieën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Deelnemen aan branche-ISAC of kennisdelingsgroep (indien beschikbaar)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</w:tbl>
    <w:p>
      <w:pPr>
        <w:pStyle w:val="Heading3"/>
      </w:pPr>
      <w:r>
        <w:t>3.2 Analyseren</w:t>
      </w:r>
    </w:p>
    <w:p>
      <w:r>
        <w:t>Bij ontvangst van een dreigingsmelding: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Criterium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Vraag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Relevantie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Gebruiken wij de getroffen technologie, software of dienst?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Impact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Wat is de potentiële impact als deze dreiging ons treft?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Waarschijnlijkheid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Wordt de kwetsbaarheid actief uitgebuit? Is er een exploit beschikbaar?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Urgentie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Hoe snel moeten wij handelen?</w:t>
            </w:r>
          </w:p>
        </w:tc>
      </w:tr>
    </w:tbl>
    <w:p>
      <w:pPr>
        <w:pStyle w:val="Heading3"/>
      </w:pPr>
      <w:r>
        <w:t>3.3 Handelen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Urgentie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Tijdlijn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Kritiek (actieve exploitatie van onze technologie)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Onmiddellijke mitigatie, noodpatching, CISO+directie informeren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Binnen uren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Hoog (kwetsbaarheid in onze technologie, exploit beschikbaar)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Versneld patchproces activeren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Binnen 48 uur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Midden (kwetsbaarheid in onze technologie, geen exploit bekend)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Opnemen in regulier patchschema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Conform patchbeleid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Laag (niet direct relevant maar informatief)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Registreren en monitoren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Geen directe actie</w:t>
            </w:r>
          </w:p>
        </w:tc>
      </w:tr>
    </w:tbl>
    <w:p>
      <w:pPr>
        <w:pStyle w:val="Heading3"/>
      </w:pPr>
      <w:r>
        <w:t>3.4 Registreren</w:t>
      </w:r>
    </w:p>
    <w:p>
      <w:r>
        <w:t>Relevante dreigingsmeldingen worden geregistreerd: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Bron</w:t>
            </w:r>
          </w:p>
        </w:tc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Dreiging / CVE</w:t>
            </w:r>
          </w:p>
        </w:tc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Relevantie</w:t>
            </w:r>
          </w:p>
        </w:tc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Urgentie</w:t>
            </w:r>
          </w:p>
        </w:tc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 ondernomen</w:t>
            </w:r>
          </w:p>
        </w:tc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[Bron]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[Beschrijving]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[K/H/M/L]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[Actie]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[Open/Afgehandeld]</w:t>
            </w:r>
          </w:p>
        </w:tc>
      </w:tr>
    </w:tbl>
    <w:p>
      <w:pPr>
        <w:pStyle w:val="Heading2"/>
      </w:pPr>
      <w:r>
        <w:t>4. Dreigingslandschap 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Activiteit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Frequentie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Dagelijkse check van NCSC/CERT.be waarschuwingen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Dagelijks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Review van relevante CVE's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Wekelijks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Update dreigingslandschap voor managementreview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Jaarlijks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Evaluatie effectiviteit threat intelligence proces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Jaarlijks</w:t>
            </w:r>
          </w:p>
        </w:tc>
      </w:tr>
    </w:tbl>
    <w:p>
      <w:pPr>
        <w:pStyle w:val="Heading2"/>
      </w:pPr>
      <w:r>
        <w:t>5.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