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28"/>
        </w:rPr>
        <w:t>annex</w:t>
      </w:r>
      <w:r>
        <w:rPr>
          <w:rFonts w:ascii="Calibri" w:hAnsi="Calibri"/>
          <w:b/>
          <w:color w:val="0D9488"/>
          <w:sz w:val="28"/>
        </w:rPr>
        <w:t>27</w:t>
      </w:r>
      <w:r>
        <w:rPr>
          <w:rFonts w:ascii="Calibri" w:hAnsi="Calibri"/>
          <w:color w:val="94A3B8"/>
          <w:sz w:val="16"/>
        </w:rPr>
        <w:t xml:space="preserve">    ISO 27001:2022 Beleidspakket</w:t>
      </w:r>
    </w:p>
    <w:p>
      <w:pPr>
        <w:spacing w:before="0" w:after="320"/>
        <w:pBdr>
          <w:bottom w:val="single" w:sz="12" w:space="1" w:color="0D9488"/>
        </w:pBdr>
      </w:pPr>
    </w:p>
    <w:p>
      <w:pPr>
        <w:pStyle w:val="Heading1"/>
      </w:pPr>
      <w:r>
        <w:t>Data Leakage Prevention Richtlijn</w:t>
      </w:r>
    </w:p>
    <w:p>
      <w:r>
        <w:t>ISO 27001:2022 — A.8.12 (nieuw in 2022)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Documentnummer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ISMS-028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Versie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1.0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Classificatie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Intern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Eigenaar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 CISO / IT-beheer]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Goedgekeurd door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 Directie]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Datum goedkeuring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Volgende review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</w:tr>
    </w:tbl>
    <w:p>
      <w:pPr>
        <w:spacing w:before="160" w:after="160"/>
      </w:pPr>
    </w:p>
    <w:p>
      <w:pPr>
        <w:pStyle w:val="Heading2"/>
      </w:pPr>
      <w:r>
        <w:t>1. Doel</w:t>
      </w:r>
    </w:p>
    <w:p>
      <w:r>
        <w:t>Deze richtlijn beschrijft de maatregelen die [Organisatienaam] treft om ongeautoriseerde openbaarmaking, extractie of verlies van vertrouwelijke informatie te voorkomen.</w:t>
      </w:r>
    </w:p>
    <w:p>
      <w:pPr>
        <w:pStyle w:val="Heading2"/>
      </w:pPr>
      <w:r>
        <w:t>2. Risicoscenario's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Scenario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Kanaal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Voorbeeld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Onbedoeld delen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E-mail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Vertrouwelijk document naar verkeerde ontvanger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Ongeautoriseerde upload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Cloud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Bedrijfsdata naar privé-cloudopslag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Fysiek verlies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Apparaat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Verloren laptop of USB-stick met klantdata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Kwaadwillig lekken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Divers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Medewerker kopieert data vóór vertrek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Social engineering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Telefoon/e-mail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Informatie vrijgeven na phishing of pretexting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Onbeveiligde overdracht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Bestandsdeling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Vertrouwelijk document via WeTransfer of WhatsApp</w:t>
            </w:r>
          </w:p>
        </w:tc>
      </w:tr>
    </w:tbl>
    <w:p>
      <w:pPr>
        <w:pStyle w:val="Heading2"/>
      </w:pPr>
      <w:r>
        <w:t>3. Preventieve maatregelen</w:t>
      </w:r>
    </w:p>
    <w:p>
      <w:pPr>
        <w:pStyle w:val="Heading3"/>
      </w:pPr>
      <w:r>
        <w:t>3.1 Technisch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Maatregel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Beschrijving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Prioriteit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E-mail DLP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Regels die vertrouwelijke informatie detecteren in uitgaande e-mail (BSN, creditcard, labels) en blokkeren/waarschuwen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Hoog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Endpoint DLP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Controle op kopiëren naar USB, externe schijven en niet-goedgekeurde cloud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Hoog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Cloud DLP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Monitoring en blokkering van delen van vertrouwelijke bestanden buiten de organisatie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Hoog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Schijfversleuteling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BitLocker/FileVault op alle endpoints om data te beschermen bij verlies/diefstal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Verplicht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USB-beperking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Blokkeren of beperken van USB-opslagapparaten op werkstations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Midden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Watermarking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Digitale watermerken op vertrouwelijke documenten (optioneel)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Laag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Screen capture beperking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Beperking op screenshots van vertrouwelijke applicaties (waar technisch mogelijk)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Laag</w:t>
            </w:r>
          </w:p>
        </w:tc>
      </w:tr>
    </w:tbl>
    <w:p>
      <w:pPr>
        <w:pStyle w:val="Heading3"/>
      </w:pPr>
      <w:r>
        <w:t>3.2 Organisatorisch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Maatregel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Beschrijving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Classificatiebeleid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Informatie correct classificeren zodat DLP-regels kunnen werken (ISMS-014)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Acceptable Use Policy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Regels voor gebruik van IT-middelen en dataverwerking (ISMS-011)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Awareness training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Medewerkers trainen op risico's van datalekken en correcte omgang met data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Offboarding proces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Toegang intrekken en data controleren bij uitdiensttreding (ISMS-009)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Need-to-know principe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Toegang beperken tot wie het echt nodig heeft</w:t>
            </w:r>
          </w:p>
        </w:tc>
      </w:tr>
    </w:tbl>
    <w:p>
      <w:pPr>
        <w:pStyle w:val="Heading3"/>
      </w:pPr>
      <w:r>
        <w:t>3.3 Bij uitdiensttreding (verhoogd risico)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Maatregel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Timing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Monitoring van dataverkeer verhogen (downloads, e-mail bijlagen, USB)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Vanaf opzegging tot vertrek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Cloud-deellinks reviewen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Op laatste werkdag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Verifiëren dat geen bedrijfsdata op privéapparaten staat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Op laatste werkdag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Wachtwoorden van gedeelde accounts wijzigen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Op laatste werkdag</w:t>
            </w:r>
          </w:p>
        </w:tc>
      </w:tr>
    </w:tbl>
    <w:p>
      <w:pPr>
        <w:pStyle w:val="Heading2"/>
      </w:pPr>
      <w:r>
        <w:t>4. Detectie en respons</w:t>
      </w:r>
    </w:p>
    <w:p>
      <w:pPr>
        <w:pStyle w:val="Heading3"/>
      </w:pPr>
      <w:r>
        <w:t>4.1 DLP-alerts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Alert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Ernst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Actie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Vertrouwelijk document gedetecteerd in uitgaande e-mail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Midden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Automatisch blokkeren + notificatie aan medewerker en CISO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Bulk-download van vertrouwelijke bestanden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Hoog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Alert naar CISO, onderzoek starten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Data kopiëren naar USB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Midden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Blokkeren (of loggen + alert)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Delen met extern domein via cloud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Midden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Blokkeren + notificatie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Verdacht patroon bij medewerker in opzegperiode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Hoog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 informeren, verhoogde monitoring</w:t>
            </w:r>
          </w:p>
        </w:tc>
      </w:tr>
    </w:tbl>
    <w:p>
      <w:pPr>
        <w:pStyle w:val="Heading3"/>
      </w:pPr>
      <w:r>
        <w:t>4.2 Bij bevestigd datalek</w:t>
      </w:r>
    </w:p>
    <w:p>
      <w:r>
        <w:t>Activeer het Incident Response Plan (ISMS-019). Beoordeel of meldplicht AP/NCSC van toepassing is.</w:t>
      </w:r>
    </w:p>
    <w:p>
      <w:pPr>
        <w:pStyle w:val="Heading2"/>
      </w:pPr>
      <w:r>
        <w:t>5. Uitzonderingen</w:t>
      </w:r>
    </w:p>
    <w:p>
      <w:r>
        <w:t>Uitzonderingen op DLP-regels (bijv. voor het delen van informatie met auditors of juridische partijen) worden:</w:t>
      </w:r>
    </w:p>
    <w:p>
      <w:pPr>
        <w:pStyle w:val="ListBullet"/>
      </w:pPr>
      <w:r>
        <w:t>Aangevraagd bij de CISO</w:t>
      </w:r>
    </w:p>
    <w:p>
      <w:pPr>
        <w:pStyle w:val="ListBullet"/>
      </w:pPr>
      <w:r>
        <w:t>Schriftelijk goedgekeurd met reden</w:t>
      </w:r>
    </w:p>
    <w:p>
      <w:pPr>
        <w:pStyle w:val="ListBullet"/>
      </w:pPr>
      <w:r>
        <w:t>Tijdgebonden</w:t>
      </w:r>
    </w:p>
    <w:p>
      <w:pPr>
        <w:pStyle w:val="ListBullet"/>
      </w:pPr>
      <w:r>
        <w:t>Geregistreerd</w:t>
      </w:r>
    </w:p>
    <w:p>
      <w:pPr>
        <w:pStyle w:val="Heading2"/>
      </w:pPr>
      <w:r>
        <w:t>6. Versiebeheer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Versie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Datum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Wijziging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Auteur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1.0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Initiële versie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</w:tr>
    </w:tbl>
    <w:p>
      <w:pPr>
        <w:spacing w:before="480"/>
      </w:pPr>
      <w:r>
        <w:rPr>
          <w:color w:val="94A3B8"/>
          <w:sz w:val="14"/>
        </w:rPr>
        <w:t>© 2026 Annex27 — annex27.nl — Alle rechten voorbehouden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47556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D948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