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Data Protection / AVG Beleid</w:t>
      </w:r>
    </w:p>
    <w:p>
      <w:r>
        <w:t>ISO 27001:2022 — A.5.34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ISMS-033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FG / Privacyverantwoordelijke]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hoe [Organisatienaam] persoonsgegevens beschermt conform de Algemene Verordening Gegevensbescherming (AVG/GDPR) en hoe privacy is geïntegreerd in het ISMS.</w:t>
      </w:r>
    </w:p>
    <w:p>
      <w:pPr>
        <w:pStyle w:val="Heading2"/>
      </w:pPr>
      <w:r>
        <w:t>2. Beginselen (Artikel 5 AVG)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Beginsel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Hoe wij dit waarborgen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Rechtmatigheid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Persoonsgegevens worden verwerkt op basis van een geldige grondslag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Register van verwerkingsactiviteiten met grondslag per verwerking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Doelbinding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Gegevens worden alleen verwerkt voor het doel waarvoor ze zijn verzameld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Doelomschrijving per verwerking; geen hergebruik zonder grondslag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Dataminimalisatie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de noodzakelijke gegevens worden verwerkt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Periodieke review: verwerken wij meer dan nodig?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Juistheid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Gegevens zijn actueel en correct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Processen voor correctie op verzoek van betrokkene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Opslagbeperking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Gegevens worden niet langer bewaard dan nodig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Retentiebeleid (ISMS-027)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Integriteit en vertrouwelijkheid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Passende beveiliging tegen ongeautoriseerde toegang, verlies of vernietiging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ISMS-maatregelen (encryptie, toegangscontrole, logging)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Verantwoordingsplicht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 organisatie kan aantonen dat zij voldoet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Documentatie, audits, registers</w:t>
            </w:r>
          </w:p>
        </w:tc>
      </w:tr>
    </w:tbl>
    <w:p>
      <w:pPr>
        <w:pStyle w:val="Heading2"/>
      </w:pPr>
      <w:r>
        <w:t>3. Register van verwerkingsactiviteiten (Artikel 30)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Verwerking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Categorieën betrokkenen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Categorieën gegevens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Grondslag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Bewaartermijn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Verwerker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Doorgifte buiten EU?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[Salarisadministratie]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[Uitvoering arbeidsovereenkomst]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[Medewerkers]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[NAW, BSN, salaris, bankgegevens]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[Overeenkomst]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[7 jaar]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[Salarisprovider]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[Nee]</w:t>
            </w:r>
          </w:p>
        </w:tc>
      </w:tr>
      <w:tr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[Klantbeheer / CRM]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[Uitvoering overeenkomst, relatiebeheer]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[Klanten, contactpersonen]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[NAW, e-mail, telefoon, functie]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[Overeenkomst / Gerechtvaardigd belang]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[Duur relatie + 2 jaar]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[CRM-provider]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[Nee]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[Sollicitatieprocedure]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[Werving en selectie]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[Sollicitanten]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[NAW, CV, motivatiebrief]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[Toestemming]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[4 weken / 1 jaar]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[Geen]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[Nee]</w:t>
            </w:r>
          </w:p>
        </w:tc>
      </w:tr>
      <w:tr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[Website analytics]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[Websiteoptimalisatie]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[Websitebezoekers]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[IP-adres, gedragsdata]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[Toestemming]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[26 maanden]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[Analytics-provider]</w:t>
            </w:r>
          </w:p>
        </w:tc>
        <w:tc>
          <w:tcPr>
            <w:tcW w:type="dxa" w:w="104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[Te beoordelen]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pPr>
        <w:pStyle w:val="Heading2"/>
      </w:pPr>
      <w:r>
        <w:t>4. Rechten van betrokkenen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Recht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Reactietermijn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Inzage (Art. 15)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Betrokkene mag inzage vragen in eigen persoonsgegevens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 maand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FG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Rectificatie (Art. 16)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Onjuiste gegevens laten corrigeren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 maand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dataeigenaar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Verwijdering (Art. 17)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Gegevens laten verwijderen ("recht op vergetelheid")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 maand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IT-beheer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Beperking (Art. 18)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Verwerking tijdelijk stoppen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 maand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Dataportabiliteit (Art. 20)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Gegevens ontvangen in machineleesbaar formaat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 maand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Bezwaar (Art. 21)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Bezwaar maken tegen verwerking op basis van gerechtvaardigd belang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 maand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FG</w:t>
            </w:r>
          </w:p>
        </w:tc>
      </w:tr>
    </w:tbl>
    <w:p>
      <w:pPr>
        <w:pStyle w:val="Heading3"/>
      </w:pPr>
      <w:r>
        <w:t>4.1 Proces bij verzoek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Verzoek ontvangen en registreren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FG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Identiteit van verzoeker verifiëren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Beoordelen of het verzoek geldig is en of uitzonderingen gelden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/ Juridisch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Verzoek uitvoeren binnen 1 maand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IT-beheer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Betrokkene informeren over resultaat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Registreren in verzoeksregister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</w:tbl>
    <w:p>
      <w:pPr>
        <w:pStyle w:val="Heading2"/>
      </w:pPr>
      <w:r>
        <w:t>5. Verwerkersovereenkomsten (Artikel 28)</w:t>
      </w:r>
    </w:p>
    <w:p>
      <w:r>
        <w:t>Wanneer [Organisatienaam] een verwerker inschakelt die persoonsgegevens verwerkt:</w:t>
      </w:r>
    </w:p>
    <w:p>
      <w:pPr>
        <w:pStyle w:val="ListBullet"/>
      </w:pPr>
      <w:r>
        <w:t>Een verwerkersovereenkomst (VWO) is verplicht vóór aanvang van de verwerking</w:t>
      </w:r>
    </w:p>
    <w:p>
      <w:pPr>
        <w:pStyle w:val="ListBullet"/>
      </w:pPr>
      <w:r>
        <w:t>De VWO bevat minimaal: onderwerp, duur, aard en doel, type gegevens, categorieën betrokkenen, verplichtingen verwerker</w:t>
      </w:r>
    </w:p>
    <w:p>
      <w:pPr>
        <w:pStyle w:val="ListBullet"/>
      </w:pPr>
      <w:r>
        <w:t>Verwerkers worden beoordeeld op beveiligingsniveau (zie ISMS-023 en ISMS-024)</w:t>
      </w:r>
    </w:p>
    <w:p>
      <w:pPr>
        <w:pStyle w:val="ListBullet"/>
      </w:pPr>
      <w:r>
        <w:t>Register van verwerkers wordt bijgehouden</w:t>
      </w:r>
    </w:p>
    <w:p>
      <w:pPr>
        <w:pStyle w:val="Heading2"/>
      </w:pPr>
      <w:r>
        <w:t>6. Data Protection Impact Assessment (DPIA)</w:t>
      </w:r>
    </w:p>
    <w:p>
      <w:r>
        <w:t>Een DPIA is verplicht bij verwerkingen met een hoog risico, waaronder:</w:t>
      </w:r>
    </w:p>
    <w:p>
      <w:pPr>
        <w:pStyle w:val="ListBullet"/>
      </w:pPr>
      <w:r>
        <w:t>Grootschalige verwerking van bijzondere persoonsgegevens</w:t>
      </w:r>
    </w:p>
    <w:p>
      <w:pPr>
        <w:pStyle w:val="ListBullet"/>
      </w:pPr>
      <w:r>
        <w:t>Systematische monitoring van openbaar toegankelijke ruimtes</w:t>
      </w:r>
    </w:p>
    <w:p>
      <w:pPr>
        <w:pStyle w:val="ListBullet"/>
      </w:pPr>
      <w:r>
        <w:t>Profilering met rechtsgevolgen</w:t>
      </w:r>
    </w:p>
    <w:p>
      <w:pPr>
        <w:pStyle w:val="ListBullet"/>
      </w:pPr>
      <w:r>
        <w:t>Nieuwe technologieën met onbekend risico</w:t>
      </w:r>
    </w:p>
    <w:p>
      <w:pPr>
        <w:pStyle w:val="Heading3"/>
      </w:pPr>
      <w:r>
        <w:t>6.1 DPIA-proces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Beschrijving van de verwerking, doel en noodzaak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Beoordeling van de risico's voor betrokkenen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Identificatie van maatregelen om risico's te mitigeren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Documentatie en goedkeuring door CISO/FG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Indien hoog restrisico: voorafgaande raadpleging AP</w:t>
            </w:r>
          </w:p>
        </w:tc>
      </w:tr>
    </w:tbl>
    <w:p>
      <w:pPr>
        <w:pStyle w:val="Heading2"/>
      </w:pPr>
      <w:r>
        <w:t>7. Datalekprocedure</w:t>
      </w:r>
    </w:p>
    <w:p>
      <w:r>
        <w:t>Verwezen wordt naar het Incident Response Plan (ISMS-019). Aanvullend voor datalekken: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Termijn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Melding aan Autoriteit Persoonsgegevens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Binnen 72 uur na ontdekking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Melding aan betrokkenen (bij hoog risico)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Zo spoedig mogelijk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Registratie in datalekregister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</w:t>
            </w:r>
          </w:p>
        </w:tc>
      </w:tr>
    </w:tbl>
    <w:p>
      <w:pPr>
        <w:pStyle w:val="Heading3"/>
      </w:pPr>
      <w:r>
        <w:t>7.1 Datalekregister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 ontdekking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Categorieën betrokkenen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Aantal betrokkenen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Gemeld aan AP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Gemeld aan betrokkenen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Maatregelen</w:t>
            </w:r>
          </w:p>
        </w:tc>
        <w:tc>
          <w:tcPr>
            <w:tcW w:type="dxa" w:w="104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[Beschrijving]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[Categorie]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 + 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 + datum]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[Maatregelen]</w:t>
            </w:r>
          </w:p>
        </w:tc>
        <w:tc>
          <w:tcPr>
            <w:tcW w:type="dxa" w:w="104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[Open/Afgesloten]</w:t>
            </w:r>
          </w:p>
        </w:tc>
      </w:tr>
    </w:tbl>
    <w:p>
      <w:pPr>
        <w:pStyle w:val="Heading2"/>
      </w:pPr>
      <w:r>
        <w:t>8. Privacy by Design en by Default</w:t>
      </w:r>
    </w:p>
    <w:p>
      <w:r>
        <w:t>Bij de ontwikkeling of aanschaf van nieuwe systemen en processen:</w:t>
      </w:r>
    </w:p>
    <w:p>
      <w:pPr>
        <w:pStyle w:val="ListBullet"/>
      </w:pPr>
      <w:r>
        <w:t>Privacy by Design: Privacybescherming wordt vanaf het begin meegenomen in het ontwerp</w:t>
      </w:r>
    </w:p>
    <w:p>
      <w:pPr>
        <w:pStyle w:val="ListBullet"/>
      </w:pPr>
      <w:r>
        <w:t>Privacy by Default: Standaardinstellingen zijn zo privacyvriendelijk mogelijk (minimale dataverzameling, beperkte toegang)</w:t>
      </w:r>
    </w:p>
    <w:p>
      <w:pPr>
        <w:pStyle w:val="ListBullet"/>
      </w:pPr>
      <w:r>
        <w:t>CISO/FG wordt betrokken bij de ontwerpfase</w:t>
      </w:r>
    </w:p>
    <w:p>
      <w:pPr>
        <w:pStyle w:val="Heading2"/>
      </w:pPr>
      <w:r>
        <w:t>9. Functionaris Gegevensbescherming (FG/DPO)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Aangesteld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 / Nee / Niet verplicht]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Naam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of "extern via [bedrijf]"]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Contactgegevens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 / telefoon]</w:t>
            </w:r>
          </w:p>
        </w:tc>
      </w:tr>
    </w:tbl>
    <w:p>
      <w:r>
        <w:t>Een FG is verplicht als [Organisatienaam] op grote schaal bijzondere persoonsgegevens verwerkt of systematische monitoring uitvoert.</w:t>
      </w:r>
    </w:p>
    <w:p>
      <w:pPr>
        <w:pStyle w:val="Heading2"/>
      </w:pPr>
      <w:r>
        <w:t>10.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