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Werkinstructies — A.5 Organisatorische maatregelen</w:t>
      </w:r>
    </w:p>
    <w:p>
      <w:r>
        <w:t>Korte, praktische instructies per Annex A control. Per control: wat het is, wat je moet doen, en hoe je bewijst dat je het doet.</w:t>
      </w:r>
    </w:p>
    <w:p>
      <w:pPr>
        <w:spacing w:before="160" w:after="160"/>
      </w:pPr>
    </w:p>
    <w:p>
      <w:pPr>
        <w:pStyle w:val="Heading2"/>
      </w:pPr>
      <w:r>
        <w:t>A.5.1 — Beleid voor informatiebeveiliging</w:t>
      </w:r>
    </w:p>
    <w:p>
      <w:r>
        <w:t>Wat:</w:t>
      </w:r>
    </w:p>
    <w:p>
      <w:r>
        <w:t>Een formeel, door de directie goedgekeurd informatiebeveiligingsbeleid.</w:t>
      </w:r>
    </w:p>
    <w:p>
      <w:r>
        <w:t>Doen:</w:t>
      </w:r>
    </w:p>
    <w:p>
      <w:r>
        <w:t>Stel het beleid op (ISMS-002), laat het ondertekenen door de directie, communiceer het aan alle medewerkers, en review het jaarlijks.</w:t>
      </w:r>
    </w:p>
    <w:p>
      <w:r>
        <w:t>Bewijs:</w:t>
      </w:r>
    </w:p>
    <w:p>
      <w:r>
        <w:t>Goedgekeurd beleidsdocument met datum en handtekening, distributiebewijs (e-mail/intranet), reviewhistorie.</w:t>
      </w:r>
    </w:p>
    <w:p>
      <w:pPr>
        <w:spacing w:before="160" w:after="160"/>
      </w:pPr>
    </w:p>
    <w:p>
      <w:pPr>
        <w:pStyle w:val="Heading2"/>
      </w:pPr>
      <w:r>
        <w:t>A.5.2 — Rollen en verantwoordelijkheden</w:t>
      </w:r>
    </w:p>
    <w:p>
      <w:r>
        <w:t>Wat:</w:t>
      </w:r>
    </w:p>
    <w:p>
      <w:r>
        <w:t>Duidelijke toewijzing van informatiebeveiligingsverantwoordelijkheden.</w:t>
      </w:r>
    </w:p>
    <w:p>
      <w:r>
        <w:t>Doen:</w:t>
      </w:r>
    </w:p>
    <w:p>
      <w:r>
        <w:t>Leg vast wie welke rol heeft (ISMS-004), communiceer dit, en zorg dat iedereen weet wat er van hem/haar verwacht wordt.</w:t>
      </w:r>
    </w:p>
    <w:p>
      <w:r>
        <w:t>Bewijs:</w:t>
      </w:r>
    </w:p>
    <w:p>
      <w:r>
        <w:t>Rolbeschrijvingen, RACI-matrix, organogram, ondertekende functieomschrijvingen.</w:t>
      </w:r>
    </w:p>
    <w:p>
      <w:pPr>
        <w:spacing w:before="160" w:after="160"/>
      </w:pPr>
    </w:p>
    <w:p>
      <w:pPr>
        <w:pStyle w:val="Heading2"/>
      </w:pPr>
      <w:r>
        <w:t>A.5.3 — Scheiding van taken</w:t>
      </w:r>
    </w:p>
    <w:p>
      <w:r>
        <w:t>Wat:</w:t>
      </w:r>
    </w:p>
    <w:p>
      <w:r>
        <w:t>Conflicterende taken en verantwoordelijkheden scheiden om fraude of fouten te voorkomen.</w:t>
      </w:r>
    </w:p>
    <w:p>
      <w:r>
        <w:t>Doen:</w:t>
      </w:r>
    </w:p>
    <w:p>
      <w:r>
        <w:t>Zorg dat dezelfde persoon niet zowel een wijziging kan aanvragen als goedkeuren. Geen beheerder die ook auditor is van eigen werk.</w:t>
      </w:r>
    </w:p>
    <w:p>
      <w:r>
        <w:t>Bewijs:</w:t>
      </w:r>
    </w:p>
    <w:p>
      <w:r>
        <w:t>Procesbeschrijvingen met gescheiden goedkeuringsrollen, toegangsrechtenmatrix.</w:t>
      </w:r>
    </w:p>
    <w:p>
      <w:pPr>
        <w:spacing w:before="160" w:after="160"/>
      </w:pPr>
    </w:p>
    <w:p>
      <w:pPr>
        <w:pStyle w:val="Heading2"/>
      </w:pPr>
      <w:r>
        <w:t>A.5.4 — Managementverantwoordelijkheden</w:t>
      </w:r>
    </w:p>
    <w:p>
      <w:r>
        <w:t>Wat:</w:t>
      </w:r>
    </w:p>
    <w:p>
      <w:r>
        <w:t>Management stimuleert actief naleving van het beveiligingsbeleid.</w:t>
      </w:r>
    </w:p>
    <w:p>
      <w:r>
        <w:t>Doen:</w:t>
      </w:r>
    </w:p>
    <w:p>
      <w:r>
        <w:t>Directie communiceert het belang van informatiebeveiliging, stelt middelen beschikbaar, en neemt deel aan de managementreview.</w:t>
      </w:r>
    </w:p>
    <w:p>
      <w:r>
        <w:t>Bewijs:</w:t>
      </w:r>
    </w:p>
    <w:p>
      <w:r>
        <w:t>Notulen managementreview, budgettoewijzing, directiecommunicatie over beveiliging.</w:t>
      </w:r>
    </w:p>
    <w:p>
      <w:pPr>
        <w:spacing w:before="160" w:after="160"/>
      </w:pPr>
    </w:p>
    <w:p>
      <w:pPr>
        <w:pStyle w:val="Heading2"/>
      </w:pPr>
      <w:r>
        <w:t>A.5.5 — Contact met autoriteiten</w:t>
      </w:r>
    </w:p>
    <w:p>
      <w:r>
        <w:t>Wat:</w:t>
      </w:r>
    </w:p>
    <w:p>
      <w:r>
        <w:t>Relevante contactgegevens van autoriteiten bijhouden.</w:t>
      </w:r>
    </w:p>
    <w:p>
      <w:r>
        <w:t>Doen:</w:t>
      </w:r>
    </w:p>
    <w:p>
      <w:r>
        <w:t>Leg contactgegevens vast van AP, NCSC, politie en sectorale toezichthouders. Weet wanneer je ze moet bellen.</w:t>
      </w:r>
    </w:p>
    <w:p>
      <w:r>
        <w:t>Bewijs:</w:t>
      </w:r>
    </w:p>
    <w:p>
      <w:r>
        <w:t>Contactlijst in Incident Response Plan (ISMS-019), procedure voor meldplicht.</w:t>
      </w:r>
    </w:p>
    <w:p>
      <w:pPr>
        <w:spacing w:before="160" w:after="160"/>
      </w:pPr>
    </w:p>
    <w:p>
      <w:pPr>
        <w:pStyle w:val="Heading2"/>
      </w:pPr>
      <w:r>
        <w:t>A.5.6 — Contact met speciale belangengroepen</w:t>
      </w:r>
    </w:p>
    <w:p>
      <w:r>
        <w:t>Wat:</w:t>
      </w:r>
    </w:p>
    <w:p>
      <w:r>
        <w:t>Deelname aan relevante beveiligingsgroepen en -forums.</w:t>
      </w:r>
    </w:p>
    <w:p>
      <w:r>
        <w:t>Doen:</w:t>
      </w:r>
    </w:p>
    <w:p>
      <w:r>
        <w:t>Abonneer op NCSC-waarschuwingen, overweeg deelname aan branche-ISAC of lokale security-community.</w:t>
      </w:r>
    </w:p>
    <w:p>
      <w:r>
        <w:t>Bewijs:</w:t>
      </w:r>
    </w:p>
    <w:p>
      <w:r>
        <w:t>Abonnementen op waarschuwingsdiensten, lidmaatschappen, ontvangen meldingen.</w:t>
      </w:r>
    </w:p>
    <w:p>
      <w:pPr>
        <w:spacing w:before="160" w:after="160"/>
      </w:pPr>
    </w:p>
    <w:p>
      <w:pPr>
        <w:pStyle w:val="Heading2"/>
      </w:pPr>
      <w:r>
        <w:t>A.5.7 — Threat intelligence (nieuw 2022)</w:t>
      </w:r>
    </w:p>
    <w:p>
      <w:r>
        <w:t>Wat:</w:t>
      </w:r>
    </w:p>
    <w:p>
      <w:r>
        <w:t>Actief informatie verzamelen over cyberdreigingen die relevant zijn voor de organisatie.</w:t>
      </w:r>
    </w:p>
    <w:p>
      <w:r>
        <w:t>Doen:</w:t>
      </w:r>
    </w:p>
    <w:p>
      <w:r>
        <w:t>Monitor NCSC, CVE-databases en leveranciers-advisories. Beoordeel relevantie voor eigen omgeving.</w:t>
      </w:r>
    </w:p>
    <w:p>
      <w:r>
        <w:t>Bewijs:</w:t>
      </w:r>
    </w:p>
    <w:p>
      <w:r>
        <w:t>Threat intelligence procedure (ISMS-025), registratie van relevante dreigingen en ondernomen acties.</w:t>
      </w:r>
    </w:p>
    <w:p>
      <w:pPr>
        <w:spacing w:before="160" w:after="160"/>
      </w:pPr>
    </w:p>
    <w:p>
      <w:pPr>
        <w:pStyle w:val="Heading2"/>
      </w:pPr>
      <w:r>
        <w:t>A.5.8 — Informatiebeveiliging in projectmanagement</w:t>
      </w:r>
    </w:p>
    <w:p>
      <w:r>
        <w:t>Wat:</w:t>
      </w:r>
    </w:p>
    <w:p>
      <w:r>
        <w:t>Beveiligingseisen meenemen in elk project.</w:t>
      </w:r>
    </w:p>
    <w:p>
      <w:r>
        <w:t>Doen:</w:t>
      </w:r>
    </w:p>
    <w:p>
      <w:r>
        <w:t>Neem informatiebeveiliging op als vast onderdeel van projectinitiatie en -planning. CISO reviewt beveiligingsaspecten bij grote projecten.</w:t>
      </w:r>
    </w:p>
    <w:p>
      <w:r>
        <w:t>Bewijs:</w:t>
      </w:r>
    </w:p>
    <w:p>
      <w:r>
        <w:t>Projectchecklists met beveiligingsparagraaf, CISO-review bij projectgoedkeuring.</w:t>
      </w:r>
    </w:p>
    <w:p>
      <w:pPr>
        <w:spacing w:before="160" w:after="160"/>
      </w:pPr>
    </w:p>
    <w:p>
      <w:pPr>
        <w:pStyle w:val="Heading2"/>
      </w:pPr>
      <w:r>
        <w:t>A.5.9 — Inventarisatie van informatie en assets</w:t>
      </w:r>
    </w:p>
    <w:p>
      <w:r>
        <w:t>Wat:</w:t>
      </w:r>
    </w:p>
    <w:p>
      <w:r>
        <w:t>Een actueel register van alle informatie-assets.</w:t>
      </w:r>
    </w:p>
    <w:p>
      <w:r>
        <w:t>Doen:</w:t>
      </w:r>
    </w:p>
    <w:p>
      <w:r>
        <w:t>Registreer alle hardware, software, data en diensten met eigenaar en classificatie (ISMS-008).</w:t>
      </w:r>
    </w:p>
    <w:p>
      <w:r>
        <w:t>Bewijs:</w:t>
      </w:r>
    </w:p>
    <w:p>
      <w:r>
        <w:t>Asset register, periodieke inventarisatie-rapporten, eigenaarstoewijzingen.</w:t>
      </w:r>
    </w:p>
    <w:p>
      <w:pPr>
        <w:spacing w:before="160" w:after="160"/>
      </w:pPr>
    </w:p>
    <w:p>
      <w:pPr>
        <w:pStyle w:val="Heading2"/>
      </w:pPr>
      <w:r>
        <w:t>A.5.10 — Acceptabel gebruik van informatie</w:t>
      </w:r>
    </w:p>
    <w:p>
      <w:r>
        <w:t>Wat:</w:t>
      </w:r>
    </w:p>
    <w:p>
      <w:r>
        <w:t>Regels voor het gebruik van informatie en IT-middelen.</w:t>
      </w:r>
    </w:p>
    <w:p>
      <w:r>
        <w:t>Doen:</w:t>
      </w:r>
    </w:p>
    <w:p>
      <w:r>
        <w:t>Stel een Acceptable Use Policy op (ISMS-011), laat elke medewerker ondertekenen.</w:t>
      </w:r>
    </w:p>
    <w:p>
      <w:r>
        <w:t>Bewijs:</w:t>
      </w:r>
    </w:p>
    <w:p>
      <w:r>
        <w:t>Getekende AUP per medewerker, bewijs van communicatie.</w:t>
      </w:r>
    </w:p>
    <w:p>
      <w:pPr>
        <w:spacing w:before="160" w:after="160"/>
      </w:pPr>
    </w:p>
    <w:p>
      <w:pPr>
        <w:pStyle w:val="Heading2"/>
      </w:pPr>
      <w:r>
        <w:t>A.5.11 — Teruggave van assets</w:t>
      </w:r>
    </w:p>
    <w:p>
      <w:r>
        <w:t>Wat:</w:t>
      </w:r>
    </w:p>
    <w:p>
      <w:r>
        <w:t>Medewerkers leveren alle bedrijfsmiddelen in bij vertrek.</w:t>
      </w:r>
    </w:p>
    <w:p>
      <w:r>
        <w:t>Doen:</w:t>
      </w:r>
    </w:p>
    <w:p>
      <w:r>
        <w:t>Offboarding-checklist met retournering van laptop, badge, telefoon, sleutels, tokens.</w:t>
      </w:r>
    </w:p>
    <w:p>
      <w:r>
        <w:t>Bewijs:</w:t>
      </w:r>
    </w:p>
    <w:p>
      <w:r>
        <w:t>Getekende offboarding-checklist per vertrekkende medewerker (ISMS-009).</w:t>
      </w:r>
    </w:p>
    <w:p>
      <w:pPr>
        <w:spacing w:before="160" w:after="160"/>
      </w:pPr>
    </w:p>
    <w:p>
      <w:pPr>
        <w:pStyle w:val="Heading2"/>
      </w:pPr>
      <w:r>
        <w:t>A.5.12 — Classificatie van informatie</w:t>
      </w:r>
    </w:p>
    <w:p>
      <w:r>
        <w:t>Wat:</w:t>
      </w:r>
    </w:p>
    <w:p>
      <w:r>
        <w:t>Informatie indelen in classificatieniveaus.</w:t>
      </w:r>
    </w:p>
    <w:p>
      <w:r>
        <w:t>Doen:</w:t>
      </w:r>
    </w:p>
    <w:p>
      <w:r>
        <w:t>Gebruik 4 niveaus: Openbaar, Intern, Vertrouwelijk, Geheim. Eigenaar classificeert bij aanmaak (ISMS-014).</w:t>
      </w:r>
    </w:p>
    <w:p>
      <w:r>
        <w:t>Bewijs:</w:t>
      </w:r>
    </w:p>
    <w:p>
      <w:r>
        <w:t>Classificatiebeleid, gelabelde documenten, classificatie in asset register.</w:t>
      </w:r>
    </w:p>
    <w:p>
      <w:pPr>
        <w:spacing w:before="160" w:after="160"/>
      </w:pPr>
    </w:p>
    <w:p>
      <w:pPr>
        <w:pStyle w:val="Heading2"/>
      </w:pPr>
      <w:r>
        <w:t>A.5.13 — Labeling van informatie</w:t>
      </w:r>
    </w:p>
    <w:p>
      <w:r>
        <w:t>Wat:</w:t>
      </w:r>
    </w:p>
    <w:p>
      <w:r>
        <w:t>Informatie voorzien van het juiste classificatielabel.</w:t>
      </w:r>
    </w:p>
    <w:p>
      <w:r>
        <w:t>Doen:</w:t>
      </w:r>
    </w:p>
    <w:p>
      <w:r>
        <w:t>Digitaal: in koptekst of bestandsnaam. E-mail: [VERTROUWELIJK] in onderwerp. Fysiek: stempel of label op eerste pagina.</w:t>
      </w:r>
    </w:p>
    <w:p>
      <w:r>
        <w:t>Bewijs:</w:t>
      </w:r>
    </w:p>
    <w:p>
      <w:r>
        <w:t>Voorbeelden van gelabelde documenten, e-mails met classificatie in onderwerp.</w:t>
      </w:r>
    </w:p>
    <w:p>
      <w:pPr>
        <w:spacing w:before="160" w:after="160"/>
      </w:pPr>
    </w:p>
    <w:p>
      <w:pPr>
        <w:pStyle w:val="Heading2"/>
      </w:pPr>
      <w:r>
        <w:t>A.5.14 — Informatieoverdracht</w:t>
      </w:r>
    </w:p>
    <w:p>
      <w:r>
        <w:t>Wat:</w:t>
      </w:r>
    </w:p>
    <w:p>
      <w:r>
        <w:t>Regels voor het veilig overdragen van informatie.</w:t>
      </w:r>
    </w:p>
    <w:p>
      <w:r>
        <w:t>Doen:</w:t>
      </w:r>
    </w:p>
    <w:p>
      <w:r>
        <w:t>Vertrouwelijke informatie alleen via beveiligde kanalen (versleutelde e-mail, goedgekeurde platforms). Geen WeTransfer of privé-e-mail.</w:t>
      </w:r>
    </w:p>
    <w:p>
      <w:r>
        <w:t>Bewijs:</w:t>
      </w:r>
    </w:p>
    <w:p>
      <w:r>
        <w:t>Beleid voor informatieoverdracht, logboek van overdrachten aan externe partijen.</w:t>
      </w:r>
    </w:p>
    <w:p>
      <w:pPr>
        <w:spacing w:before="160" w:after="160"/>
      </w:pPr>
    </w:p>
    <w:p>
      <w:pPr>
        <w:pStyle w:val="Heading2"/>
      </w:pPr>
      <w:r>
        <w:t>A.5.15 — Toegangsbeveiliging</w:t>
      </w:r>
    </w:p>
    <w:p>
      <w:r>
        <w:t>Wat:</w:t>
      </w:r>
    </w:p>
    <w:p>
      <w:r>
        <w:t>Beleid voor het verlenen en beheren van toegang.</w:t>
      </w:r>
    </w:p>
    <w:p>
      <w:r>
        <w:t>Doen:</w:t>
      </w:r>
    </w:p>
    <w:p>
      <w:r>
        <w:t>Toegang op basis van need-to-know en least privilege (ISMS-012). Formeel aanvraagproces.</w:t>
      </w:r>
    </w:p>
    <w:p>
      <w:r>
        <w:t>Bewijs:</w:t>
      </w:r>
    </w:p>
    <w:p>
      <w:r>
        <w:t>Toegangsbeleid, aanvraagformulieren, periodieke reviews van toegangsrechten.</w:t>
      </w:r>
    </w:p>
    <w:p>
      <w:pPr>
        <w:spacing w:before="160" w:after="160"/>
      </w:pPr>
    </w:p>
    <w:p>
      <w:pPr>
        <w:pStyle w:val="Heading2"/>
      </w:pPr>
      <w:r>
        <w:t>A.5.16 — Identiteitsbeheer</w:t>
      </w:r>
    </w:p>
    <w:p>
      <w:r>
        <w:t>Wat:</w:t>
      </w:r>
    </w:p>
    <w:p>
      <w:r>
        <w:t>Beheer van gebruikersidentiteiten gedurende de hele levenscyclus.</w:t>
      </w:r>
    </w:p>
    <w:p>
      <w:r>
        <w:t>Doen:</w:t>
      </w:r>
    </w:p>
    <w:p>
      <w:r>
        <w:t>Unieke accounts per persoon, geen gedeelde accounts, tijdige deactivering bij vertrek.</w:t>
      </w:r>
    </w:p>
    <w:p>
      <w:r>
        <w:t>Bewijs:</w:t>
      </w:r>
    </w:p>
    <w:p>
      <w:r>
        <w:t>Accountoverzicht, bewijs van deactivering na vertrek, geen gedeelde accounts.</w:t>
      </w:r>
    </w:p>
    <w:p>
      <w:pPr>
        <w:spacing w:before="160" w:after="160"/>
      </w:pPr>
    </w:p>
    <w:p>
      <w:pPr>
        <w:pStyle w:val="Heading2"/>
      </w:pPr>
      <w:r>
        <w:t>A.5.17 — Authenticatie-informatie</w:t>
      </w:r>
    </w:p>
    <w:p>
      <w:r>
        <w:t>Wat:</w:t>
      </w:r>
    </w:p>
    <w:p>
      <w:r>
        <w:t>Veilige omgang met wachtwoorden en authenticatiegegevens.</w:t>
      </w:r>
    </w:p>
    <w:p>
      <w:r>
        <w:t>Doen:</w:t>
      </w:r>
    </w:p>
    <w:p>
      <w:r>
        <w:t>Sterk wachtwoordbeleid (ISMS-013), MFA verplicht, wachtwoordmanager gebruiken.</w:t>
      </w:r>
    </w:p>
    <w:p>
      <w:r>
        <w:t>Bewijs:</w:t>
      </w:r>
    </w:p>
    <w:p>
      <w:r>
        <w:t>Wachtwoordbeleid, MFA-configuratie, geen wachtwoorden in platte tekst.</w:t>
      </w:r>
    </w:p>
    <w:p>
      <w:pPr>
        <w:spacing w:before="160" w:after="160"/>
      </w:pPr>
    </w:p>
    <w:p>
      <w:pPr>
        <w:pStyle w:val="Heading2"/>
      </w:pPr>
      <w:r>
        <w:t>A.5.18 — Toegangsrechten</w:t>
      </w:r>
    </w:p>
    <w:p>
      <w:r>
        <w:t>Wat:</w:t>
      </w:r>
    </w:p>
    <w:p>
      <w:r>
        <w:t>Toekenning, wijziging en intrekking van toegangsrechten.</w:t>
      </w:r>
    </w:p>
    <w:p>
      <w:r>
        <w:t>Doen:</w:t>
      </w:r>
    </w:p>
    <w:p>
      <w:r>
        <w:t>Formeel aanvraagproces, periodieke review (halfjaarlijks), intrekking bij functiewijziging of vertrek.</w:t>
      </w:r>
    </w:p>
    <w:p>
      <w:r>
        <w:t>Bewijs:</w:t>
      </w:r>
    </w:p>
    <w:p>
      <w:r>
        <w:t>Toegangsverzoeken met goedkeuring, review-rapporten, intrekkingsregistratie.</w:t>
      </w:r>
    </w:p>
    <w:p>
      <w:pPr>
        <w:spacing w:before="160" w:after="160"/>
      </w:pPr>
    </w:p>
    <w:p>
      <w:pPr>
        <w:pStyle w:val="Heading2"/>
      </w:pPr>
      <w:r>
        <w:t>A.5.19 — Informatiebeveiliging in leveranciersrelaties</w:t>
      </w:r>
    </w:p>
    <w:p>
      <w:r>
        <w:t>Wat:</w:t>
      </w:r>
    </w:p>
    <w:p>
      <w:r>
        <w:t>Beveiligingseisen stellen aan leveranciers.</w:t>
      </w:r>
    </w:p>
    <w:p>
      <w:r>
        <w:t>Doen:</w:t>
      </w:r>
    </w:p>
    <w:p>
      <w:r>
        <w:t>Beoordeel leveranciers op beveiliging vóór samenwerking (ISMS-023, ISMS-024). NDA en VWO afsluiten.</w:t>
      </w:r>
    </w:p>
    <w:p>
      <w:r>
        <w:t>Bewijs:</w:t>
      </w:r>
    </w:p>
    <w:p>
      <w:r>
        <w:t>Leveranciersbeleid, getekende NDA's/VWO's, assessment-rapporten.</w:t>
      </w:r>
    </w:p>
    <w:p>
      <w:pPr>
        <w:spacing w:before="160" w:after="160"/>
      </w:pPr>
    </w:p>
    <w:p>
      <w:pPr>
        <w:pStyle w:val="Heading2"/>
      </w:pPr>
      <w:r>
        <w:t>A.5.20 — Adressering van IB in leveranciersovereenkomsten</w:t>
      </w:r>
    </w:p>
    <w:p>
      <w:r>
        <w:t>Wat:</w:t>
      </w:r>
    </w:p>
    <w:p>
      <w:r>
        <w:t>Beveiligingsclausules opnemen in contracten.</w:t>
      </w:r>
    </w:p>
    <w:p>
      <w:r>
        <w:t>Doen:</w:t>
      </w:r>
    </w:p>
    <w:p>
      <w:r>
        <w:t>Contracten bevatten: geheimhouding, beveiligingseisen, incidentmelding, auditrecht, datalocatie.</w:t>
      </w:r>
    </w:p>
    <w:p>
      <w:r>
        <w:t>Bewijs:</w:t>
      </w:r>
    </w:p>
    <w:p>
      <w:r>
        <w:t>Contracten met beveiligingsclausules, verwerkersovereenkomsten.</w:t>
      </w:r>
    </w:p>
    <w:p>
      <w:pPr>
        <w:spacing w:before="160" w:after="160"/>
      </w:pPr>
    </w:p>
    <w:p>
      <w:pPr>
        <w:pStyle w:val="Heading2"/>
      </w:pPr>
      <w:r>
        <w:t>A.5.21 — Beheer van IB in de ICT-toeleveringsketen</w:t>
      </w:r>
    </w:p>
    <w:p>
      <w:r>
        <w:t>Wat:</w:t>
      </w:r>
    </w:p>
    <w:p>
      <w:r>
        <w:t>Risico's in de ICT-keten beheersen.</w:t>
      </w:r>
    </w:p>
    <w:p>
      <w:r>
        <w:t>Doen:</w:t>
      </w:r>
    </w:p>
    <w:p>
      <w:r>
        <w:t>Beoordeel of leveranciers hun eigen leveranciers ook beveiligen. Eis transparantie over subverwerkers.</w:t>
      </w:r>
    </w:p>
    <w:p>
      <w:r>
        <w:t>Bewijs:</w:t>
      </w:r>
    </w:p>
    <w:p>
      <w:r>
        <w:t>Leveranciersbeoordeling met supply chain-vragen, subverwerkers-overzicht.</w:t>
      </w:r>
    </w:p>
    <w:p>
      <w:pPr>
        <w:spacing w:before="160" w:after="160"/>
      </w:pPr>
    </w:p>
    <w:p>
      <w:pPr>
        <w:pStyle w:val="Heading2"/>
      </w:pPr>
      <w:r>
        <w:t>A.5.22 — Monitoring en review van leveranciersdiensten</w:t>
      </w:r>
    </w:p>
    <w:p>
      <w:r>
        <w:t>Wat:</w:t>
      </w:r>
    </w:p>
    <w:p>
      <w:r>
        <w:t>Leveranciers periodiek beoordelen op beveiligingsprestaties.</w:t>
      </w:r>
    </w:p>
    <w:p>
      <w:r>
        <w:t>Doen:</w:t>
      </w:r>
    </w:p>
    <w:p>
      <w:r>
        <w:t>SLA's monitoren, certificeringen controleren, incidenten bij leverancier evalueren.</w:t>
      </w:r>
    </w:p>
    <w:p>
      <w:r>
        <w:t>Bewijs:</w:t>
      </w:r>
    </w:p>
    <w:p>
      <w:r>
        <w:t>SLA-rapportages, herbeoordeling-resultaten, register van leveranciersincidenten.</w:t>
      </w:r>
    </w:p>
    <w:p>
      <w:pPr>
        <w:spacing w:before="160" w:after="160"/>
      </w:pPr>
    </w:p>
    <w:p>
      <w:pPr>
        <w:pStyle w:val="Heading2"/>
      </w:pPr>
      <w:r>
        <w:t>A.5.23 — Informatiebeveiliging voor clouddiensten (nieuw 2022)</w:t>
      </w:r>
    </w:p>
    <w:p>
      <w:r>
        <w:t>Wat:</w:t>
      </w:r>
    </w:p>
    <w:p>
      <w:r>
        <w:t>Beveiligingseisen voor het gebruik van cloud.</w:t>
      </w:r>
    </w:p>
    <w:p>
      <w:r>
        <w:t>Doen:</w:t>
      </w:r>
    </w:p>
    <w:p>
      <w:r>
        <w:t>Alleen goedgekeurde clouddiensten. Beoordeling op datalocatie, encryptie, certificering (ISMS-026).</w:t>
      </w:r>
    </w:p>
    <w:p>
      <w:r>
        <w:t>Bewijs:</w:t>
      </w:r>
    </w:p>
    <w:p>
      <w:r>
        <w:t>Cloud security beleid, register van goedgekeurde diensten, verwerkersovereenkomsten.</w:t>
      </w:r>
    </w:p>
    <w:p>
      <w:pPr>
        <w:spacing w:before="160" w:after="160"/>
      </w:pPr>
    </w:p>
    <w:p>
      <w:pPr>
        <w:pStyle w:val="Heading2"/>
      </w:pPr>
      <w:r>
        <w:t>A.5.24 t/m A.5.28 — Incidentmanagement</w:t>
      </w:r>
    </w:p>
    <w:p>
      <w:r>
        <w:t>Wat:</w:t>
      </w:r>
    </w:p>
    <w:p>
      <w:r>
        <w:t>Plannen, beoordelen, reageren, leren en bewijzen bij incidenten.</w:t>
      </w:r>
    </w:p>
    <w:p>
      <w:r>
        <w:t>Doen:</w:t>
      </w:r>
    </w:p>
    <w:p>
      <w:r>
        <w:t>Incident Response Plan opstellen en testen (ISMS-019). Incidenten registreren en evalueren.</w:t>
      </w:r>
    </w:p>
    <w:p>
      <w:r>
        <w:t>Bewijs:</w:t>
      </w:r>
    </w:p>
    <w:p>
      <w:r>
        <w:t>IRP, incidentregister, evaluatierapporten, testverslagen.</w:t>
      </w:r>
    </w:p>
    <w:p>
      <w:pPr>
        <w:spacing w:before="160" w:after="160"/>
      </w:pPr>
    </w:p>
    <w:p>
      <w:pPr>
        <w:pStyle w:val="Heading2"/>
      </w:pPr>
      <w:r>
        <w:t>A.5.29 — Informatiebeveiliging tijdens verstoring</w:t>
      </w:r>
    </w:p>
    <w:p>
      <w:r>
        <w:t>Wat:</w:t>
      </w:r>
    </w:p>
    <w:p>
      <w:r>
        <w:t>Beveiliging handhaven ook tijdens calamiteiten.</w:t>
      </w:r>
    </w:p>
    <w:p>
      <w:r>
        <w:t>Doen:</w:t>
      </w:r>
    </w:p>
    <w:p>
      <w:r>
        <w:t>BCP bevat beveiligingsmaatregelen die ook in noodsituaties gelden (ISMS-020).</w:t>
      </w:r>
    </w:p>
    <w:p>
      <w:r>
        <w:t>Bewijs:</w:t>
      </w:r>
    </w:p>
    <w:p>
      <w:r>
        <w:t>BCP met beveiligingsparagraaf, testresultaten.</w:t>
      </w:r>
    </w:p>
    <w:p>
      <w:pPr>
        <w:spacing w:before="160" w:after="160"/>
      </w:pPr>
    </w:p>
    <w:p>
      <w:pPr>
        <w:pStyle w:val="Heading2"/>
      </w:pPr>
      <w:r>
        <w:t>A.5.30 — ICT-gereedheid voor bedrijfscontinuïteit</w:t>
      </w:r>
    </w:p>
    <w:p>
      <w:r>
        <w:t>Wat:</w:t>
      </w:r>
    </w:p>
    <w:p>
      <w:r>
        <w:t>ICT-systemen kunnen tijdig hersteld worden.</w:t>
      </w:r>
    </w:p>
    <w:p>
      <w:r>
        <w:t>Doen:</w:t>
      </w:r>
    </w:p>
    <w:p>
      <w:r>
        <w:t>RPO/RTO vaststellen per systeem, backups testen, uitwijkprocedures documenteren.</w:t>
      </w:r>
    </w:p>
    <w:p>
      <w:r>
        <w:t>Bewijs:</w:t>
      </w:r>
    </w:p>
    <w:p>
      <w:r>
        <w:t>BCP met RPO/RTO, backup-testresultaten, failover-testverslagen.</w:t>
      </w:r>
    </w:p>
    <w:p>
      <w:pPr>
        <w:spacing w:before="160" w:after="160"/>
      </w:pPr>
    </w:p>
    <w:p>
      <w:pPr>
        <w:pStyle w:val="Heading2"/>
      </w:pPr>
      <w:r>
        <w:t>A.5.31 — Wettelijke, statutaire en contractuele eisen</w:t>
      </w:r>
    </w:p>
    <w:p>
      <w:r>
        <w:t>Wat:</w:t>
      </w:r>
    </w:p>
    <w:p>
      <w:r>
        <w:t>Identificeer en voldoe aan alle toepasselijke wet- en regelgeving.</w:t>
      </w:r>
    </w:p>
    <w:p>
      <w:r>
        <w:t>Doen:</w:t>
      </w:r>
    </w:p>
    <w:p>
      <w:r>
        <w:t>Register bijhouden van toepasselijke wetten (AVG, NIS2, sectorspecifiek). Periodiek evalueren.</w:t>
      </w:r>
    </w:p>
    <w:p>
      <w:r>
        <w:t>Bewijs:</w:t>
      </w:r>
    </w:p>
    <w:p>
      <w:r>
        <w:t>Register van wet- en regelgeving, compliance-beoordeling.</w:t>
      </w:r>
    </w:p>
    <w:p>
      <w:pPr>
        <w:spacing w:before="160" w:after="160"/>
      </w:pPr>
    </w:p>
    <w:p>
      <w:pPr>
        <w:pStyle w:val="Heading2"/>
      </w:pPr>
      <w:r>
        <w:t>A.5.32 — Intellectuele eigendomsrechten</w:t>
      </w:r>
    </w:p>
    <w:p>
      <w:r>
        <w:t>Wat:</w:t>
      </w:r>
    </w:p>
    <w:p>
      <w:r>
        <w:t>Respecteer IP-rechten en licenties.</w:t>
      </w:r>
    </w:p>
    <w:p>
      <w:r>
        <w:t>Doen:</w:t>
      </w:r>
    </w:p>
    <w:p>
      <w:r>
        <w:t>Alleen legitiem gelicenseerde software gebruiken. Geen illegale kopieën.</w:t>
      </w:r>
    </w:p>
    <w:p>
      <w:r>
        <w:t>Bewijs:</w:t>
      </w:r>
    </w:p>
    <w:p>
      <w:r>
        <w:t>Licentieoverzicht, software-inventarisatie met licentie-status.</w:t>
      </w:r>
    </w:p>
    <w:p>
      <w:pPr>
        <w:spacing w:before="160" w:after="160"/>
      </w:pPr>
    </w:p>
    <w:p>
      <w:pPr>
        <w:pStyle w:val="Heading2"/>
      </w:pPr>
      <w:r>
        <w:t>A.5.33 — Bescherming van registraties</w:t>
      </w:r>
    </w:p>
    <w:p>
      <w:r>
        <w:t>Wat:</w:t>
      </w:r>
    </w:p>
    <w:p>
      <w:r>
        <w:t>Bescherm registraties tegen verlies, vernietiging en vervalsing.</w:t>
      </w:r>
    </w:p>
    <w:p>
      <w:r>
        <w:t>Doen:</w:t>
      </w:r>
    </w:p>
    <w:p>
      <w:r>
        <w:t>Bewaartermijnen naleven, toegang beperken, integriteit waarborgen.</w:t>
      </w:r>
    </w:p>
    <w:p>
      <w:r>
        <w:t>Bewijs:</w:t>
      </w:r>
    </w:p>
    <w:p>
      <w:r>
        <w:t>Retentiebeleid (ISMS-027), toegangscontrole op archieven.</w:t>
      </w:r>
    </w:p>
    <w:p>
      <w:pPr>
        <w:spacing w:before="160" w:after="160"/>
      </w:pPr>
    </w:p>
    <w:p>
      <w:pPr>
        <w:pStyle w:val="Heading2"/>
      </w:pPr>
      <w:r>
        <w:t>A.5.34 — Privacy en bescherming van PII</w:t>
      </w:r>
    </w:p>
    <w:p>
      <w:r>
        <w:t>Wat:</w:t>
      </w:r>
    </w:p>
    <w:p>
      <w:r>
        <w:t>Persoonsgegevens beschermen conform AVG.</w:t>
      </w:r>
    </w:p>
    <w:p>
      <w:r>
        <w:t>Doen:</w:t>
      </w:r>
    </w:p>
    <w:p>
      <w:r>
        <w:t>AVG-beleid implementeren (ISMS-033), verwerkingsregister bijhouden, DPIA uitvoeren waar nodig.</w:t>
      </w:r>
    </w:p>
    <w:p>
      <w:r>
        <w:t>Bewijs:</w:t>
      </w:r>
    </w:p>
    <w:p>
      <w:r>
        <w:t>AVG-beleid, verwerkingsregister, DPIA's, VWO's.</w:t>
      </w:r>
    </w:p>
    <w:p>
      <w:pPr>
        <w:spacing w:before="160" w:after="160"/>
      </w:pPr>
    </w:p>
    <w:p>
      <w:pPr>
        <w:pStyle w:val="Heading2"/>
      </w:pPr>
      <w:r>
        <w:t>A.5.35 — Onafhankelijke beoordeling van IB</w:t>
      </w:r>
    </w:p>
    <w:p>
      <w:r>
        <w:t>Wat:</w:t>
      </w:r>
    </w:p>
    <w:p>
      <w:r>
        <w:t>Periodieke onafhankelijke review van het ISMS.</w:t>
      </w:r>
    </w:p>
    <w:p>
      <w:r>
        <w:t>Doen:</w:t>
      </w:r>
    </w:p>
    <w:p>
      <w:r>
        <w:t>Interne audits door onafhankelijke auditor. Overweeg externe beoordeling.</w:t>
      </w:r>
    </w:p>
    <w:p>
      <w:r>
        <w:t>Bewijs:</w:t>
      </w:r>
    </w:p>
    <w:p>
      <w:r>
        <w:t>Interne auditrapportage (ISMS-021), eventuele externe auditresultaten.</w:t>
      </w:r>
    </w:p>
    <w:p>
      <w:pPr>
        <w:spacing w:before="160" w:after="160"/>
      </w:pPr>
    </w:p>
    <w:p>
      <w:pPr>
        <w:pStyle w:val="Heading2"/>
      </w:pPr>
      <w:r>
        <w:t>A.5.36 — Naleving van beleid, regels en normen</w:t>
      </w:r>
    </w:p>
    <w:p>
      <w:r>
        <w:t>Wat:</w:t>
      </w:r>
    </w:p>
    <w:p>
      <w:r>
        <w:t>Controleer of beleid daadwerkelijk wordt nageleefd.</w:t>
      </w:r>
    </w:p>
    <w:p>
      <w:r>
        <w:t>Doen:</w:t>
      </w:r>
    </w:p>
    <w:p>
      <w:r>
        <w:t>Interne audits, management review, monitoring.</w:t>
      </w:r>
    </w:p>
    <w:p>
      <w:r>
        <w:t>Bewijs:</w:t>
      </w:r>
    </w:p>
    <w:p>
      <w:r>
        <w:t>Auditresultaten, management review notulen, correctieve maatregelen.</w:t>
      </w:r>
    </w:p>
    <w:p>
      <w:pPr>
        <w:spacing w:before="160" w:after="160"/>
      </w:pPr>
    </w:p>
    <w:p>
      <w:pPr>
        <w:pStyle w:val="Heading2"/>
      </w:pPr>
      <w:r>
        <w:t>A.5.37 — Gedocumenteerde bedieningsprocedures</w:t>
      </w:r>
    </w:p>
    <w:p>
      <w:r>
        <w:t>Wat:</w:t>
      </w:r>
    </w:p>
    <w:p>
      <w:r>
        <w:t>Operationele procedures documenteren voor informatieverwerkende faciliteiten.</w:t>
      </w:r>
    </w:p>
    <w:p>
      <w:r>
        <w:t>Doen:</w:t>
      </w:r>
    </w:p>
    <w:p>
      <w:r>
        <w:t>Documenteer beheerhandelingen voor systemen, netwerk, backups etc.</w:t>
      </w:r>
    </w:p>
    <w:p>
      <w:r>
        <w:t>Bewijs:</w:t>
      </w:r>
    </w:p>
    <w:p>
      <w:r>
        <w:t>Operationele procedures, werkinstructies voor IT-beheer.</w:t>
      </w:r>
    </w:p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