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Werkinstructies — A.6 Persoonsgebonden maatregelen</w:t>
      </w:r>
    </w:p>
    <w:p>
      <w:pPr>
        <w:spacing w:before="160" w:after="160"/>
      </w:pPr>
    </w:p>
    <w:p>
      <w:pPr>
        <w:pStyle w:val="Heading2"/>
      </w:pPr>
      <w:r>
        <w:t>A.6.1 — Screening</w:t>
      </w:r>
    </w:p>
    <w:p>
      <w:r>
        <w:t>Wat:</w:t>
      </w:r>
    </w:p>
    <w:p>
      <w:r>
        <w:t>Verificatie van achtergrond van kandidaten vóór indiensttreding.</w:t>
      </w:r>
    </w:p>
    <w:p>
      <w:r>
        <w:t>Doen:</w:t>
      </w:r>
    </w:p>
    <w:p>
      <w:r>
        <w:t>Identiteitsbewijs controleren, diploma's verifiëren, referenties checken, VOG opvragen (proportioneel aan functie).</w:t>
      </w:r>
    </w:p>
    <w:p>
      <w:r>
        <w:t>Bewijs:</w:t>
      </w:r>
    </w:p>
    <w:p>
      <w:r>
        <w:t>Screeningchecklist per medewerker, kopie VOG (ISMS-009).</w:t>
      </w:r>
    </w:p>
    <w:p>
      <w:pPr>
        <w:spacing w:before="160" w:after="160"/>
      </w:pPr>
    </w:p>
    <w:p>
      <w:pPr>
        <w:pStyle w:val="Heading2"/>
      </w:pPr>
      <w:r>
        <w:t>A.6.2 — Arbeidsvoorwaarden</w:t>
      </w:r>
    </w:p>
    <w:p>
      <w:r>
        <w:t>Wat:</w:t>
      </w:r>
    </w:p>
    <w:p>
      <w:r>
        <w:t>Beveiligingsverantwoordelijkheden opnemen in arbeidsovereenkomst.</w:t>
      </w:r>
    </w:p>
    <w:p>
      <w:r>
        <w:t>Doen:</w:t>
      </w:r>
    </w:p>
    <w:p>
      <w:r>
        <w:t>Geheimhoudingsclausule, verwijzing naar informatiebeveiligingsbeleid en AUP in elk contract.</w:t>
      </w:r>
    </w:p>
    <w:p>
      <w:r>
        <w:t>Bewijs:</w:t>
      </w:r>
    </w:p>
    <w:p>
      <w:r>
        <w:t>Getekende arbeidsovereenkomst met beveiligingsclausules.</w:t>
      </w:r>
    </w:p>
    <w:p>
      <w:pPr>
        <w:spacing w:before="160" w:after="160"/>
      </w:pPr>
    </w:p>
    <w:p>
      <w:pPr>
        <w:pStyle w:val="Heading2"/>
      </w:pPr>
      <w:r>
        <w:t>A.6.3 — Bewustwording, opleiding en training</w:t>
      </w:r>
    </w:p>
    <w:p>
      <w:r>
        <w:t>Wat:</w:t>
      </w:r>
    </w:p>
    <w:p>
      <w:r>
        <w:t>Medewerkers trainen en bewust maken van informatiebeveiliging.</w:t>
      </w:r>
    </w:p>
    <w:p>
      <w:r>
        <w:t>Doen:</w:t>
      </w:r>
    </w:p>
    <w:p>
      <w:r>
        <w:t>Onboarding-training voor nieuwelingen, jaarlijkse awareness-training voor iedereen, phishing-simulaties (ISMS-010).</w:t>
      </w:r>
    </w:p>
    <w:p>
      <w:r>
        <w:t>Bewijs:</w:t>
      </w:r>
    </w:p>
    <w:p>
      <w:r>
        <w:t>Trainingsregistratie, toetsresultaten, phishing-simulatie rapporten.</w:t>
      </w:r>
    </w:p>
    <w:p>
      <w:pPr>
        <w:spacing w:before="160" w:after="160"/>
      </w:pPr>
    </w:p>
    <w:p>
      <w:pPr>
        <w:pStyle w:val="Heading2"/>
      </w:pPr>
      <w:r>
        <w:t>A.6.4 — Disciplinair proces</w:t>
      </w:r>
    </w:p>
    <w:p>
      <w:r>
        <w:t>Wat:</w:t>
      </w:r>
    </w:p>
    <w:p>
      <w:r>
        <w:t>Formeel proces voor sancties bij beleidsovertreding.</w:t>
      </w:r>
    </w:p>
    <w:p>
      <w:r>
        <w:t>Doen:</w:t>
      </w:r>
    </w:p>
    <w:p>
      <w:r>
        <w:t>Escalatiemodel: waarschuwing → schriftelijke waarschuwing → schorsing/ontslag. Proportioneel aan ernst.</w:t>
      </w:r>
    </w:p>
    <w:p>
      <w:r>
        <w:t>Bewijs:</w:t>
      </w:r>
    </w:p>
    <w:p>
      <w:r>
        <w:t>Disciplinair beleid in HR-beleid (ISMS-009), registratie van overtredingen en maatregelen.</w:t>
      </w:r>
    </w:p>
    <w:p>
      <w:pPr>
        <w:spacing w:before="160" w:after="160"/>
      </w:pPr>
    </w:p>
    <w:p>
      <w:pPr>
        <w:pStyle w:val="Heading2"/>
      </w:pPr>
      <w:r>
        <w:t>A.6.5 — Verantwoordelijkheden bij beëindiging of wijziging</w:t>
      </w:r>
    </w:p>
    <w:p>
      <w:r>
        <w:t>Wat:</w:t>
      </w:r>
    </w:p>
    <w:p>
      <w:r>
        <w:t>Beveiligingstaken bij vertrek of functiewijziging.</w:t>
      </w:r>
    </w:p>
    <w:p>
      <w:r>
        <w:t>Doen:</w:t>
      </w:r>
    </w:p>
    <w:p>
      <w:r>
        <w:t>Offboarding-checklist: toegang intrekken, apparatuur inleveren, herinnering geheimhouding (ISMS-009).</w:t>
      </w:r>
    </w:p>
    <w:p>
      <w:r>
        <w:t>Bewijs:</w:t>
      </w:r>
    </w:p>
    <w:p>
      <w:r>
        <w:t>Getekende offboarding-checklist, bewijs van intrekking toegangsrechten.</w:t>
      </w:r>
    </w:p>
    <w:p>
      <w:pPr>
        <w:spacing w:before="160" w:after="160"/>
      </w:pPr>
    </w:p>
    <w:p>
      <w:pPr>
        <w:pStyle w:val="Heading2"/>
      </w:pPr>
      <w:r>
        <w:t>A.6.6 — Geheimhoudingsovereenkomsten</w:t>
      </w:r>
    </w:p>
    <w:p>
      <w:r>
        <w:t>Wat:</w:t>
      </w:r>
    </w:p>
    <w:p>
      <w:r>
        <w:t>NDA's voor iedereen die toegang heeft tot vertrouwelijke informatie.</w:t>
      </w:r>
    </w:p>
    <w:p>
      <w:r>
        <w:t>Doen:</w:t>
      </w:r>
    </w:p>
    <w:p>
      <w:r>
        <w:t>Geheimhoudingsverklaring ondertekenen bij indiensttreding. Aparte NDA voor externen.</w:t>
      </w:r>
    </w:p>
    <w:p>
      <w:r>
        <w:t>Bewijs:</w:t>
      </w:r>
    </w:p>
    <w:p>
      <w:r>
        <w:t>Getekende geheimhoudingsverklaringen en NDA's.</w:t>
      </w:r>
    </w:p>
    <w:p>
      <w:pPr>
        <w:spacing w:before="160" w:after="160"/>
      </w:pPr>
    </w:p>
    <w:p>
      <w:pPr>
        <w:pStyle w:val="Heading2"/>
      </w:pPr>
      <w:r>
        <w:t>A.6.7 — Werken op afstand</w:t>
      </w:r>
    </w:p>
    <w:p>
      <w:r>
        <w:t>Wat:</w:t>
      </w:r>
    </w:p>
    <w:p>
      <w:r>
        <w:t>Beveiligingsmaatregelen voor thuiswerken en mobiel werken.</w:t>
      </w:r>
    </w:p>
    <w:p>
      <w:r>
        <w:t>Doen:</w:t>
      </w:r>
    </w:p>
    <w:p>
      <w:r>
        <w:t>VPN verplicht, beveiligd thuisnetwerk, apparaat vergrendelen, geen vertrouwelijke gesprekken in openbare ruimtes (ISMS-030).</w:t>
      </w:r>
    </w:p>
    <w:p>
      <w:r>
        <w:t>Bewijs:</w:t>
      </w:r>
    </w:p>
    <w:p>
      <w:r>
        <w:t>Remote working policy, VPN-logboek, getekende verklaring thuiswerkregels.</w:t>
      </w:r>
    </w:p>
    <w:p>
      <w:pPr>
        <w:spacing w:before="160" w:after="160"/>
      </w:pPr>
    </w:p>
    <w:p>
      <w:pPr>
        <w:pStyle w:val="Heading2"/>
      </w:pPr>
      <w:r>
        <w:t>A.6.8 — Rapportage van beveiligingsgebeurtenissen</w:t>
      </w:r>
    </w:p>
    <w:p>
      <w:r>
        <w:t>Wat:</w:t>
      </w:r>
    </w:p>
    <w:p>
      <w:r>
        <w:t>Medewerkers weten hoe en waar ze incidenten melden.</w:t>
      </w:r>
    </w:p>
    <w:p>
      <w:r>
        <w:t>Doen:</w:t>
      </w:r>
    </w:p>
    <w:p>
      <w:r>
        <w:t>Duidelijke meldprocedure communiceren (aan wie, via welk kanaal, wat te melden). Drempel laag houden.</w:t>
      </w:r>
    </w:p>
    <w:p>
      <w:r>
        <w:t>Bewijs:</w:t>
      </w:r>
    </w:p>
    <w:p>
      <w:r>
        <w:t>Meldprocedure in AUP en IRP, incidentregistratie met meldingen van medewerkers.</w:t>
      </w:r>
    </w:p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