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B4D"/>
          <w:sz w:val="48"/>
          <w:szCs w:val="48"/>
        </w:rPr>
        <w:t xml:space="preserve">FINORA</w:t>
      </w:r>
    </w:p>
    <w:p>
      <w:pPr>
        <w:spacing w:after="60"/>
      </w:pPr>
      <w:r>
        <w:rPr>
          <w:rFonts w:ascii="Calibri" w:cs="Calibri" w:eastAsia="Calibri" w:hAnsi="Calibri"/>
          <w:b/>
          <w:bCs/>
          <w:color w:val="0F6E56"/>
          <w:sz w:val="32"/>
          <w:szCs w:val="32"/>
        </w:rPr>
        <w:t xml:space="preserve">Product Requirements Document (PRD)</w:t>
      </w:r>
    </w:p>
    <w:p>
      <w:pPr>
        <w:spacing w:after="260"/>
      </w:pPr>
      <w:r>
        <w:rPr>
          <w:rFonts w:ascii="Calibri" w:cs="Calibri" w:eastAsia="Calibri" w:hAnsi="Calibri"/>
          <w:color w:val="595959"/>
          <w:sz w:val="23"/>
          <w:szCs w:val="23"/>
        </w:rPr>
        <w:t xml:space="preserve">Aplikasi FINORA — Lingkup MVP Fase 0–1: Demo Hackathon → Pilot Data Riil</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2200"/>
        <w:gridCol w:w="6826"/>
      </w:tblGrid>
      <w:tr>
        <w:trPr>
          <w:tblHeader/>
        </w:trPr>
        <w:tc>
          <w:tcPr>
            <w:tcW w:type="dxa" w:w="2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Atribut</w:t>
            </w:r>
          </w:p>
        </w:tc>
        <w:tc>
          <w:tcPr>
            <w:tcW w:type="dxa" w:w="68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Keterangan</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Versi</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1.0 — Juli 2026</w:t>
            </w:r>
          </w:p>
        </w:tc>
      </w:tr>
      <w:tr>
        <w:trPr>
          <w:tblHeader w:val="false"/>
        </w:trPr>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Status</w:t>
            </w:r>
          </w:p>
        </w:tc>
        <w:tc>
          <w:tcPr>
            <w:tcW w:type="dxa" w:w="6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Draf untuk review tim &amp; dosen pembimbing</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Pemilik dokumen</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Tim FINORA — Politeknik Negeri Bandung · DIGDAYA x Hackathon 2026</w:t>
            </w:r>
          </w:p>
        </w:tc>
      </w:tr>
      <w:tr>
        <w:trPr>
          <w:tblHeader w:val="false"/>
        </w:trPr>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Cakupan rilis</w:t>
            </w:r>
          </w:p>
        </w:tc>
        <w:tc>
          <w:tcPr>
            <w:tcW w:type="dxa" w:w="6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MVP Fase 0 (demo hackathon) hingga Fase 1 (pilot 0–6 bulan, data riil terbatas)</w:t>
            </w:r>
          </w:p>
        </w:tc>
      </w:tr>
      <w:tr>
        <w:trPr>
          <w:tblHeader w:val="false"/>
        </w:trPr>
        <w:tc>
          <w:tcPr>
            <w:tcW w:type="dxa" w:w="2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Dokumen sumber</w:t>
            </w:r>
          </w:p>
        </w:tc>
        <w:tc>
          <w:tcPr>
            <w:tcW w:type="dxa" w:w="68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Proposal Lengkap FINORA (Review 2026); Dokumen Sistem Skoring FINORA v1.0; catatan arsitektur settlement bilateral &amp; pembagian modul Finora–lender (Juli 2026)</w:t>
            </w:r>
          </w:p>
        </w:tc>
      </w:tr>
      <w:tr>
        <w:trPr>
          <w:tblHeader w:val="false"/>
        </w:trPr>
        <w:tc>
          <w:tcPr>
            <w:tcW w:type="dxa" w:w="2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Platform target</w:t>
            </w:r>
          </w:p>
        </w:tc>
        <w:tc>
          <w:tcPr>
            <w:tcW w:type="dxa" w:w="68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Aplikasi mobile Flutter (Android-first), backend layanan skor &amp; pipeline data, dashboard admin web internal, generator laporan PDF</w:t>
            </w:r>
          </w:p>
        </w:tc>
      </w:tr>
    </w:tbl>
    <w:p>
      <w:pPr>
        <w:spacing w:after="240"/>
      </w:pPr>
    </w:p>
    <w:p>
      <w:pPr>
        <w:spacing w:after="140" w:line="276"/>
      </w:pPr>
      <w:r>
        <w:rPr>
          <w:rFonts w:ascii="Calibri" w:cs="Calibri" w:eastAsia="Calibri" w:hAnsi="Calibri"/>
          <w:b/>
          <w:bCs/>
        </w:rPr>
        <w:t xml:space="preserve">Cara membaca dokumen ini. </w:t>
      </w:r>
      <w:r>
        <w:rPr>
          <w:rFonts w:ascii="Calibri" w:cs="Calibri" w:eastAsia="Calibri" w:hAnsi="Calibri"/>
        </w:rPr>
        <w:t xml:space="preserve">PRD ini mengunci lingkup pengembangan aplikasi. Definisi metrik skor, binning, dan rasional kredit tidak diduplikasi di sini — keduanya mengikuti Dokumen Sistem Skoring v1.0 sebagai spesifikasi teknis yang mengikat. Prinsip arsitektur tertinggi: FINORA adalah infrastruktur origination dan monitoring — bukan penyalur pinjaman, bukan penyelenggara jasa pembayaran.</w:t>
      </w:r>
    </w:p>
    <w:p>
      <w:pPr>
        <w:spacing w:after="60" w:line="276"/>
      </w:pPr>
      <w:r>
        <w:rPr>
          <w:rFonts w:ascii="Calibri" w:cs="Calibri" w:eastAsia="Calibri" w:hAnsi="Calibri"/>
          <w:b/>
          <w:bCs/>
          <w:color w:val="1F3B4D"/>
          <w:sz w:val="26"/>
          <w:szCs w:val="26"/>
        </w:rPr>
        <w:t xml:space="preserve">Daftar Isi</w:t>
      </w:r>
    </w:p>
    <w:p>
      <w:pPr>
        <w:spacing w:after="120" w:line="276"/>
      </w:pPr>
      <w:r>
        <w:rPr>
          <w:rFonts w:ascii="Calibri" w:cs="Calibri" w:eastAsia="Calibri" w:hAnsi="Calibri"/>
          <w:i/>
          <w:iCs/>
          <w:color w:val="595959"/>
          <w:sz w:val="18"/>
          <w:szCs w:val="18"/>
        </w:rPr>
        <w:t xml:space="preserve">Buka dokumen di Microsoft Word, klik kanan pada daftar isi, lalu pilih Update Field untuk memunculkan nomor halaman.</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Latar Belakang dan Posisi Produk</w:t>
      </w:r>
    </w:p>
    <w:p>
      <w:pPr>
        <w:spacing w:after="140" w:line="276"/>
      </w:pPr>
      <w:r>
        <w:rPr>
          <w:rFonts w:ascii="Calibri" w:cs="Calibri" w:eastAsia="Calibri" w:hAnsi="Calibri"/>
        </w:rPr>
        <w:t xml:space="preserve">FINORA mengubah jejak transaksi QRIS menjadi Skor Kesehatan Usaha 1–100 bagi merchant UMKM yang credit-invisible — usahanya hidup dan arus kasnya nyata, tetapi tidak memiliki riwayat di SLIK sehingga tidak terbaca proses kredit formal. Aplikasi merchant (gratis selamanya) menjadi mesin persetujuan data, corong borrower, dan alat pembentuk perilaku keuangan; nilai komersial dijual ke sisi lender berupa pipeline borrower terverifikasi, laporan siap komite, dan (pada fase lanjut) pemantauan dini.</w:t>
      </w:r>
    </w:p>
    <w:p>
      <w:pPr>
        <w:spacing w:after="140" w:line="276"/>
      </w:pPr>
      <w:r>
        <w:rPr>
          <w:rFonts w:ascii="Calibri" w:cs="Calibri" w:eastAsia="Calibri" w:hAnsi="Calibri"/>
        </w:rPr>
        <w:t xml:space="preserve">Posisi dalam ekosistem: FINORA bukan pemberi pinjaman dan bukan biro kredit. Keputusan kredit, akad, pencairan, penagihan, dan seluruh penanganan dana berada di lender berizin. Batas ini bukan sekadar pernyataan bisnis — ia adalah batas lingkup pengembangan aplikasi yang dijaga dokumen ini (lihat Bab 8, Out of Scope).</w:t>
      </w:r>
    </w:p>
    <w:p>
      <w:pPr>
        <w:pStyle w:val="Heading2"/>
      </w:pPr>
      <w:r>
        <w:t xml:space="preserve">1.1 Empat Prinsip Desain Produk</w:t>
      </w:r>
    </w:p>
    <w:p>
      <w:pPr>
        <w:pStyle w:val="ListParagraph"/>
        <w:numPr>
          <w:ilvl w:val="0"/>
          <w:numId w:val="2"/>
        </w:numPr>
        <w:spacing w:after="80" w:line="262"/>
      </w:pPr>
      <w:r>
        <w:rPr>
          <w:rFonts w:ascii="Calibri" w:cs="Calibri" w:eastAsia="Calibri" w:hAnsi="Calibri"/>
        </w:rPr>
        <w:t xml:space="preserve">Nol input manual — tidak ada formulir dan unggah dokumen; identitas usaha ditangkap dari pemindaian stiker QRIS milik merchant, data masuk melalui persetujuan koneksi per sumber.</w:t>
      </w:r>
    </w:p>
    <w:p>
      <w:pPr>
        <w:pStyle w:val="ListParagraph"/>
        <w:numPr>
          <w:ilvl w:val="0"/>
          <w:numId w:val="2"/>
        </w:numPr>
        <w:spacing w:after="80" w:line="262"/>
      </w:pPr>
      <w:r>
        <w:rPr>
          <w:rFonts w:ascii="Calibri" w:cs="Calibri" w:eastAsia="Calibri" w:hAnsi="Calibri"/>
        </w:rPr>
        <w:t xml:space="preserve">Data minimization — hanya agregat harian yang diambil dan disimpan; tanpa rincian per transaksi pembeli, tanpa PAN mentah.</w:t>
      </w:r>
    </w:p>
    <w:p>
      <w:pPr>
        <w:pStyle w:val="ListParagraph"/>
        <w:numPr>
          <w:ilvl w:val="0"/>
          <w:numId w:val="2"/>
        </w:numPr>
        <w:spacing w:after="80" w:line="262"/>
      </w:pPr>
      <w:r>
        <w:rPr>
          <w:rFonts w:ascii="Calibri" w:cs="Calibri" w:eastAsia="Calibri" w:hAnsi="Calibri"/>
        </w:rPr>
        <w:t xml:space="preserve">Modularitas — rel akuisisi data dan modul koreksi dapat ditambah/dilepas tanpa merombak mesin skor.</w:t>
      </w:r>
    </w:p>
    <w:p>
      <w:pPr>
        <w:pStyle w:val="ListParagraph"/>
        <w:numPr>
          <w:ilvl w:val="0"/>
          <w:numId w:val="2"/>
        </w:numPr>
        <w:spacing w:after="80" w:line="262"/>
      </w:pPr>
      <w:r>
        <w:rPr>
          <w:rFonts w:ascii="Calibri" w:cs="Calibri" w:eastAsia="Calibri" w:hAnsi="Calibri"/>
        </w:rPr>
        <w:t xml:space="preserve">Nol sentuhan dana — aplikasi tidak pernah menampung, meneruskan, atau menginstruksikan perpindahan dana; uang mengalir bilateral lender ↔ merchant, FINORA hanya lapisan data, verifikasi, dan intelijen.</w:t>
      </w:r>
    </w:p>
    <w:p>
      <w:pPr>
        <w:pStyle w:val="Heading1"/>
      </w:pPr>
      <w:r>
        <w:t xml:space="preserve">2. Objective</w:t>
      </w:r>
    </w:p>
    <w:p>
      <w:pPr>
        <w:pStyle w:val="Heading2"/>
      </w:pPr>
      <w:r>
        <w:t xml:space="preserve">2.1 Tujuan Produk</w:t>
      </w:r>
    </w:p>
    <w:p>
      <w:pPr>
        <w:spacing w:after="140" w:line="276"/>
      </w:pPr>
      <w:r>
        <w:rPr>
          <w:rFonts w:ascii="Calibri" w:cs="Calibri" w:eastAsia="Calibri" w:hAnsi="Calibri"/>
        </w:rPr>
        <w:t xml:space="preserve">Membangun jembatan data antara merchant QRIS credit-invisible dan lender berizin: merchant memperoleh skor yang dapat dipahami dan diperbaiki (paspor kredit portabel), lender memperoleh calon nasabah tersaring beserta bukti omzet terverifikasi dan dokumentasi siap komite — dengan biaya penilaian per keputusan yang turun drastis dibanding survei manual.</w:t>
      </w:r>
    </w:p>
    <w:p>
      <w:pPr>
        <w:pStyle w:val="Heading2"/>
      </w:pPr>
      <w:r>
        <w:t xml:space="preserve">2.2 Sasaran Terukur Rilis MVP</w:t>
      </w:r>
    </w:p>
    <w:p>
      <w:pPr>
        <w:pStyle w:val="ListParagraph"/>
        <w:numPr>
          <w:ilvl w:val="0"/>
          <w:numId w:val="2"/>
        </w:numPr>
        <w:spacing w:after="80" w:line="262"/>
      </w:pPr>
      <w:r>
        <w:rPr>
          <w:rFonts w:ascii="Calibri" w:cs="Calibri" w:eastAsia="Calibri" w:hAnsi="Calibri"/>
        </w:rPr>
        <w:t xml:space="preserve">Alur inti berjalan end-to-end pada data riil: registrasi → identity capture → consent → skor perdana &lt; 30 detik → Explainer → marketplace → referral, tanpa input manual selain nomor HP/OTP.</w:t>
      </w:r>
    </w:p>
    <w:p>
      <w:pPr>
        <w:pStyle w:val="ListParagraph"/>
        <w:numPr>
          <w:ilvl w:val="0"/>
          <w:numId w:val="2"/>
        </w:numPr>
        <w:spacing w:after="80" w:line="262"/>
      </w:pPr>
      <w:r>
        <w:rPr>
          <w:rFonts w:ascii="Calibri" w:cs="Calibri" w:eastAsia="Calibri" w:hAnsi="Calibri"/>
        </w:rPr>
        <w:t xml:space="preserve">30–50 merchant pilot terhubung sukarela melalui minimal satu rel data riil (Rel 2 parsing laporan settlement dan/atau Rel 1 agregator open finance).</w:t>
      </w:r>
    </w:p>
    <w:p>
      <w:pPr>
        <w:pStyle w:val="ListParagraph"/>
        <w:numPr>
          <w:ilvl w:val="0"/>
          <w:numId w:val="2"/>
        </w:numPr>
        <w:spacing w:after="80" w:line="262"/>
      </w:pPr>
      <w:r>
        <w:rPr>
          <w:rFonts w:ascii="Calibri" w:cs="Calibri" w:eastAsia="Calibri" w:hAnsi="Calibri"/>
        </w:rPr>
        <w:t xml:space="preserve">Refresh skor mingguan berjalan tanpa galat pada ≥ 100 profil selama minimal 2 siklus berturut-turut.</w:t>
      </w:r>
    </w:p>
    <w:p>
      <w:pPr>
        <w:pStyle w:val="ListParagraph"/>
        <w:numPr>
          <w:ilvl w:val="0"/>
          <w:numId w:val="2"/>
        </w:numPr>
        <w:spacing w:after="80" w:line="262"/>
      </w:pPr>
      <w:r>
        <w:rPr>
          <w:rFonts w:ascii="Calibri" w:cs="Calibri" w:eastAsia="Calibri" w:hAnsi="Calibri"/>
        </w:rPr>
        <w:t xml:space="preserve">Minimal 1 lender mitra menerima paket referral melalui kanal MVP; minimal 1 LOI/MOU pilot rujukan berbasis success fee ditandatangani.</w:t>
      </w:r>
    </w:p>
    <w:p>
      <w:pPr>
        <w:pStyle w:val="ListParagraph"/>
        <w:numPr>
          <w:ilvl w:val="0"/>
          <w:numId w:val="2"/>
        </w:numPr>
        <w:spacing w:after="80" w:line="262"/>
      </w:pPr>
      <w:r>
        <w:rPr>
          <w:rFonts w:ascii="Calibri" w:cs="Calibri" w:eastAsia="Calibri" w:hAnsi="Calibri"/>
        </w:rPr>
        <w:t xml:space="preserve">Batch scorer siap dipakai untuk shadow scoring retrospektif atas arsip anonim lender (gerbang penggunaan skor untuk keputusan kredit: Gini &gt; 0,3 — proses analitik di luar aplikasi).</w:t>
      </w:r>
    </w:p>
    <w:p>
      <w:pPr>
        <w:pStyle w:val="ListParagraph"/>
        <w:numPr>
          <w:ilvl w:val="0"/>
          <w:numId w:val="2"/>
        </w:numPr>
        <w:spacing w:after="80" w:line="262"/>
      </w:pPr>
      <w:r>
        <w:rPr>
          <w:rFonts w:ascii="Calibri" w:cs="Calibri" w:eastAsia="Calibri" w:hAnsi="Calibri"/>
        </w:rPr>
        <w:t xml:space="preserve">Paket kepatuhan (log consent, audit trail, dokumentasi scorecard berversi) siap menjadi lampiran pendaftaran regulatory sandbox POJK 3/2024.</w:t>
      </w:r>
    </w:p>
    <w:p>
      <w:pPr>
        <w:pStyle w:val="Heading2"/>
      </w:pPr>
      <w:r>
        <w:t xml:space="preserve">2.3 Bukan Tujuan Rilis Ini</w:t>
      </w:r>
    </w:p>
    <w:p>
      <w:pPr>
        <w:spacing w:after="140" w:line="276"/>
      </w:pPr>
      <w:r>
        <w:rPr>
          <w:rFonts w:ascii="Calibri" w:cs="Calibri" w:eastAsia="Calibri" w:hAnsi="Calibri"/>
        </w:rPr>
        <w:t xml:space="preserve">Segala hal di sisi lender (keputusan, akad, pencairan, penagihan), segala bentuk penanganan dana, klaim probabilitas gagal bayar, dan produk monitoring harian berbayar berada di luar rilis ini — dirinci pada Bab 8.</w:t>
      </w:r>
    </w:p>
    <w:p>
      <w:pPr>
        <w:pStyle w:val="Heading1"/>
      </w:pPr>
      <w:r>
        <w:t xml:space="preserve">3. Target User</w:t>
      </w:r>
    </w:p>
    <w:p>
      <w:pPr>
        <w:spacing w:after="140" w:line="276"/>
      </w:pPr>
      <w:r>
        <w:rPr>
          <w:rFonts w:ascii="Calibri" w:cs="Calibri" w:eastAsia="Calibri" w:hAnsi="Calibri"/>
        </w:rPr>
        <w:t xml:space="preserve">Empat persona dilayani pada MVP; pindar nasional menjadi konsumen API pada fase berikutnya dan tidak mendapat antarmuka khusus di rilis ini.</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800"/>
        <w:gridCol w:w="3813"/>
        <w:gridCol w:w="3413"/>
      </w:tblGrid>
      <w:tr>
        <w:trPr>
          <w:tblHeader/>
        </w:trPr>
        <w:tc>
          <w:tcPr>
            <w:tcW w:type="dxa" w:w="1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Persona</w:t>
            </w:r>
          </w:p>
        </w:tc>
        <w:tc>
          <w:tcPr>
            <w:tcW w:type="dxa" w:w="3813"/>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Karakteristik dan konteks</w:t>
            </w:r>
          </w:p>
        </w:tc>
        <w:tc>
          <w:tcPr>
            <w:tcW w:type="dxa" w:w="3413"/>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 utama</w:t>
            </w:r>
          </w:p>
        </w:tc>
      </w:tr>
      <w:tr>
        <w:trPr>
          <w:tblHeader w:val="false"/>
        </w:trPr>
        <w:tc>
          <w:tcPr>
            <w:tcW w:type="dxa" w:w="1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Merchant UMKM pengguna QRIS ("Ibu Sari") — pengguna utama</w:t>
            </w:r>
          </w:p>
        </w:tc>
        <w:tc>
          <w:tcPr>
            <w:tcW w:type="dxa" w:w="3813"/>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Usaha mikro/kecil; credit-invisible (tanpa catatan SLIK); sudah banked; ponsel Android kelas menengah; literasi digital dasar–menengah; waspada terhadap pinjol ilegal. 64,5% UMKM dikelola perempuan.</w:t>
            </w:r>
          </w:p>
        </w:tc>
        <w:tc>
          <w:tcPr>
            <w:tcW w:type="dxa" w:w="3413"/>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Bukti omzet tanpa dokumen; memahami dan bisa memperbaiki skornya; hanya melihat lender berizin yang relevan dengan lokasinya; kendali penuh atas datanya (cabut izin kapan saja).</w:t>
            </w:r>
          </w:p>
        </w:tc>
      </w:tr>
      <w:tr>
        <w:trPr>
          <w:tblHeader w:val="false"/>
        </w:trPr>
        <w:tc>
          <w:tcPr>
            <w:tcW w:type="dxa" w:w="1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Analis kredit / AO BPR ("Pak Raka")</w:t>
            </w:r>
          </w:p>
        </w:tc>
        <w:tc>
          <w:tcPr>
            <w:tcW w:type="dxa" w:w="3813"/>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Menilai pinjaman mikro Rp10–15 juta dengan biaya survei dan waktu analis yang tidak sebanding nilai pinjaman; bahasa kerja: biaya survei, NPL, nasabah baru — bukan machine learning.</w:t>
            </w:r>
          </w:p>
        </w:tc>
        <w:tc>
          <w:tcPr>
            <w:tcW w:type="dxa" w:w="3413"/>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Laporan Kesehatan Usaha 1 halaman siap komite; KAI sebagai titik awal plafon; saringan otomatis sesuai kebijakan lembaganya; kejujuran data (indikator keyakinan dan flag integritas).</w:t>
            </w:r>
          </w:p>
        </w:tc>
      </w:tr>
      <w:tr>
        <w:trPr>
          <w:tblHeader w:val="false"/>
        </w:trPr>
        <w:tc>
          <w:tcPr>
            <w:tcW w:type="dxa" w:w="1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Pengurus koperasi simpan pinjam ("Bu Nia")</w:t>
            </w:r>
          </w:p>
        </w:tc>
        <w:tc>
          <w:tcPr>
            <w:tcW w:type="dxa" w:w="3813"/>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Keputusan pinjaman antaranggota rawan bias kedekatan; kapasitas anggaran dan SDM terbatas; anggota wajib bergabung sebelum meminjam.</w:t>
            </w:r>
          </w:p>
        </w:tc>
        <w:tc>
          <w:tcPr>
            <w:tcW w:type="dxa" w:w="3413"/>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Alat penilaian usaha anggota yang objektif dan sangat sederhana (penanda tiga warna); alur yang jujur soal prasyarat keanggotaan.</w:t>
            </w:r>
          </w:p>
        </w:tc>
      </w:tr>
      <w:tr>
        <w:trPr>
          <w:tblHeader w:val="false"/>
        </w:trPr>
        <w:tc>
          <w:tcPr>
            <w:tcW w:type="dxa" w:w="1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Admin internal FINORA</w:t>
            </w:r>
          </w:p>
        </w:tc>
        <w:tc>
          <w:tcPr>
            <w:tcW w:type="dxa" w:w="3813"/>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Tim kecil merangkap operasional dan analis; bertanggung jawab pada kualitas data, kepatuhan, dan hubungan lender.</w:t>
            </w:r>
          </w:p>
        </w:tc>
        <w:tc>
          <w:tcPr>
            <w:tcW w:type="dxa" w:w="3413"/>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Antrean review anomali; konfigurasi policy layer per lender; audit log lengkap; monitoring kesehatan pipeline; pencatatan status pengajuan dan pencairan untuk atribusi fee.</w:t>
            </w:r>
          </w:p>
        </w:tc>
      </w:tr>
    </w:tbl>
    <w:p>
      <w:pPr>
        <w:pStyle w:val="Heading1"/>
      </w:pPr>
      <w:r>
        <w:t xml:space="preserve">4. Lingkup Rilis dan Skema Prioritas</w:t>
      </w:r>
    </w:p>
    <w:p>
      <w:pPr>
        <w:spacing w:after="140" w:line="276"/>
      </w:pPr>
      <w:r>
        <w:rPr>
          <w:rFonts w:ascii="Calibri" w:cs="Calibri" w:eastAsia="Calibri" w:hAnsi="Calibri"/>
        </w:rPr>
        <w:t xml:space="preserve">Setiap kebutuhan diberi label prioritas berikut. Label P2 dicantumkan untuk arah arsitektur (agar desain tidak menutup jalan), namun bukan komitmen rilis ini.</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100"/>
        <w:gridCol w:w="7926"/>
      </w:tblGrid>
      <w:tr>
        <w:trPr>
          <w:tblHeader/>
        </w:trPr>
        <w:tc>
          <w:tcPr>
            <w:tcW w:type="dxa" w:w="11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Label</w:t>
            </w:r>
          </w:p>
        </w:tc>
        <w:tc>
          <w:tcPr>
            <w:tcW w:type="dxa" w:w="79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Arti</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c>
          <w:tcPr>
            <w:tcW w:type="dxa" w:w="79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Wajib untuk demo hackathon (Fase 0). Tanpa ini, alur end-to-end tidak dapat didemonstrasikan.</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c>
          <w:tcPr>
            <w:tcW w:type="dxa" w:w="79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Wajib untuk pilot data riil Fase 1 (0–6 bulan): 30–50 merchant, 1 lender mitra.</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P2</w:t>
            </w:r>
          </w:p>
        </w:tc>
        <w:tc>
          <w:tcPr>
            <w:tcW w:type="dxa" w:w="79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Kandidat Fase 2 — masuk backlog; keputusan build menunggu hasil pilot.</w:t>
            </w:r>
          </w:p>
        </w:tc>
      </w:tr>
    </w:tbl>
    <w:p>
      <w:pPr>
        <w:pStyle w:val="Heading1"/>
      </w:pPr>
      <w:r>
        <w:t xml:space="preserve">5. Functional Requirements</w:t>
      </w:r>
    </w:p>
    <w:p>
      <w:pPr>
        <w:spacing w:after="140" w:line="276"/>
      </w:pPr>
      <w:r>
        <w:rPr>
          <w:rFonts w:ascii="Calibri" w:cs="Calibri" w:eastAsia="Calibri" w:hAnsi="Calibri"/>
        </w:rPr>
        <w:t xml:space="preserve">Kebutuhan dikelompokkan per modul milik FINORA (hasil pemetaan modul Finora vs lender). Definisi operasional metrik pada FR-3 mengikuti Dokumen Sistem Skoring v1.0 §2.2–2.8.</w:t>
      </w:r>
    </w:p>
    <w:p>
      <w:pPr>
        <w:pStyle w:val="Heading2"/>
      </w:pPr>
      <w:r>
        <w:t xml:space="preserve">FR-1 · Identitas dan Akun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Registrasi dan login dengan nomor HP + OTP SMS; sesi persisten yang aman.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Verifikasi alamat email (prasyarat koneksi Rel 2).</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Identity capture: pemindaian stiker QRIS milik merchant dan parsing payload EMVCo — NMID, nama merchant, MCC (sektor), kota/kode pos, kriteria merchant (UMI/UKE/UME/UBE) — dengan konfirmasi satu ketukan, tanpa pengetikan manual.</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Halaman profil: identitas usaha, daftar sumber terhubung, riwayat persetujuan data.</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Pengamanan pembukaan aplikasi dengan PIN atau biometrik perangkat.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FR-2 · Akuisisi Data dan Consent Management</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Layar consent granular per sumber: ringkasan data yang diambil (agregat harian), tujuan pemakaian, hak pencabutan; persetujuan eksplisit tercatat dengan stempel waktu dan versi teks consent.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Rel 2 — koneksi email read-only (Gmail API) dan parser laporan settlement/e-statement untuk minimal 3 penyedia prioritas; antrean parsing dengan penanganan format tak dikenal (jatuh ke antrean tinjauan manual, bukan gagal senyap).</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Rel 1 — koneksi rekening bank melalui agregator open finance (sandbox → produksi) untuk deret agregat settlement harian; rekening ini menjadi rekening jangkar profil.</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Modul data opsional: kehadiran digital (Google Maps Places) pada P1; riwayat utilitas via payment gateway, telco score, dan legalitas NIB/NPWP via OSS pada P2.</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P1/P2</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Meter kelengkapan data pada dashboard; penambahan sumber menaikkan cakupan dan indikator keyakinan skor.</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FR-2.6</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Pencabutan consent per sumber dari dalam aplikasi: penghentian pengambilan seketika, penghapusan agregat terkait maksimal 7 hari kalender, tercatat pada audit log.</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FR-2.7</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Data minimization sebagai perilaku sistem: hanya agregat harian yang disimpan; rincian per transaksi dan PAN pembeli tidak pernah dipersistenkan (customerPan, bila tersedia, hanya sebagai hash).</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2"/>
      </w:pPr>
      <w:r>
        <w:t xml:space="preserve">FR-3 · Mesin Skor (Scoring Core)</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Ekstraksi metrik dari deret agregat harian sesuai definisi operasional Dokumen Sistem Skoring §2.3 (omzet, hari aktif, streak-nol, volatilitas, tren, pola musiman).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Normalisasi kohort MCC × wilayah dengan tabel kohort berversi; fallback bertingkat (kota → provinsi → nasional) bila sel kohort terlalu tipis.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Skor inti 6 komponen — Stabilitas 30, Skala nilai 25, Pertumbuhan 15, Prediktabilitas 10, Umur &amp; kedalaman data 10, Integritas 10 — melalui binning terdokumentasi.</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Realokasi bobot: riwayat &lt; 6 bulan menonaktifkan komponen Prediktabilitas dan mengalihkan bobotnya ke Stabilitas (total tetap 100).</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Koreksi modul aditif dengan |Σ koreksi| ≤ 15; skor akhir = clamp(inti + koreksi, 1, 100); pemetaan band Rintis (1–39, D), Tumbuh (40–59, C), Stabil (60–79, B), Unggul (80–100, A).</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FR-3.6</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Aturan kecukupan data: riwayat &lt; 3 bulan tidak diberi skor; sistem menampilkan status "data belum cukup" beserta panduan dan estimasi waktu.</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FR-3.7</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Indikator keyakinan tinggi/sedang/rendah sebagai fungsi panjang riwayat, cakupan sumber terkoneksi, dan konsistensi lintas sumber; tampil bagi merchant dan lender.</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FR-3.8</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Skor perdana dihitung on-demand &lt; 30 detik sejak data siap; selanjutnya refresh mingguan terjadwal secara batch.</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FR-3.9</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Reprodusibilitas: setiap hasil skor menyimpan versi scorecard, versi tabel kohort, dan hash snapshot input.</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FR-3.10</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Kapasitas Angsuran Indikatif (KAI) = median omzet QRIS bulanan × margin bersih tipikal sektor (per MCC) × porsi laba aman untuk angsuran; kedua parameter dapat disetel per lender melalui policy layer.</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2"/>
      </w:pPr>
      <w:r>
        <w:t xml:space="preserve">FR-4 · Score Explainer dan Coaching Mode</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 codes: 3–5 faktor utama pembentuk skor dalam bahasa awam, deterministik dan konsisten dengan arah kontribusi komponen.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Simulasi what-if dengan minimal 3 tuas perilaku (mis. konsistensi hari aktif, penurunan volatilitas, panjang riwayat) beserta estimasi dampak poin.</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Coaching mode untuk skor &lt; 55: rencana aksi naik band dan rujukan pembinaan, tanpa satu pun penawaran pinjaman ditampilkan.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Guardrail Explainer: panduan terbatas pada perilaku usaha sehat; ambang teknis deteksi anti-manipulasi tidak pernah diekspos.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2"/>
      </w:pPr>
      <w:r>
        <w:t xml:space="preserve">FR-5 · Anti-Manipulasi dan Integritas Data</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Statistik robust (median, trimmed mean, Theil–Sen) pada seluruh metrik nilai; kontribusi metrik berbasis frekuensi di-cap.</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Aturan anomali dasar (lonjakan volume/frekuensi terhadap baseline profil) memberi penalti komponen Integritas dan memasang flag.</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Cross-check antar sumber bila ≥ 2 sumber terhubung: agregat settlement rekening bank vs laporan acquirer/e-statement; selisih melampaui ambang memicu flag.</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Flag berat otomatis masuk antrean manual review admin dengan rincian sinyal pemicu.</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Sinyal level transaksi Rel 3 (diversitas hash customerPan, deteksi velocity, pola melingkar) — menunggu kemitraan PJP.</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P2</w:t>
            </w:r>
          </w:p>
        </w:tc>
      </w:tr>
    </w:tbl>
    <w:p>
      <w:pPr>
        <w:pStyle w:val="Heading2"/>
      </w:pPr>
      <w:r>
        <w:t xml:space="preserve">FR-6 · Marketplace Pinjaman dan Matching</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Direktori lender dua lapis — lokal (BPR, koperasi) dan nasional (pindar) — memuat nama, jenis lembaga, penanda berizin OJK, wilayah layanan, band yang diterima, indikasi plafon–tenor–manfaat ekonomi, dan syarat ringkas.</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Gating band default platform: skor &lt; 55 tanpa penawaran (coaching mode); 55–59 hanya penawaran berlabel plafon mikro; ≥ 60 marketplace penuh; band Unggul ditandai pilihan terluas.</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Geo-matching: lapis lokal hanya menampilkan lender yang wilayah layanannya mencakup lokasi merchant (dari kota/kode pos payload QR).</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Halaman detail penawaran; untuk koperasi, prasyarat keanggotaan ditampilkan jujur sebelum pengajuan.</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Policy layer v1 per lender (dikonfigurasi tim FINORA, bukan self-service): cut-off band, syarat minimum usia usaha dan panjang riwayat, sektor yang dikecualikan, pemetaan band → plafon/tenor, parameter KAI.</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FR-7 · Referral dan Status Pengajuan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FR-7.1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Pengajuan minat satu ketukan menghasilkan paket referral: profil usaha + Laporan Kesehatan Usaha (PDF) + referral ID unik.</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FR-7.2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Penyaluran paket ke lender melalui kanal MVP (email terenkripsi / tautan unduh aman); webhook API menyusul pada fase berikutnya.</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FR-7.3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Pelacakan status pengajuan di aplikasi: terkirim → diproses → disetujui/ditolak → cair; pembaruan status dilakukan manual oleh admin pada MVP.</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FR-7.4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Pencatatan pencairan (tanggal, nominal, lender) tertaut referral ID sebagai dasar atribusi success fee; sumber: laporan lender dan/atau konfirmasi merchant di aplikasi.</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FR-8 · Laporan untuk Lender</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FR-8.1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Laporan Kesehatan Usaha satu halaman: identitas usaha (nama, NMID, sektor, lokasi), grafik omzet 6–12 bulan terverifikasi, skor + band + 3–5 alasan, KAI, indikator keyakinan, serta penanda verifikasi dan flag integritas.</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FR-8.2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Ekspor PDF siap cetak untuk komite kredit dan arsip pemeriksaan.</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2"/>
      </w:pPr>
      <w:r>
        <w:t xml:space="preserve">FR-9 · Notifikasi</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FR-9.1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Notifikasi perubahan skor/band setelah refresh mingguan.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FR-9.2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Nudge kelengkapan data dan progres coaching (gamifikasi ringan).</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FR-10 · Dashboard Admin Internal</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Antrean manual review flag integritas: rincian sinyal, aksi (bersihkan / pertahankan penalti / tangguhkan profil), dan catatan keputusan.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Manajemen mitra lender dan konfigurasi policy layer v1.</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FR-10.3</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Audit log menyeluruh: setiap perhitungan skor, peristiwa consent, unduhan laporan, dan perubahan status pengajuan.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FR-10.4</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Pembaruan status pengajuan dan pencatatan pencairan tertaut referral ID.</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FR-10.5</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Monitoring pipeline: tingkat keberhasilan parsing, galat refresh mingguan, dan laporan drift populasi (PSI) bulanan.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FR-10.6</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Manajemen versi scorecard dan tabel kohort.</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FR-11 · Mode Demo (Hackathon)</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6526"/>
        <w:gridCol w:w="1500"/>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5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Kebutuhan</w:t>
            </w:r>
          </w:p>
        </w:tc>
        <w:tc>
          <w:tcPr>
            <w:tcW w:type="dxa" w:w="15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FR-11.1</w:t>
            </w:r>
          </w:p>
        </w:tc>
        <w:tc>
          <w:tcPr>
            <w:tcW w:type="dxa" w:w="65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Tiga persona simulasi (skor 45 / 62 / 82) dari kohort sintetis 100 merchant menjalankan alur end-to-end lengkap tanpa data riil — termasuk coaching mode dan gating band.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10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FR-11.2</w:t>
            </w:r>
          </w:p>
        </w:tc>
        <w:tc>
          <w:tcPr>
            <w:tcW w:type="dxa" w:w="65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"Lihat dulu, hubungkan nanti": calon pengguna dapat menjelajah skor contoh sebelum menghubungkan akun nyata.</w:t>
            </w:r>
          </w:p>
        </w:tc>
        <w:tc>
          <w:tcPr>
            <w:tcW w:type="dxa" w:w="15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1"/>
      </w:pPr>
      <w:r>
        <w:t xml:space="preserve">6. Non-functional Requirements</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900"/>
        <w:gridCol w:w="800"/>
        <w:gridCol w:w="6326"/>
      </w:tblGrid>
      <w:tr>
        <w:trPr>
          <w:tblHeader/>
        </w:trPr>
        <w:tc>
          <w:tcPr>
            <w:tcW w:type="dxa" w:w="19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Kategori</w:t>
            </w:r>
          </w:p>
        </w:tc>
        <w:tc>
          <w:tcPr>
            <w:tcW w:type="dxa" w:w="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6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Ketentuan</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Kinerja</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Skor perdana tersaji &lt; 30 detik (p95) sejak data profil siap dihitung.</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Kinerja</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N-2</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Dashboard utama terbuka &lt; 3 detik pada perangkat Android kelas menengah.</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Kinerja</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N-3</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Kapasitas batch refresh mingguan minimal 1.000 profil &lt; 1 jam (target rilis: 100 profil tanpa galat).</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Keandalan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N-4</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Ketersediaan layanan 99,0% per bulan selama masa pilot.</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Keandalan</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N-5</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Kegagalan parsing/koneksi terisolasi per profil (tidak menghentikan pipeline); retry otomatis + antrean tinjauan manual.</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Keamanan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N-6</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Enkripsi transit TLS 1.2+ dan at-rest AES-256; manajemen rahasia terpusat, tanpa kredensial tertanam di kode/aplikasi.</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Keamanan</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N-7</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Tidak ada penyimpanan rincian per transaksi atau PAN mentah; pengenal sensitif hanya sebagai hash + salt.</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Keamanan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N-8</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RBAC pada dashboard admin dengan prinsip least privilege; setiap aksi admin ter-log.</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Privasi &amp; kepatuhan</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N-9</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Consent eksplisit, granular per sumber, berversi, dan dapat dicabut — selaras UU PDP No. 27/2022.</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Privasi &amp; kepatuhan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N-10</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Penghapusan agregat sumber maksimal 7 hari kalender sejak pencabutan consent, dapat dibuktikan.</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Privasi &amp; kepatuhan</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N-11</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Disclaimer permanen pada antarmuka dan laporan: skor adalah skor kesehatan usaha, bukan probabilitas gagal bayar terkalibrasi.</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Privasi &amp; kepatuhan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N-12</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Nol sentuhan dana: tidak ada fitur, endpoint, atau alur yang menampung, meneruskan, atau menginstruksikan perpindahan dana.</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Auditabilitas &amp; tata kelola model</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N-13</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Scorecard dan tabel kohort berversi dengan dokumentasi per bin; setiap perubahan bobot melalui rilis berversi.</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Auditabilitas &amp; tata kelola model</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N-14</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Audit log append-only dengan retensi minimal 24 bulan.</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Auditabilitas &amp; tata kelola model</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N-15</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Pemantauan drift populasi (PSI) bulanan dan review berkala terdokumentasi.</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Usabilitas</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N-16</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Bahasa Indonesia sederhana tanpa jargon teknis pada seluruh antarmuka merchant.</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Usabilitas</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N-17</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Nol input manual pada alur inti selain nomor HP/OTP; seluruh isian lain berasal dari pemindaian atau koneksi.</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Usabilitas</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N-18</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Dukungan Android 8.0+; ukuran unduhan aplikasi ≤ 40 MB; degradasi anggun pada jaringan buruk (retry, status antrean jelas).</w:t>
            </w:r>
          </w:p>
        </w:tc>
      </w:tr>
      <w:tr>
        <w:trPr>
          <w:tblHeader w:val="false"/>
        </w:trPr>
        <w:tc>
          <w:tcPr>
            <w:tcW w:type="dxa" w:w="19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Skalabilitas &amp; pemeliharaan</w:t>
            </w:r>
          </w:p>
        </w:tc>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N-19</w:t>
            </w:r>
          </w:p>
        </w:tc>
        <w:tc>
          <w:tcPr>
            <w:tcW w:type="dxa" w:w="6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Rel data diimplementasikan sebagai adapter yang dapat ditukar tanpa mengubah logika skor; modul koreksi bersifat plug-in dengan bobot terpusat.</w:t>
            </w:r>
          </w:p>
        </w:tc>
      </w:tr>
      <w:tr>
        <w:trPr>
          <w:tblHeader w:val="false"/>
        </w:trPr>
        <w:tc>
          <w:tcPr>
            <w:tcW w:type="dxa" w:w="19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Skalabilitas &amp; pemeliharaan</w:t>
            </w:r>
          </w:p>
        </w:tc>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N-20</w:t>
            </w:r>
          </w:p>
        </w:tc>
        <w:tc>
          <w:tcPr>
            <w:tcW w:type="dxa" w:w="6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 codes dihasilkan deterministik dari kontribusi komponen (bukan teks bebas), agar konsisten diaudit.</w:t>
            </w:r>
          </w:p>
        </w:tc>
      </w:tr>
    </w:tbl>
    <w:p>
      <w:pPr>
        <w:pStyle w:val="Heading1"/>
      </w:pPr>
      <w:r>
        <w:t xml:space="preserve">7. Acceptance Criteria</w:t>
      </w:r>
    </w:p>
    <w:p>
      <w:pPr>
        <w:spacing w:after="140" w:line="276"/>
      </w:pPr>
      <w:r>
        <w:rPr>
          <w:rFonts w:ascii="Calibri" w:cs="Calibri" w:eastAsia="Calibri" w:hAnsi="Calibri"/>
        </w:rPr>
        <w:t xml:space="preserve">Kriteria berikut menjadi gerbang penerimaan rilis. Setiap kriteria dapat diuji dan merujuk kebutuhan terkait.</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100"/>
        <w:gridCol w:w="1700"/>
        <w:gridCol w:w="6226"/>
      </w:tblGrid>
      <w:tr>
        <w:trPr>
          <w:tblHeader/>
        </w:trPr>
        <w:tc>
          <w:tcPr>
            <w:tcW w:type="dxa" w:w="11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17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Rujukan</w:t>
            </w:r>
          </w:p>
        </w:tc>
        <w:tc>
          <w:tcPr>
            <w:tcW w:type="dxa" w:w="6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Kriteria</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AC-01</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FR-1.1, FR-1.3</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Pengguna baru menyelesaikan registrasi → pemindaian stiker → consent → skor perdana tanpa mengetik apa pun selain nomor HP dan OTP. Parsing NMID + nama merchant berhasil pada ≥ 95% dari sampel uji 50 stiker QRIS standar EMVCo.</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AC-02</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FR-3.8</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Untuk profil dengan riwayat ≥ 3 bulan yang datanya telah siap, skor perdana tampil &lt; 30 detik pada p95 dari 20 percobaan berturut.</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AC-03</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FR-3.6</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Profil dengan riwayat &lt; 3 bulan tidak pernah menampilkan angka skor; yang tampil adalah status "data belum cukup" beserta panduan.</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AC-04</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FR-3.3–3.5</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Uji properti otomatis pada 10.000 input acak dan ekstrem: skor selalu berada pada 1–100, |Σ koreksi modul| ≤ 15, dan realokasi bobot Prediktabilitas → Stabilitas benar untuk riwayat &lt; 6 bulan.</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AC-05</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FR-3.9</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Determinisme: input identik dengan versi scorecard dan tabel kohort identik menghasilkan skor dan reason codes yang identik.</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AC-06</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FR-4.1</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 codes selalu memuat 3–5 faktor; pada seluruh suite kasus uji, arah tiap faktor sesuai kontribusinya (faktor penahan tidak pernah tampil sebagai pendorong).</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AC-07</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FR-4.3, FR-6.2</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Gating band terverifikasi: akun uji skor 45 tidak melihat penawaran apa pun dan coaching mode aktif; skor 57 hanya melihat penawaran berlabel plafon mikro; skor 62 dan 82 melihat marketplace penuh.</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AC-08</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FR-6.3</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Merchant uji berlokasi Bandung tidak melihat lender lokal yang tidak melayani Bandung; lapis nasional tetap tampil.</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AC-09</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FR-2.6</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Pencabutan consent satu sumber menghentikan pengambilan seketika; agregat sumber terhapus ≤ 7 hari (diverifikasi pada lapisan penyimpanan); seluruh peristiwa tercatat di audit log.</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AC-10</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FR-3.8, FR-10.5</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Refresh mingguan atas 100 profil selesai tanpa galat pada 2 siklus berturut; kegagalan per profil terisolasi dan terlaporkan di monitoring.</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AC-11</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FR-5.1, FR-5.2</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Skenario injeksi 1.000 transaksi bernominal receh dalam 7 hari pada profil baseline: kenaikan skor ≤ 3 poin dan flag Integritas terpasang otomatis.</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AC-12</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FR-5.3, FR-5.4</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Selisih settlement bank vs laporan acquirer melampaui ambang pada data uji → penalti Integritas diterapkan dan profil masuk antrean manual review.</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AC-13</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FR-8.1, FR-8.2</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Laporan Kesehatan Usaha ter-generate sebagai PDF satu halaman memuat seluruh elemen wajib, dan paket referral dengan referral ID diterima lender melalui kanal yang ditetapkan.</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AC-14</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FR-11.1</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Demo tiga persona (45/62/82) menjalankan alur koneksi → skor &amp; Explainer → marketplace → referral secara koheren dengan profil transaksi masing-masing.</w:t>
            </w:r>
          </w:p>
        </w:tc>
      </w:tr>
      <w:tr>
        <w:trPr>
          <w:tblHeader w:val="false"/>
        </w:trPr>
        <w:tc>
          <w:tcPr>
            <w:tcW w:type="dxa" w:w="11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AC-15</w:t>
            </w:r>
          </w:p>
        </w:tc>
        <w:tc>
          <w:tcPr>
            <w:tcW w:type="dxa" w:w="1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FR-10.3, N-13</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Setiap skor pada lingkungan uji memiliki entri audit berisi versi scorecard, versi tabel kohort, dan hash snapshot input.</w:t>
            </w:r>
          </w:p>
        </w:tc>
      </w:tr>
      <w:tr>
        <w:trPr>
          <w:tblHeader w:val="false"/>
        </w:trPr>
        <w:tc>
          <w:tcPr>
            <w:tcW w:type="dxa" w:w="11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AC-16</w:t>
            </w:r>
          </w:p>
        </w:tc>
        <w:tc>
          <w:tcPr>
            <w:tcW w:type="dxa" w:w="1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N-12</w:t>
            </w:r>
          </w:p>
        </w:tc>
        <w:tc>
          <w:tcPr>
            <w:tcW w:type="dxa" w:w="62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Penelusuran seluruh permukaan aplikasi dan API mengonfirmasi tidak ada alur yang menerima, menampung, atau menginstruksikan perpindahan dana; rekening tujuan pencairan yang diteruskan ke lender selalu rekening jangkar terverifikasi milik merchant.</w:t>
            </w:r>
          </w:p>
        </w:tc>
      </w:tr>
    </w:tbl>
    <w:p>
      <w:pPr>
        <w:pStyle w:val="Heading1"/>
      </w:pPr>
      <w:r>
        <w:t xml:space="preserve">8. Out of Scope</w:t>
      </w:r>
    </w:p>
    <w:p>
      <w:pPr>
        <w:spacing w:after="140" w:line="276"/>
      </w:pPr>
      <w:r>
        <w:rPr>
          <w:rFonts w:ascii="Calibri" w:cs="Calibri" w:eastAsia="Calibri" w:hAnsi="Calibri"/>
        </w:rPr>
        <w:t xml:space="preserve">Daftar ini sama mengikatnya dengan daftar kebutuhan. Item di bawah tidak dibangun pada rilis ini — sebagian karena milik lender, sebagian karena batas regulasi, sebagian karena menunggu prasyarat.</w:t>
      </w:r>
    </w:p>
    <w:p>
      <w:pPr>
        <w:pStyle w:val="Heading3"/>
      </w:pPr>
      <w:r>
        <w:t xml:space="preserve">8.1 Modul sisi lender (dimiliki dan dijalankan lender)</w:t>
      </w:r>
    </w:p>
    <w:p>
      <w:pPr>
        <w:pStyle w:val="ListParagraph"/>
        <w:numPr>
          <w:ilvl w:val="0"/>
          <w:numId w:val="2"/>
        </w:numPr>
        <w:spacing w:after="80" w:line="262"/>
      </w:pPr>
      <w:r>
        <w:rPr>
          <w:rFonts w:ascii="Calibri" w:cs="Calibri" w:eastAsia="Calibri" w:hAnsi="Calibri"/>
        </w:rPr>
        <w:t xml:space="preserve">Keputusan kredit dan persetujuan pinjaman; analisis 5C; pemeriksaan SLIK.</w:t>
      </w:r>
    </w:p>
    <w:p>
      <w:pPr>
        <w:pStyle w:val="ListParagraph"/>
        <w:numPr>
          <w:ilvl w:val="0"/>
          <w:numId w:val="2"/>
        </w:numPr>
        <w:spacing w:after="80" w:line="262"/>
      </w:pPr>
      <w:r>
        <w:rPr>
          <w:rFonts w:ascii="Calibri" w:cs="Calibri" w:eastAsia="Calibri" w:hAnsi="Calibri"/>
        </w:rPr>
        <w:t xml:space="preserve">KYC/CDD penuh (e-KTP, selfie, liveness) — kewajiban customer due diligence lembaga penyalur saat akad.</w:t>
      </w:r>
    </w:p>
    <w:p>
      <w:pPr>
        <w:pStyle w:val="ListParagraph"/>
        <w:numPr>
          <w:ilvl w:val="0"/>
          <w:numId w:val="2"/>
        </w:numPr>
        <w:spacing w:after="80" w:line="262"/>
      </w:pPr>
      <w:r>
        <w:rPr>
          <w:rFonts w:ascii="Calibri" w:cs="Calibri" w:eastAsia="Calibri" w:hAnsi="Calibri"/>
        </w:rPr>
        <w:t xml:space="preserve">Perjanjian/akad digital, pencairan dana, ledger servicing, restrukturisasi, top-up/refinancing.</w:t>
      </w:r>
    </w:p>
    <w:p>
      <w:pPr>
        <w:pStyle w:val="ListParagraph"/>
        <w:numPr>
          <w:ilvl w:val="0"/>
          <w:numId w:val="2"/>
        </w:numPr>
        <w:spacing w:after="80" w:line="262"/>
      </w:pPr>
      <w:r>
        <w:rPr>
          <w:rFonts w:ascii="Calibri" w:cs="Calibri" w:eastAsia="Calibri" w:hAnsi="Calibri"/>
        </w:rPr>
        <w:t xml:space="preserve">Collection (soft hingga hard), promise-to-pay, write-off, recovery; provisioning/CKPN; pelaporan NPL dan SLIK ke OJK.</w:t>
      </w:r>
    </w:p>
    <w:p>
      <w:pPr>
        <w:spacing w:after="140" w:line="276"/>
      </w:pPr>
      <w:r>
        <w:rPr>
          <w:rFonts w:ascii="Calibri" w:cs="Calibri" w:eastAsia="Calibri" w:hAnsi="Calibri"/>
          <w:i/>
          <w:iCs/>
          <w:color w:val="595959"/>
        </w:rPr>
        <w:t xml:space="preserve">Alasan: FINORA bukan penyalur — membangun modul ini memicu kebutuhan izin LPBBTI/bank dan memindahkan akuntabilitas kredit dari lembaga berizin.</w:t>
      </w:r>
    </w:p>
    <w:p>
      <w:pPr>
        <w:pStyle w:val="Heading3"/>
      </w:pPr>
      <w:r>
        <w:t xml:space="preserve">8.2 Penanganan dana</w:t>
      </w:r>
    </w:p>
    <w:p>
      <w:pPr>
        <w:pStyle w:val="ListParagraph"/>
        <w:numPr>
          <w:ilvl w:val="0"/>
          <w:numId w:val="2"/>
        </w:numPr>
        <w:spacing w:after="80" w:line="262"/>
      </w:pPr>
      <w:r>
        <w:rPr>
          <w:rFonts w:ascii="Calibri" w:cs="Calibri" w:eastAsia="Calibri" w:hAnsi="Calibri"/>
        </w:rPr>
        <w:t xml:space="preserve">Dompet, virtual account, QRIS acquiring, transfer dana, escrow, dan segala bentuk pemrosesan pembayaran.</w:t>
      </w:r>
    </w:p>
    <w:p>
      <w:pPr>
        <w:spacing w:after="140" w:line="276"/>
      </w:pPr>
      <w:r>
        <w:rPr>
          <w:rFonts w:ascii="Calibri" w:cs="Calibri" w:eastAsia="Calibri" w:hAnsi="Calibri"/>
          <w:i/>
          <w:iCs/>
          <w:color w:val="595959"/>
        </w:rPr>
        <w:t xml:space="preserve">Alasan: prinsip nol sentuhan dana; menghindari kebutuhan izin PJP Bank Indonesia. Uang mengalir bilateral lender ↔ rekening jangkar merchant.</w:t>
      </w:r>
    </w:p>
    <w:p>
      <w:pPr>
        <w:pStyle w:val="Heading3"/>
      </w:pPr>
      <w:r>
        <w:t xml:space="preserve">8.3 Klaim dan model</w:t>
      </w:r>
    </w:p>
    <w:p>
      <w:pPr>
        <w:pStyle w:val="ListParagraph"/>
        <w:numPr>
          <w:ilvl w:val="0"/>
          <w:numId w:val="2"/>
        </w:numPr>
        <w:spacing w:after="80" w:line="262"/>
      </w:pPr>
      <w:r>
        <w:rPr>
          <w:rFonts w:ascii="Calibri" w:cs="Calibri" w:eastAsia="Calibri" w:hAnsi="Calibri"/>
        </w:rPr>
        <w:t xml:space="preserve">Klaim skor sebagai probabilitas gagal bayar terkalibrasi (menunggu jalur validasi §2.7 Dokumen Skoring).</w:t>
      </w:r>
    </w:p>
    <w:p>
      <w:pPr>
        <w:pStyle w:val="ListParagraph"/>
        <w:numPr>
          <w:ilvl w:val="0"/>
          <w:numId w:val="2"/>
        </w:numPr>
        <w:spacing w:after="80" w:line="262"/>
      </w:pPr>
      <w:r>
        <w:rPr>
          <w:rFonts w:ascii="Calibri" w:cs="Calibri" w:eastAsia="Calibri" w:hAnsi="Calibri"/>
        </w:rPr>
        <w:t xml:space="preserve">Model prediktif data-driven (regresi logistik / gradient boosting) — menunggu label hasil pasca-pilot.</w:t>
      </w:r>
    </w:p>
    <w:p>
      <w:pPr>
        <w:pStyle w:val="ListParagraph"/>
        <w:numPr>
          <w:ilvl w:val="0"/>
          <w:numId w:val="2"/>
        </w:numPr>
        <w:spacing w:after="80" w:line="262"/>
      </w:pPr>
      <w:r>
        <w:rPr>
          <w:rFonts w:ascii="Calibri" w:cs="Calibri" w:eastAsia="Calibri" w:hAnsi="Calibri"/>
        </w:rPr>
        <w:t xml:space="preserve">Penjualan skor sebagai produk mandiri sebelum izin Pemeringkat Kredit Alternatif (POJK 29/2024).</w:t>
      </w:r>
    </w:p>
    <w:p>
      <w:pPr>
        <w:pStyle w:val="Heading3"/>
      </w:pPr>
      <w:r>
        <w:t xml:space="preserve">8.4 Integrasi lanjutan</w:t>
      </w:r>
    </w:p>
    <w:p>
      <w:pPr>
        <w:pStyle w:val="ListParagraph"/>
        <w:numPr>
          <w:ilvl w:val="0"/>
          <w:numId w:val="2"/>
        </w:numPr>
        <w:spacing w:after="80" w:line="262"/>
      </w:pPr>
      <w:r>
        <w:rPr>
          <w:rFonts w:ascii="Calibri" w:cs="Calibri" w:eastAsia="Calibri" w:hAnsi="Calibri"/>
        </w:rPr>
        <w:t xml:space="preserve">Rel 3 (integrasi SNAP dengan PJP design partner) dan Rel 4 (BI Payment Info / Payment ID).</w:t>
      </w:r>
    </w:p>
    <w:p>
      <w:pPr>
        <w:pStyle w:val="ListParagraph"/>
        <w:numPr>
          <w:ilvl w:val="0"/>
          <w:numId w:val="2"/>
        </w:numPr>
        <w:spacing w:after="80" w:line="262"/>
      </w:pPr>
      <w:r>
        <w:rPr>
          <w:rFonts w:ascii="Calibri" w:cs="Calibri" w:eastAsia="Calibri" w:hAnsi="Calibri"/>
        </w:rPr>
        <w:t xml:space="preserve">Lender portal/API self-service penuh dan webhook status otomatis (MVP memakai kanal manual terkontrol).</w:t>
      </w:r>
    </w:p>
    <w:p>
      <w:pPr>
        <w:pStyle w:val="ListParagraph"/>
        <w:numPr>
          <w:ilvl w:val="0"/>
          <w:numId w:val="2"/>
        </w:numPr>
        <w:spacing w:after="80" w:line="262"/>
      </w:pPr>
      <w:r>
        <w:rPr>
          <w:rFonts w:ascii="Calibri" w:cs="Calibri" w:eastAsia="Calibri" w:hAnsi="Calibri"/>
        </w:rPr>
        <w:t xml:space="preserve">Integrasi OSS, telco score (CRIF), dan payment gateway utilitas (modul P2).</w:t>
      </w:r>
    </w:p>
    <w:p>
      <w:pPr>
        <w:pStyle w:val="Heading3"/>
      </w:pPr>
      <w:r>
        <w:t xml:space="preserve">8.5 Produk dan fitur lain</w:t>
      </w:r>
    </w:p>
    <w:p>
      <w:pPr>
        <w:pStyle w:val="ListParagraph"/>
        <w:numPr>
          <w:ilvl w:val="0"/>
          <w:numId w:val="2"/>
        </w:numPr>
        <w:spacing w:after="80" w:line="262"/>
      </w:pPr>
      <w:r>
        <w:rPr>
          <w:rFonts w:ascii="Calibri" w:cs="Calibri" w:eastAsia="Calibri" w:hAnsi="Calibri"/>
        </w:rPr>
        <w:t xml:space="preserve">Monitoring harian dan early warning berbayar pasca-pencairan (produk terpisah, Fase 3).</w:t>
      </w:r>
    </w:p>
    <w:p>
      <w:pPr>
        <w:pStyle w:val="ListParagraph"/>
        <w:numPr>
          <w:ilvl w:val="0"/>
          <w:numId w:val="2"/>
        </w:numPr>
        <w:spacing w:after="80" w:line="262"/>
      </w:pPr>
      <w:r>
        <w:rPr>
          <w:rFonts w:ascii="Calibri" w:cs="Calibri" w:eastAsia="Calibri" w:hAnsi="Calibri"/>
        </w:rPr>
        <w:t xml:space="preserve">Reminder angsuran dalam aplikasi (membutuhkan jadwal dari lender — Fase 2).</w:t>
      </w:r>
    </w:p>
    <w:p>
      <w:pPr>
        <w:pStyle w:val="ListParagraph"/>
        <w:numPr>
          <w:ilvl w:val="0"/>
          <w:numId w:val="2"/>
        </w:numPr>
        <w:spacing w:after="80" w:line="262"/>
      </w:pPr>
      <w:r>
        <w:rPr>
          <w:rFonts w:ascii="Calibri" w:cs="Calibri" w:eastAsia="Calibri" w:hAnsi="Calibri"/>
        </w:rPr>
        <w:t xml:space="preserve">Billing success fee otomatis (MVP: rekonsiliasi manual berbasis pencatatan FR-7.4).</w:t>
      </w:r>
    </w:p>
    <w:p>
      <w:pPr>
        <w:pStyle w:val="ListParagraph"/>
        <w:numPr>
          <w:ilvl w:val="0"/>
          <w:numId w:val="2"/>
        </w:numPr>
        <w:spacing w:after="80" w:line="262"/>
      </w:pPr>
      <w:r>
        <w:rPr>
          <w:rFonts w:ascii="Calibri" w:cs="Calibri" w:eastAsia="Calibri" w:hAnsi="Calibri"/>
        </w:rPr>
        <w:t xml:space="preserve">Aplikasi web untuk merchant, bahasa selain Indonesia, dan iOS sebagai target rilis resmi (build best-effort).</w:t>
      </w:r>
    </w:p>
    <w:p>
      <w:pPr>
        <w:pStyle w:val="Heading1"/>
      </w:pPr>
      <w:r>
        <w:t xml:space="preserve">9. User Stories</w:t>
      </w:r>
    </w:p>
    <w:p>
      <w:pPr>
        <w:spacing w:after="140" w:line="276"/>
      </w:pPr>
      <w:r>
        <w:rPr>
          <w:rFonts w:ascii="Calibri" w:cs="Calibri" w:eastAsia="Calibri" w:hAnsi="Calibri"/>
        </w:rPr>
        <w:t xml:space="preserve">Cerita ditulis per persona dengan kriteria penerimaan ringkas; kriteria rilis lengkap ada pada Bab 7.</w:t>
      </w:r>
    </w:p>
    <w:p>
      <w:pPr>
        <w:pStyle w:val="Heading2"/>
      </w:pPr>
      <w:r>
        <w:t xml:space="preserve">9.1 Merchant UMKM</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800"/>
        <w:gridCol w:w="4326"/>
        <w:gridCol w:w="2700"/>
        <w:gridCol w:w="1200"/>
      </w:tblGrid>
      <w:tr>
        <w:trPr>
          <w:tblHeader/>
        </w:trPr>
        <w:tc>
          <w:tcPr>
            <w:tcW w:type="dxa" w:w="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4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User story</w:t>
            </w:r>
          </w:p>
        </w:tc>
        <w:tc>
          <w:tcPr>
            <w:tcW w:type="dxa" w:w="27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Kriteria penerimaan ringkas</w:t>
            </w:r>
          </w:p>
        </w:tc>
        <w:tc>
          <w:tcPr>
            <w:tcW w:type="dxa" w:w="1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US-M1</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mendaftar hanya dengan nomor HP dan OTP sehingga saya bisa mulai tanpa dokumen apa pun.</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Registrasi selesai &lt; 2 menit tanpa isian lain.</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US-M2</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memindai stiker QRIS saya sendiri sehingga identitas usaha terisi otomatis.</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NMID dan nama tampil untuk konfirmasi satu ketukan.</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US-M3</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menghubungkan email tempat laporan settlement masuk sehingga omzet saya terbaca tanpa unggah dokumen.</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Consent jelas; sumber berstatus terhubung; data mulai terkumpul.</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US-M4</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menghubungkan rekening bank melalui agregator sehingga cakupan data saya lebih lengkap.</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Meter kelengkapan naik; indikator keyakinan diperbarui.</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US-M5</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melihat skor, band, dan tingkat keyakinan segera setelah data cukup sehingga saya tahu posisi usaha saya.</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Skor tampil &lt; 30 detik; band dan keyakinan tampil.</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US-M6</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membaca 3–5 alasan pembentuk skor dalam bahasa sehari-hari sehingga saya paham apa yang menahan skor saya.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Reason codes tampil tanpa jargon.</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US-M7</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mencoba simulasi "bagaimana jika" sehingga saya tahu tindakan mana yang paling menaikkan skor.</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Minimal 3 tuas; estimasi dampak poin tampil.</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US-M8</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band Rintis, saya ingin panduan pembinaan alih-alih tawaran pinjaman sehingga saya tidak terjebak utang sebelum waktunya.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Coaching mode aktif tanpa penawaran; rencana aksi tampil.</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US-M9</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melihat hanya lender berizin yang melayani kota saya beserta bunga, tenor, dan syaratnya sehingga saya terlindung dari pinjol ilegal.</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Geo-filter benar; penanda izin OJK tampil.</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US-M10</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mengajukan minat satu ketukan dan memantau statusnya sehingga saya tidak perlu bolak-balik bertanya.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Status lima tahap terlihat; notifikasi saat berubah.</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US-M11</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saya ingin mencabut izin satu sumber data kapan saja sehingga saya tetap memegang kendali atas data saya.</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Pengambilan berhenti seketika; konfirmasi penghapusan ≤ 7 hari.</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US-M12</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merchant calon anggota koperasi, saya ingin melihat prasyarat keanggotaan sebelum mengajukan sehingga tidak ada kejutan di tengah proses.</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Layar prasyarat tampil untuk penawaran koperasi.</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bl>
    <w:p>
      <w:pPr>
        <w:pStyle w:val="Heading2"/>
      </w:pPr>
      <w:r>
        <w:t xml:space="preserve">9.2 Analis Kredit / AO BPR</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800"/>
        <w:gridCol w:w="4326"/>
        <w:gridCol w:w="2700"/>
        <w:gridCol w:w="1200"/>
      </w:tblGrid>
      <w:tr>
        <w:trPr>
          <w:tblHeader/>
        </w:trPr>
        <w:tc>
          <w:tcPr>
            <w:tcW w:type="dxa" w:w="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4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User story</w:t>
            </w:r>
          </w:p>
        </w:tc>
        <w:tc>
          <w:tcPr>
            <w:tcW w:type="dxa" w:w="27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Kriteria penerimaan ringkas</w:t>
            </w:r>
          </w:p>
        </w:tc>
        <w:tc>
          <w:tcPr>
            <w:tcW w:type="dxa" w:w="1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US-L1</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analis BPR, saya ingin Laporan Kesehatan Usaha satu halaman siap cetak sehingga komite kredit dapat memutus cepat.</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PDF memuat seluruh elemen wajib FR-8.1.</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US-L2</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analis BPR, saya ingin indikator keyakinan dan flag integritas yang jujur sehingga saya tahu profil mana yang perlu kehati-hatian ekstra.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Keyakinan dan flag tampil pada laporan.</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US-L3</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analis BPR, saya ingin KAI beserta parameternya sehingga saya punya titik awal plafon yang bisa disesuaikan kebijakan lembaga.</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KAI tampil; parameter margin dan porsi laba dapat disetel via policy layer.</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US-L4</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analis BPR, saya ingin kriteria lembaga saya terpasang sebagai saringan sehingga hanya aplikasi yang relevan sampai ke meja saya.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Policy layer v1 aktif; referral tersaring sesuai konfigurasi.</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9.3 Pengurus Koperasi</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800"/>
        <w:gridCol w:w="4326"/>
        <w:gridCol w:w="2700"/>
        <w:gridCol w:w="1200"/>
      </w:tblGrid>
      <w:tr>
        <w:trPr>
          <w:tblHeader/>
        </w:trPr>
        <w:tc>
          <w:tcPr>
            <w:tcW w:type="dxa" w:w="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4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User story</w:t>
            </w:r>
          </w:p>
        </w:tc>
        <w:tc>
          <w:tcPr>
            <w:tcW w:type="dxa" w:w="27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Kriteria penerimaan ringkas</w:t>
            </w:r>
          </w:p>
        </w:tc>
        <w:tc>
          <w:tcPr>
            <w:tcW w:type="dxa" w:w="1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US-K1</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pengurus koperasi, saya ingin dashboard tiga warna kesehatan usaha anggota sehingga keputusan pinjaman antaranggota lebih objektif.</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Tampilan sederhana tanpa jargon skor.</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US-K2</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pengurus koperasi, saya ingin anggota yang belum ber-QRIS diarahkan onboarding sehingga mereka mulai membangun rekam jejak.</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Jalur rujukan pembinaan tersedia dari dashboard.</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2"/>
      </w:pPr>
      <w:r>
        <w:t xml:space="preserve">9.4 Admin Internal FINORA</w:t>
      </w: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800"/>
        <w:gridCol w:w="4326"/>
        <w:gridCol w:w="2700"/>
        <w:gridCol w:w="1200"/>
      </w:tblGrid>
      <w:tr>
        <w:trPr>
          <w:tblHeader/>
        </w:trPr>
        <w:tc>
          <w:tcPr>
            <w:tcW w:type="dxa" w:w="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43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User story</w:t>
            </w:r>
          </w:p>
        </w:tc>
        <w:tc>
          <w:tcPr>
            <w:tcW w:type="dxa" w:w="27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Kriteria penerimaan ringkas</w:t>
            </w:r>
          </w:p>
        </w:tc>
        <w:tc>
          <w:tcPr>
            <w:tcW w:type="dxa" w:w="12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Prioritas</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US-A1</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admin, saya ingin antrean review flag integritas dengan rincian sinyal sehingga anomali ditangani cepat dan terdokumentasi.</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Aksi dan catatan keputusan tersimpan di audit log.</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US-A2</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admin, saya ingin memperbarui status pengajuan sehingga merchant selalu melihat posisi terkini pengajuannya.</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Perubahan status memicu notifikasi merchant.</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P0</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US-A3</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admin, saya ingin mencatat pencairan tertaut referral ID sehingga atribusi success fee akurat dan dapat direkonsiliasi.</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Ekspor rekonsiliasi per lender per periode tersedia.</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8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US-A4</w:t>
            </w:r>
          </w:p>
        </w:tc>
        <w:tc>
          <w:tcPr>
            <w:tcW w:type="dxa" w:w="4326"/>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admin, saya ingin memantau kesehatan pipeline (parsing, refresh, drift) sehingga masalah data terdeteksi dini.</w:t>
            </w:r>
          </w:p>
        </w:tc>
        <w:tc>
          <w:tcPr>
            <w:tcW w:type="dxa" w:w="27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Dashboard monitoring dengan alert galat.</w:t>
            </w:r>
          </w:p>
        </w:tc>
        <w:tc>
          <w:tcPr>
            <w:tcW w:type="dxa" w:w="1200"/>
            <w:shd w:fill="F2F7F6" w:val="clear"/>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r>
        <w:trPr>
          <w:tblHeader w:val="false"/>
        </w:trPr>
        <w:tc>
          <w:tcPr>
            <w:tcW w:type="dxa" w:w="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US-A5</w:t>
            </w:r>
          </w:p>
        </w:tc>
        <w:tc>
          <w:tcPr>
            <w:tcW w:type="dxa" w:w="43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Sebagai admin, saya ingin mengelola versi scorecard dan tabel kohort sehingga setiap skor dapat direproduksi dan diaudit.</w:t>
            </w:r>
          </w:p>
        </w:tc>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Perubahan versi ter-log; skor lama tetap merujuk versinya.</w:t>
            </w:r>
          </w:p>
        </w:tc>
        <w:tc>
          <w:tcPr>
            <w:tcW w:type="dxa" w:w="12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P1</w:t>
            </w:r>
          </w:p>
        </w:tc>
      </w:tr>
    </w:tbl>
    <w:p>
      <w:pPr>
        <w:pStyle w:val="Heading1"/>
      </w:pPr>
      <w:r>
        <w:t xml:space="preserve">10. Asumsi dan Dependensi</w:t>
      </w:r>
    </w:p>
    <w:p>
      <w:pPr>
        <w:pStyle w:val="ListParagraph"/>
        <w:numPr>
          <w:ilvl w:val="0"/>
          <w:numId w:val="2"/>
        </w:numPr>
        <w:spacing w:after="80" w:line="262"/>
      </w:pPr>
      <w:r>
        <w:rPr>
          <w:rFonts w:ascii="Calibri" w:cs="Calibri" w:eastAsia="Calibri" w:hAnsi="Calibri"/>
        </w:rPr>
        <w:t xml:space="preserve">Akses sandbox (lalu produksi) minimal satu agregator open finance tersedia dalam Fase 1, berikut kontrak dan biaya per panggilan.</w:t>
      </w:r>
    </w:p>
    <w:p>
      <w:pPr>
        <w:pStyle w:val="ListParagraph"/>
        <w:numPr>
          <w:ilvl w:val="0"/>
          <w:numId w:val="2"/>
        </w:numPr>
        <w:spacing w:after="80" w:line="262"/>
      </w:pPr>
      <w:r>
        <w:rPr>
          <w:rFonts w:ascii="Calibri" w:cs="Calibri" w:eastAsia="Calibri" w:hAnsi="Calibri"/>
        </w:rPr>
        <w:t xml:space="preserve">Format laporan settlement/e-statement dari 3 penyedia prioritas dapat diparsing andal; perubahan format ditangani melalui pembaruan parser, bukan perombakan arsitektur.</w:t>
      </w:r>
    </w:p>
    <w:p>
      <w:pPr>
        <w:pStyle w:val="ListParagraph"/>
        <w:numPr>
          <w:ilvl w:val="0"/>
          <w:numId w:val="2"/>
        </w:numPr>
        <w:spacing w:after="80" w:line="262"/>
      </w:pPr>
      <w:r>
        <w:rPr>
          <w:rFonts w:ascii="Calibri" w:cs="Calibri" w:eastAsia="Calibri" w:hAnsi="Calibri"/>
        </w:rPr>
        <w:t xml:space="preserve">Stiker QRIS merchant mengikuti payload EMVCo standar sehingga NMID, MCC, dan kota/kode pos dapat diekstraksi.</w:t>
      </w:r>
    </w:p>
    <w:p>
      <w:pPr>
        <w:pStyle w:val="ListParagraph"/>
        <w:numPr>
          <w:ilvl w:val="0"/>
          <w:numId w:val="2"/>
        </w:numPr>
        <w:spacing w:after="80" w:line="262"/>
      </w:pPr>
      <w:r>
        <w:rPr>
          <w:rFonts w:ascii="Calibri" w:cs="Calibri" w:eastAsia="Calibri" w:hAnsi="Calibri"/>
        </w:rPr>
        <w:t xml:space="preserve">Cold start kohort: tabel kohort MCC × wilayah awal dibangun dari simulasi berbasis distribusi publik BI dan disempurnakan bertahap dari data pilot; fallback kohort agregat aktif sejak hari pertama.</w:t>
      </w:r>
    </w:p>
    <w:p>
      <w:pPr>
        <w:pStyle w:val="ListParagraph"/>
        <w:numPr>
          <w:ilvl w:val="0"/>
          <w:numId w:val="2"/>
        </w:numPr>
        <w:spacing w:after="80" w:line="262"/>
      </w:pPr>
      <w:r>
        <w:rPr>
          <w:rFonts w:ascii="Calibri" w:cs="Calibri" w:eastAsia="Calibri" w:hAnsi="Calibri"/>
        </w:rPr>
        <w:t xml:space="preserve">Google Maps Places API tersedia (pay-per-use) untuk modul kehadiran digital.</w:t>
      </w:r>
    </w:p>
    <w:p>
      <w:pPr>
        <w:pStyle w:val="ListParagraph"/>
        <w:numPr>
          <w:ilvl w:val="0"/>
          <w:numId w:val="2"/>
        </w:numPr>
        <w:spacing w:after="80" w:line="262"/>
      </w:pPr>
      <w:r>
        <w:rPr>
          <w:rFonts w:ascii="Calibri" w:cs="Calibri" w:eastAsia="Calibri" w:hAnsi="Calibri"/>
        </w:rPr>
        <w:t xml:space="preserve">Minimal satu lender mitra bersedia menerima paket referral melalui kanal MVP dan memberikan umpan balik status secara berkala.</w:t>
      </w:r>
    </w:p>
    <w:p>
      <w:pPr>
        <w:pStyle w:val="ListParagraph"/>
        <w:numPr>
          <w:ilvl w:val="0"/>
          <w:numId w:val="2"/>
        </w:numPr>
        <w:spacing w:after="80" w:line="262"/>
      </w:pPr>
      <w:r>
        <w:rPr>
          <w:rFonts w:ascii="Calibri" w:cs="Calibri" w:eastAsia="Calibri" w:hAnsi="Calibri"/>
        </w:rPr>
        <w:t xml:space="preserve">Parameter margin bersih per MCC diisi dari benchmark sektor terdokumentasi hingga tergantikan angka hasil wawancara lapangan BPR/koperasi.</w:t>
      </w:r>
    </w:p>
    <w:p>
      <w:pPr>
        <w:pStyle w:val="ListParagraph"/>
        <w:numPr>
          <w:ilvl w:val="0"/>
          <w:numId w:val="2"/>
        </w:numPr>
        <w:spacing w:after="80" w:line="262"/>
      </w:pPr>
      <w:r>
        <w:rPr>
          <w:rFonts w:ascii="Calibri" w:cs="Calibri" w:eastAsia="Calibri" w:hAnsi="Calibri"/>
        </w:rPr>
        <w:t xml:space="preserve">Shadow scoring dan pengukuran Gini berjalan sebagai proses analitik terpisah di luar aplikasi, memakai batch scorer yang sama dengan produksi.</w:t>
      </w:r>
    </w:p>
    <w:p>
      <w:pPr>
        <w:pStyle w:val="Heading1"/>
      </w:pPr>
      <w:r>
        <w:t xml:space="preserve">11. Referensi dan Riwayat Versi</w:t>
      </w:r>
    </w:p>
    <w:p>
      <w:pPr>
        <w:pStyle w:val="ListParagraph"/>
        <w:numPr>
          <w:ilvl w:val="0"/>
          <w:numId w:val="2"/>
        </w:numPr>
        <w:spacing w:after="80" w:line="262"/>
      </w:pPr>
      <w:r>
        <w:rPr>
          <w:rFonts w:ascii="Calibri" w:cs="Calibri" w:eastAsia="Calibri" w:hAnsi="Calibri"/>
        </w:rPr>
        <w:t xml:space="preserve">Proposal Lengkap FINORA — Dokumen Konsolidasi untuk Review Ide (Juli 2026).</w:t>
      </w:r>
    </w:p>
    <w:p>
      <w:pPr>
        <w:pStyle w:val="ListParagraph"/>
        <w:numPr>
          <w:ilvl w:val="0"/>
          <w:numId w:val="2"/>
        </w:numPr>
        <w:spacing w:after="80" w:line="262"/>
      </w:pPr>
      <w:r>
        <w:rPr>
          <w:rFonts w:ascii="Calibri" w:cs="Calibri" w:eastAsia="Calibri" w:hAnsi="Calibri"/>
        </w:rPr>
        <w:t xml:space="preserve">Dokumen Sistem Skoring FINORA v1.0 — Skor Kesehatan Usaha 1–100 (Juli 2026).</w:t>
      </w:r>
    </w:p>
    <w:p>
      <w:pPr>
        <w:pStyle w:val="ListParagraph"/>
        <w:numPr>
          <w:ilvl w:val="0"/>
          <w:numId w:val="2"/>
        </w:numPr>
        <w:spacing w:after="80" w:line="262"/>
      </w:pPr>
      <w:r>
        <w:rPr>
          <w:rFonts w:ascii="Calibri" w:cs="Calibri" w:eastAsia="Calibri" w:hAnsi="Calibri"/>
        </w:rPr>
        <w:t xml:space="preserve">Catatan arsitektur internal: mekanisme settlement bilateral terverifikasi (nol sentuhan dana) dan pemetaan modul FINORA vs lender (Juli 2026).</w:t>
      </w:r>
    </w:p>
    <w:p>
      <w:pPr>
        <w:spacing w:after="120"/>
      </w:pPr>
    </w:p>
    <w:tbl>
      <w:tblPr>
        <w:tblW w:type="dxa" w:w="9026"/>
        <w:tblBorders>
          <w:top w:val="single" w:color="C7D3D0" w:sz="4"/>
          <w:left w:val="single" w:color="C7D3D0" w:sz="4"/>
          <w:bottom w:val="single" w:color="C7D3D0" w:sz="4"/>
          <w:right w:val="single" w:color="C7D3D0" w:sz="4"/>
          <w:insideH w:val="single" w:color="C7D3D0" w:sz="4"/>
          <w:insideV w:val="single" w:color="C7D3D0" w:sz="4"/>
        </w:tblBorders>
      </w:tblPr>
      <w:tblGrid>
        <w:gridCol w:w="1000"/>
        <w:gridCol w:w="1800"/>
        <w:gridCol w:w="6226"/>
      </w:tblGrid>
      <w:tr>
        <w:trPr>
          <w:tblHeader/>
        </w:trPr>
        <w:tc>
          <w:tcPr>
            <w:tcW w:type="dxa" w:w="10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Versi</w:t>
            </w:r>
          </w:p>
        </w:tc>
        <w:tc>
          <w:tcPr>
            <w:tcW w:type="dxa" w:w="1800"/>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Tanggal</w:t>
            </w:r>
          </w:p>
        </w:tc>
        <w:tc>
          <w:tcPr>
            <w:tcW w:type="dxa" w:w="6226"/>
            <w:shd w:fill="1F3B4D"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Perubahan</w:t>
            </w:r>
          </w:p>
        </w:tc>
      </w:tr>
      <w:tr>
        <w:trPr>
          <w:tblHeader w:val="false"/>
        </w:trPr>
        <w:tc>
          <w:tcPr>
            <w:tcW w:type="dxa" w:w="10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1.0</w:t>
            </w:r>
          </w:p>
        </w:tc>
        <w:tc>
          <w:tcPr>
            <w:tcW w:type="dxa" w:w="1800"/>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Juli 2026</w:t>
            </w:r>
          </w:p>
        </w:tc>
        <w:tc>
          <w:tcPr>
            <w:tcW w:type="dxa" w:w="6226"/>
            <w:tcMar>
              <w:top w:type="dxa" w:w="70"/>
              <w:left w:type="dxa" w:w="110"/>
              <w:bottom w:type="dxa" w:w="70"/>
              <w:right w:type="dxa" w:w="110"/>
            </w:tcMar>
          </w:tcPr>
          <w:p>
            <w:pPr>
              <w:spacing w:after="0" w:line="250"/>
            </w:pPr>
            <w:r>
              <w:rPr>
                <w:rFonts w:ascii="Calibri" w:cs="Calibri" w:eastAsia="Calibri" w:hAnsi="Calibri"/>
                <w:b w:val="false"/>
                <w:bCs w:val="false"/>
                <w:color w:val="333333"/>
                <w:sz w:val="19"/>
                <w:szCs w:val="19"/>
              </w:rPr>
              <w:t xml:space="preserve">Draf pertama untuk review tim: lingkup MVP Fase 0–1, 11 kelompok kebutuhan fungsional, 20 kebutuhan non-fungsional, 16 kriteria penerimaan, 23 user stories.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595959"/>
        <w:sz w:val="16"/>
        <w:szCs w:val="16"/>
      </w:rPr>
      <w:t xml:space="preserve">Halaman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dari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FINORA — PRD Aplikasi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B4D"/>
      <w:sz w:val="30"/>
      <w:szCs w:val="30"/>
    </w:rPr>
  </w:style>
  <w:style w:type="paragraph" w:styleId="Heading2">
    <w:name w:val="Heading 2"/>
    <w:basedOn w:val="Normal"/>
    <w:next w:val="Normal"/>
    <w:qFormat/>
    <w:pPr>
      <w:spacing w:after="120" w:before="280"/>
    </w:pPr>
    <w:rPr>
      <w:rFonts w:ascii="Calibri" w:cs="Calibri" w:eastAsia="Calibri" w:hAnsi="Calibri"/>
      <w:b/>
      <w:bCs/>
      <w:color w:val="0F6E56"/>
      <w:sz w:val="25"/>
      <w:szCs w:val="25"/>
    </w:rPr>
  </w:style>
  <w:style w:type="paragraph" w:styleId="Heading3">
    <w:name w:val="Heading 3"/>
    <w:basedOn w:val="Normal"/>
    <w:next w:val="Normal"/>
    <w:qFormat/>
    <w:pPr>
      <w:spacing w:after="100" w:before="220"/>
    </w:pPr>
    <w:rPr>
      <w:rFonts w:ascii="Calibri" w:cs="Calibri" w:eastAsia="Calibri" w:hAnsi="Calibri"/>
      <w:b/>
      <w:bCs/>
      <w:color w:val="0F6E5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2026-07-13T11:26:32.054Z</dcterms:created>
  <dcterms:modified xsi:type="dcterms:W3CDTF">2026-07-13T11:26:32.066Z</dcterms:modified>
</cp:coreProperties>
</file>

<file path=docProps/custom.xml><?xml version="1.0" encoding="utf-8"?>
<Properties xmlns="http://schemas.openxmlformats.org/officeDocument/2006/custom-properties" xmlns:vt="http://schemas.openxmlformats.org/officeDocument/2006/docPropsVTypes"/>
</file>