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B4D"/>
          <w:sz w:val="48"/>
          <w:szCs w:val="48"/>
        </w:rPr>
        <w:t xml:space="preserve">FINORA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32"/>
          <w:szCs w:val="32"/>
        </w:rPr>
        <w:t xml:space="preserve">Panduan Desainer UI/UX v1.0</w:t>
      </w:r>
    </w:p>
    <w:p>
      <w:pPr>
        <w:spacing w:after="260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Design token, matriks state, motion, serah-terima Figma, dan protokol uji usabilitas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Versi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 — Juli 2026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Draf untuk eksekusi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Pemegang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 (peran desain) — review produk: Fizz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Cakupan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Bahasa visual &amp; handoff aplikasi merchant; struktur layar mengikuti Spesifikasi UI/UX v1.0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Dokumen sumber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UI/UX v1.0 · Spesifikasi Frontend v1.0 · Kontrak API v1.0</w:t>
            </w:r>
          </w:p>
        </w:tc>
      </w:tr>
    </w:tbl>
    <w:p>
      <w:pPr>
        <w:spacing w:after="220"/>
      </w:pP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F3B4D"/>
          <w:sz w:val="26"/>
          <w:szCs w:val="26"/>
        </w:rPr>
        <w:t xml:space="preserve">Daftar Isi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Buka di Microsoft Word, klik kanan pada daftar isi, lalu pilih Update Field untuk memunculkan nomor halaman.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Peran Desainer dan Batasnya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Input desainer: Spesifikasi UI/UX v1.0 (29 layar, elemen wajib, navigasi) — dokumen itu menentukan APA yang ada di layar; dokumen ini menentukan BAGAIMANA tampil dan bergeraknya, plus paket serah-terima ke frontend.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Diputuskan desainer</w:t>
            </w:r>
          </w:p>
        </w:tc>
        <w:tc>
          <w:tcPr>
            <w:tcW w:type="dxa" w:w="4513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TIDAK diputuskan desainer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Komposisi visual, hierarki, ikonografi, ilustrasi, motion, penyempurnaan shade warna (selama kontras lolos), microcopy non-legal bersama produk.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Skala skor (selalu 1–100 — larangan 300–850/angka 720 dari mockup lama), ambang &amp; aturan gating, teks disclaimer dan consent (verbatim dari produk), kalimat error (katalog Kontrak API), nama band dan semantik warnanya.</w:t>
            </w:r>
          </w:p>
        </w:tc>
      </w:tr>
      <w:tr>
        <w:trPr>
          <w:tblHeader w:val="false"/>
        </w:trPr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Struktur file Figma, penamaan, variant komponen.</w:t>
            </w:r>
          </w:p>
        </w:tc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Menambah/menghapus elemen wajib layar tanpa PR ke Spesifikasi UI/UX.</w:t>
            </w:r>
          </w:p>
        </w:tc>
      </w:tr>
    </w:tbl>
    <w:p>
      <w:pPr>
        <w:pStyle w:val="Heading2"/>
      </w:pPr>
      <w:r>
        <w:t xml:space="preserve">1.1 Keputusan arsitektur dan peta dokumen (identik di semua dokumen)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Keputusan arsitektur (mengikat seluruh tim)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AD-1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Empat komponen sistem: aplikasi Flutter (finora-app), backend finora-api (Deno 2 + TypeScript, framework Hono), risk engine finora-risk (Python/FastAPI), PostgreSQL 16 + Redis 7. Dashboard admin adalah web internal milik tim backend — bukan bagian aplikasi Flutter.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AD-2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 hanya berkomunikasi dengan BE melalui REST /api/v1 (Kontrak A). FE tidak pernah mengakses database, risk engine, atau layanan pihak ketiga secara langsung; alur OAuth dibuka dari URL yang diberikan BE.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AD-3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Database hanya diakses BE. Risk engine stateless tanpa koneksi database; artefak model (scorecard, tabel kohort, margin MCC) milik risk engine dan berversi.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AD-4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Risk engine hanya dipanggil BE melalui REST internal /internal/v1 (Kontrak B) dengan tanda tangan HMAC; tidak pernah terekspos publik dan tidak pernah dipanggil FE.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AD-5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 keputusan bisnis di BE: marketplace_state, kecukupan data, transisi status, validasi pengajuan. Risk engine murni komputasi (skor, band, kode alasan, flag). FE murni presentasi — merender flag dari server dan tidak pernah menghitung aturan sendiri (mis. dilarang menulis if (score &gt;= 55)).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AD-6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Dokumen Kontrak API adalah sumber kebenaran tunggal antarmuka. Perubahan melalui PR berversi; breaking change wajib disetujui pemilik FE, BE, dan risk engine.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AD-7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 dan risk engine wajib dikembangkan dengan BDD + TDD + DDD. FE minimal widget test untuk seluruh komponen bersama dan integration test alur inti.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AD-8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Uang = integer rupiah. Waktu = UTC ISO-8601 (FE menampilkan WIB). ID publik = ULID. Enum ditulis HURUF_BESAR.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AD-9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demo sepenuhnya lokal di FE dengan fixture JSON berversi, tanpa panggilan jaringan. Fixture dihasilkan skrip pada repo risk engine dari kohort simulasi (Ghaisan).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900"/>
        <w:gridCol w:w="1900"/>
        <w:gridCol w:w="4226"/>
      </w:tblGrid>
      <w:tr>
        <w:trPr>
          <w:tblHeader/>
        </w:trPr>
        <w:tc>
          <w:tcPr>
            <w:tcW w:type="dxa" w:w="2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1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Pemegang utama</w:t>
            </w:r>
          </w:p>
        </w:tc>
        <w:tc>
          <w:tcPr>
            <w:tcW w:type="dxa" w:w="4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Isi pokok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Kontrak API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Bersama (mengikat)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Konvensi, kode error, Kontrak A (FE↔BE), kontrak Admin, Kontrak B (BE↔Risk Engine).</w:t>
            </w:r>
          </w:p>
        </w:tc>
      </w:tr>
      <w:tr>
        <w:trPr>
          <w:tblHeader w:val="false"/>
        </w:trPr>
        <w:tc>
          <w:tcPr>
            <w:tcW w:type="dxa" w:w="2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Frontend v1.0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Route, hierarki halaman, komponen reusable, validasi, state loading/empty/error, permission per halaman, breakpoint.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Backend &amp; Database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Kemal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Logika bisnis, endpoint, middleware, role &amp; permission, error handling, skema database, proses BDD/TDD/DDD.</w:t>
            </w:r>
          </w:p>
        </w:tc>
      </w:tr>
      <w:tr>
        <w:trPr>
          <w:tblHeader w:val="false"/>
        </w:trPr>
        <w:tc>
          <w:tcPr>
            <w:tcW w:type="dxa" w:w="2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Risk Engine v1.0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Fizz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Pipeline skor, artefak berversi, determinisme, pengujian, batch &amp; shadow scoring, integrasi dengan BE.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Panduan Desainer UI/UX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 (peran desain)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Design token, matriks state, motion, handoff Figma, protokol uji usabilitas.</w:t>
            </w:r>
          </w:p>
        </w:tc>
      </w:tr>
    </w:tbl>
    <w:p>
      <w:pPr>
        <w:pStyle w:val="Heading1"/>
      </w:pPr>
      <w:r>
        <w:t xml:space="preserve">2. Design Token</w:t>
      </w:r>
    </w:p>
    <w:p>
      <w:pPr>
        <w:pStyle w:val="Heading2"/>
      </w:pPr>
      <w:r>
        <w:t xml:space="preserve">2.1 Warna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0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Pemakaian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brand.primary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0F6E56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CTA primer, tautan, aksen aktif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brand.navy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1F3B4D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Judul, header tabel/laporan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band.rintis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D95F3B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Chip &amp; gauge band Rintis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band.tumbuh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E3A72F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Chip &amp; gauge band Tumbuh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band.stabil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4C9A6E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Chip &amp; gauge band Stabil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band.unggul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0F6E56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Chip &amp; gauge band Unggul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semantic.error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C0392B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Error, penahan (arah ↓)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semantic.success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2E8B57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Sukses, pendorong (arah ↑)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semantic.warning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E3A72F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Stale, menunggu verifikasi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surface / border</w:t>
            </w:r>
          </w:p>
        </w:tc>
        <w:tc>
          <w:tcPr>
            <w:tcW w:type="dxa" w:w="1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FFFFFF · F2F7F6 / C7D3D0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Latar kartu, garis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text.primary / secondary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333333 / 595959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Teks</w:t>
            </w:r>
          </w:p>
        </w:tc>
      </w:tr>
    </w:tbl>
    <w:p>
      <w:pPr>
        <w:pStyle w:val="Heading2"/>
      </w:pPr>
      <w:r>
        <w:t xml:space="preserve">2.2 Tipografi (Plus Jakarta Sans; fallback Inter)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Gaya</w:t>
            </w:r>
          </w:p>
        </w:tc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Ukuran/berat</w:t>
            </w:r>
          </w:p>
        </w:tc>
        <w:tc>
          <w:tcPr>
            <w:tcW w:type="dxa" w:w="4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Pemakaian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Score Display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48/700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Angka skor pada gauge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H1</w:t>
            </w:r>
          </w:p>
        </w:tc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24/600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Judul layar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H2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20/600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Judul seksi/kartu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Body</w:t>
            </w:r>
          </w:p>
        </w:tc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16/400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Teks utama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Body-sm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14/400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Sekunder — UKURAN TERKECIL untuk teks bermakna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Caption</w:t>
            </w:r>
          </w:p>
        </w:tc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12/500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Hanya label chip &amp; timestamp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Spacing skala 4 dp (4·8·12·16·24·32); radius: kartu 12, chip penuh, tombol 12; elevasi maksimal 2 tingkat; grid konten 16 dp tepi.</w:t>
      </w:r>
    </w:p>
    <w:p>
      <w:pPr>
        <w:pStyle w:val="Heading1"/>
      </w:pPr>
      <w:r>
        <w:t xml:space="preserve">3. Matriks Komponen × State (wajib didesain sebagai variant Figma)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67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Variant/state yang wajib ada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ScoreGauge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band × (normal · stale · animating) + kosong (mode terbatas)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BandChip</w:t>
            </w:r>
          </w:p>
        </w:tc>
        <w:tc>
          <w:tcPr>
            <w:tcW w:type="dxa" w:w="6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band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ConfidenceBadge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tinggi · sedang · rendah (+ sheet penjelasan)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DataMeter</w:t>
            </w:r>
          </w:p>
        </w:tc>
        <w:tc>
          <w:tcPr>
            <w:tcW w:type="dxa" w:w="6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0–33 · 34–66 · 67–100 + CTA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ReasonCard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pendorong · penahan · info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ActionCard</w:t>
            </w:r>
          </w:p>
        </w:tc>
        <w:tc>
          <w:tcPr>
            <w:tcW w:type="dxa" w:w="6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baru · berjalan · selesai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OfferCard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default · label mikro · (koperasi dengan baris prasyarat)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StatusTimeline</w:t>
            </w:r>
          </w:p>
        </w:tc>
        <w:tc>
          <w:tcPr>
            <w:tcW w:type="dxa" w:w="6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tahap × (mini · penuh) termasuk cabang ditolak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ConsentCard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belum · terhubung · gagal · dicabut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EmptyStateView</w:t>
            </w:r>
          </w:p>
        </w:tc>
        <w:tc>
          <w:tcPr>
            <w:tcW w:type="dxa" w:w="6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terkunci-coaching · belum-ada-pengajuan · notifikasi-kosong · wilayah-kosong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DisclaimerBar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satu varian, teks verbatim, tanpa tombol tutup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Sistem</w:t>
            </w:r>
          </w:p>
        </w:tc>
        <w:tc>
          <w:tcPr>
            <w:tcW w:type="dxa" w:w="6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PrimaryButton (default·loading·disabled) · OtpInput (kosong·terisi·salah) · SkeletonBox · ErrorView · OfflineBanner · ConfirmSheet</w:t>
            </w:r>
          </w:p>
        </w:tc>
      </w:tr>
    </w:tbl>
    <w:p>
      <w:pPr>
        <w:pStyle w:val="Heading1"/>
      </w:pPr>
      <w:r>
        <w:t xml:space="preserve">4. Matriks Layar × State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Setiap frame layar wajib punya frame saudara untuk state di bawah (rujuk Spesifikasi Frontend Bab 7 untuk pemicunya):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Kelompok layar</w:t>
            </w:r>
          </w:p>
        </w:tc>
        <w:tc>
          <w:tcPr>
            <w:tcW w:type="dxa" w:w="66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 wajib didesain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Onboarding S-03–S-10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default · loading · error inline · (S-05: izin kamera ditolak) · (S-10: memproses &amp; data-belum-cukup)</w:t>
            </w:r>
          </w:p>
        </w:tc>
      </w:tr>
      <w:tr>
        <w:trPr>
          <w:tblHeader w:val="false"/>
        </w:trPr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Beranda &amp; skor S-11–S-16</w:t>
            </w:r>
          </w:p>
        </w:tc>
        <w:tc>
          <w:tcPr>
            <w:tcW w:type="dxa" w:w="66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default · skeleton · stale banner · mode terbatas · (S-14: hasil simulasi)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Marketplace S-17–S-21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LOCKED · MICRO · FULL · wilayah kosong · skeleton · dialog 5002</w:t>
            </w:r>
          </w:p>
        </w:tc>
      </w:tr>
      <w:tr>
        <w:trPr>
          <w:tblHeader w:val="false"/>
        </w:trPr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 S-22–S-23</w:t>
            </w:r>
          </w:p>
        </w:tc>
        <w:tc>
          <w:tcPr>
            <w:tcW w:type="dxa" w:w="66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kosong · daftar · detail per status (termasuk ditolak &amp; konfirmasi cair)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 S-24–S-26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default · sumber gagal · dialog cabut 2 langkah · pasca-cabut</w:t>
            </w:r>
          </w:p>
        </w:tc>
      </w:tr>
      <w:tr>
        <w:trPr>
          <w:tblHeader w:val="false"/>
        </w:trPr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66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OfflineBanner · watermark MODE CONTOH (overlay di semua layar demo) · ErrorView penuh</w:t>
            </w:r>
          </w:p>
        </w:tc>
      </w:tr>
    </w:tbl>
    <w:p>
      <w:pPr>
        <w:pStyle w:val="Heading1"/>
      </w:pPr>
      <w:r>
        <w:t xml:space="preserve">5. Motion dan Mikrointeraksi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Token durasi: fast 150 ms (chip, tombol) · base 250 ms (transisi layar) · reveal 1.200 ms ease-out (gauge S-11, dapat dilewati).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Perayaan naik band (S-15): halus dan singkat (≤ 1,5 dtk) — tanpa konfeti berlebihan; konteks keuangan.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Hormati setelan reduce-motion: semua animasi punya varian statis.</w:t>
      </w:r>
    </w:p>
    <w:p>
      <w:pPr>
        <w:pStyle w:val="Heading1"/>
      </w:pPr>
      <w:r>
        <w:t xml:space="preserve">6. Ilustrasi, Ikon, dan Larangan Visual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Ikon: Material Symbols Rounded, satu berat, warna token. Ilustrasi: flat dua warna brand + satu aksen band, karakter pemilik usaha digambarkan bermartabat.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Larangan: tumpukan uang tunai, visual "cepat cair" ala pinjol, jam pasir/tekanan waktu, fotografi stok berlebihan, merah menyala untuk band rendah pada konteks coaching (gunakan band.rintis, nada membina).</w:t>
      </w:r>
    </w:p>
    <w:p>
      <w:pPr>
        <w:pStyle w:val="Heading1"/>
      </w:pPr>
      <w:r>
        <w:t xml:space="preserve">7. Checklist Aksesibilitas Desain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Kontras teks ≥ 4,5:1 (verifikasi tiap kombinasi token); status tidak bergantung warna saja (selalu ikon/label).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Target sentuh ≥ 48 dp; elemen aksi utama di paruh bawah layar; mockup wajib versi text-scale 130% untuk S-03, S-12, S-17, S-20.</w:t>
      </w:r>
    </w:p>
    <w:p>
      <w:pPr>
        <w:pStyle w:val="Heading1"/>
      </w:pPr>
      <w:r>
        <w:t xml:space="preserve">8. Serah-Terima (Handoff) ke Frontend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Struktur Figma: 00-Cover · 01-Tokens · 02-Components (variant sesuai Bab 3) · 03-Grup A–E (satu halaman per grup) · 04-Prototypes · 99-Archive.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Penamaan frame: "S-12 Beranda / state=stale"; komponen memakai properti variant, bukan duplikat lepas.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Ekspor token JSON (Tokens Studio) — FE membangkitkan ThemeData dari file ini, bukan menyalin manual.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Prototype klik untuk F-0, F-1, F-2, F-3 (rujuk flow Spesifikasi UI/UX Bab 5).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Ritme: review desain↔FE 2×/minggu; perubahan elemen wajib layar = PR ke Spesifikasi UI/UX dulu (boundary Bab 1).</w:t>
      </w:r>
    </w:p>
    <w:p>
      <w:pPr>
        <w:pStyle w:val="Heading1"/>
      </w:pPr>
      <w:r>
        <w:t xml:space="preserve">9. Protokol Uji Usabilitas (syarat Level 3)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3–5 merchant nyata di sekitar kampus, dua putaran, memakai prototype F-1 dan F-3.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Ketentuan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Tugas (5)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1) Daftar &amp; pindai stiker · 2) Temukan alasan skor tertahan · 3) Coba simulasi what-if · 4) Ajukan dari marketplace · 5) Cabut izin satu sumber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Metrik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Selesai tanpa bantuan (ya/tidak) · waktu per tugas · SEQ 1–7 · kutipan verbatim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Catatan iterasi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Tabel wajib: Temuan → Layar → Keputusan desain → Status (bukti terdokumentasi untuk submission)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Etika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 contoh saja (mode demo); tanpa merekam data pribadi peserta selain inisial &amp; jenis usaha</w:t>
            </w:r>
          </w:p>
        </w:tc>
      </w:tr>
    </w:tbl>
    <w:p>
      <w:pPr>
        <w:pStyle w:val="Heading1"/>
      </w:pPr>
      <w:r>
        <w:t xml:space="preserve">10. Urutan Prioritas Desain (P0 dulu)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S-05 → S-06 → S-07 → S-10 → S-11 → S-12 → S-13 → S-17 (tiga state) → S-18 → S-20 → S-21 → S-23 → S-15 → sisanya. Komponen Bab 3 dikerjakan sebelum layar mana pun.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Halaman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dari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FINORA — Panduan Desainer UI/UX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F6E5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F6E5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2026-07-13T16:32:30.533Z</dcterms:created>
  <dcterms:modified xsi:type="dcterms:W3CDTF">2026-07-13T16:32:30.533Z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