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1F3B4D"/>
          <w:sz w:val="48"/>
          <w:szCs w:val="48"/>
        </w:rPr>
        <w:t xml:space="preserve">FINORA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32"/>
          <w:szCs w:val="32"/>
        </w:rPr>
        <w:t xml:space="preserve">Spesifikasi Permukaan Non-Aplikasi v1.0</w:t>
      </w:r>
    </w:p>
    <w:p>
      <w:pPr>
        <w:spacing w:after="260"/>
      </w:pPr>
      <w:r>
        <w:rPr>
          <w:rFonts w:ascii="Calibri" w:cs="Calibri" w:eastAsia="Calibri" w:hAnsi="Calibri"/>
          <w:color w:val="595959"/>
          <w:sz w:val="23"/>
          <w:szCs w:val="23"/>
        </w:rPr>
        <w:t xml:space="preserve">PDF Laporan Kesehatan Usaha · email &amp; halaman unduh bertoken · web admin internal · ADR koperasi — untuk aktor yang tidak memakai aplikasi Flutter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</w:t>
            </w:r>
          </w:p>
        </w:tc>
        <w:tc>
          <w:tcPr>
            <w:tcW w:type="dxa" w:w="68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Versi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1.0 — Juli 2026</w:t>
            </w:r>
          </w:p>
        </w:tc>
      </w:tr>
      <w:tr>
        <w:trPr>
          <w:tblHeader w:val="false"/>
        </w:trPr>
        <w:tc>
          <w:tcPr>
            <w:tcW w:type="dxa" w:w="2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Draf untuk eksekusi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Pemegang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Kemal (implementasi seluruh permukaan) · Elang (desain PDF &amp; halaman unduh)</w:t>
            </w:r>
          </w:p>
        </w:tc>
      </w:tr>
      <w:tr>
        <w:trPr>
          <w:tblHeader w:val="false"/>
        </w:trPr>
        <w:tc>
          <w:tcPr>
            <w:tcW w:type="dxa" w:w="2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Cakupan</w:t>
            </w:r>
          </w:p>
        </w:tc>
        <w:tc>
          <w:tcPr>
            <w:tcW w:type="dxa" w:w="6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Permukaan untuk analis lender dan admin internal; dashboard koperasi diputuskan Fase 2 (ADR Bab 5)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Dokumen sumber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Kontrak API v1.1 (mengikat — Kontrak C) · Spesifikasi Backend &amp; Database v1.0 · Spesifikasi UI/UX v1.0 · PRD v1.0</w:t>
            </w:r>
          </w:p>
        </w:tc>
      </w:tr>
    </w:tbl>
    <w:p>
      <w:pPr>
        <w:spacing w:after="220"/>
      </w:pP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F3B4D"/>
          <w:sz w:val="26"/>
          <w:szCs w:val="26"/>
        </w:rPr>
        <w:t xml:space="preserve">Daftar Isi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Buka di Microsoft Word, klik kanan pada daftar isi, lalu pilih Update Field untuk memunculkan nomor halaman.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Lingkup dan Batas Tanggung Jawab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Dokumen ini menutup gap untuk aktor yang tidak memakai aplikasi Flutter namun tetap mengonsumsi antarmuka FINORA. Prinsipnya: aktor non-aplikasi bukan aktor non-antarmuka. Tiga permukaan didefinisikan di sini; satu keputusan lingkup (koperasi) dicatat sebagai ADR pada Bab 5.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300"/>
        <w:gridCol w:w="2100"/>
        <w:gridCol w:w="2200"/>
        <w:gridCol w:w="2426"/>
      </w:tblGrid>
      <w:tr>
        <w:trPr>
          <w:tblHeader/>
        </w:trPr>
        <w:tc>
          <w:tcPr>
            <w:tcW w:type="dxa" w:w="23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Permukaan</w:t>
            </w:r>
          </w:p>
        </w:tc>
        <w:tc>
          <w:tcPr>
            <w:tcW w:type="dxa" w:w="21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Desain</w:t>
            </w:r>
          </w:p>
        </w:tc>
        <w:tc>
          <w:tcPr>
            <w:tcW w:type="dxa" w:w="22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Implementasi</w:t>
            </w:r>
          </w:p>
        </w:tc>
        <w:tc>
          <w:tcPr>
            <w:tcW w:type="dxa" w:w="24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Konsumen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PDF Laporan Kesehatan Usaha (G1)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Elang (template Figma)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Kemal (template HTML→PDF di worker BE)</w:t>
            </w:r>
          </w:p>
        </w:tc>
        <w:tc>
          <w:tcPr>
            <w:tcW w:type="dxa" w:w="2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Analis lender (Pak Raka), komite kredit, juri</w:t>
            </w:r>
          </w:p>
        </w:tc>
      </w:tr>
      <w:tr>
        <w:trPr>
          <w:tblHeader w:val="false"/>
        </w:trPr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Email pengiriman + halaman unduh bertoken (G2)</w:t>
            </w:r>
          </w:p>
        </w:tc>
        <w:tc>
          <w:tcPr>
            <w:tcW w:type="dxa" w:w="21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Elang (layout ringan)</w:t>
            </w:r>
          </w:p>
        </w:tc>
        <w:tc>
          <w:tcPr>
            <w:tcW w:type="dxa" w:w="2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Kemal (Kontrak C)</w:t>
            </w:r>
          </w:p>
        </w:tc>
        <w:tc>
          <w:tcPr>
            <w:tcW w:type="dxa" w:w="24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Analis lender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Web admin internal (G3)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Pola bawaan Bab 4 (tanpa design system)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Kemal</w:t>
            </w:r>
          </w:p>
        </w:tc>
        <w:tc>
          <w:tcPr>
            <w:tcW w:type="dxa" w:w="2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Admin internal FINORA</w:t>
            </w:r>
          </w:p>
        </w:tc>
      </w:tr>
      <w:tr>
        <w:trPr>
          <w:tblHeader w:val="false"/>
        </w:trPr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Dashboard koperasi (G4)</w:t>
            </w:r>
          </w:p>
        </w:tc>
        <w:tc>
          <w:tcPr>
            <w:tcW w:type="dxa" w:w="21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Ditunda — ADR Bab 5</w:t>
            </w:r>
          </w:p>
        </w:tc>
        <w:tc>
          <w:tcPr>
            <w:tcW w:type="dxa" w:w="2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Ditunda</w:t>
            </w:r>
          </w:p>
        </w:tc>
        <w:tc>
          <w:tcPr>
            <w:tcW w:type="dxa" w:w="24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Pengurus koperasi (Bu Nia), Fase 2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b/>
          <w:bCs/>
        </w:rPr>
        <w:t xml:space="preserve">Dampak ke frontend Flutter: NOL. </w:t>
      </w:r>
      <w:r>
        <w:rPr>
          <w:rFonts w:ascii="Calibri" w:cs="Calibri" w:eastAsia="Calibri" w:hAnsi="Calibri"/>
        </w:rPr>
        <w:t xml:space="preserve">Ketiga permukaan hidup sepenuhnya di wilayah BE (AD-1); dokumen Spesifikasi Frontend tidak berubah satu baris pun. Data yang ditampilkan ketiga permukaan berasal dari tabel yang sudah ada — tidak ada perhitungan baru di lapisan template (boundary AD-5 tetap berlaku).</w:t>
      </w:r>
    </w:p>
    <w:p>
      <w:pPr>
        <w:pStyle w:val="Heading2"/>
      </w:pPr>
      <w:r>
        <w:t xml:space="preserve">1.1 Keputusan arsitektur dan peta dokumen (identik di semua dokumen)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1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Keputusan arsitektur (mengikat seluruh tim)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AD-1</w:t>
            </w:r>
          </w:p>
        </w:tc>
        <w:tc>
          <w:tcPr>
            <w:tcW w:type="dxa" w:w="8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Empat komponen sistem: aplikasi Flutter (finora-app), backend finora-api (Deno 2 + TypeScript, framework Hono), risk engine finora-risk (Python/FastAPI), PostgreSQL 16 + Redis 7. Dashboard admin adalah web internal milik tim backend — bukan bagian aplikasi Flutter.</w:t>
            </w:r>
          </w:p>
        </w:tc>
      </w:tr>
      <w:tr>
        <w:trPr>
          <w:tblHeader w:val="false"/>
        </w:trPr>
        <w:tc>
          <w:tcPr>
            <w:tcW w:type="dxa" w:w="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AD-2</w:t>
            </w:r>
          </w:p>
        </w:tc>
        <w:tc>
          <w:tcPr>
            <w:tcW w:type="dxa" w:w="81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FE hanya berkomunikasi dengan BE melalui REST /api/v1 (Kontrak A). FE tidak pernah mengakses database, risk engine, atau layanan pihak ketiga secara langsung; alur OAuth dibuka dari URL yang diberikan BE.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AD-3</w:t>
            </w:r>
          </w:p>
        </w:tc>
        <w:tc>
          <w:tcPr>
            <w:tcW w:type="dxa" w:w="8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Database hanya diakses BE. Risk engine stateless tanpa koneksi database; artefak model (scorecard, tabel kohort, margin MCC) milik risk engine dan berversi.</w:t>
            </w:r>
          </w:p>
        </w:tc>
      </w:tr>
      <w:tr>
        <w:trPr>
          <w:tblHeader w:val="false"/>
        </w:trPr>
        <w:tc>
          <w:tcPr>
            <w:tcW w:type="dxa" w:w="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AD-4</w:t>
            </w:r>
          </w:p>
        </w:tc>
        <w:tc>
          <w:tcPr>
            <w:tcW w:type="dxa" w:w="81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Risk engine hanya dipanggil BE melalui REST internal /internal/v1 (Kontrak B) dengan tanda tangan HMAC; tidak pernah terekspos publik dan tidak pernah dipanggil FE.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AD-5</w:t>
            </w:r>
          </w:p>
        </w:tc>
        <w:tc>
          <w:tcPr>
            <w:tcW w:type="dxa" w:w="8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Seluruh keputusan bisnis di BE: marketplace_state, kecukupan data, transisi status, validasi pengajuan. Risk engine murni komputasi (skor, band, kode alasan, flag). FE murni presentasi — merender flag dari server dan tidak pernah menghitung aturan sendiri (mis. dilarang menulis if (score &gt;= 55)).</w:t>
            </w:r>
          </w:p>
        </w:tc>
      </w:tr>
      <w:tr>
        <w:trPr>
          <w:tblHeader w:val="false"/>
        </w:trPr>
        <w:tc>
          <w:tcPr>
            <w:tcW w:type="dxa" w:w="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AD-6</w:t>
            </w:r>
          </w:p>
        </w:tc>
        <w:tc>
          <w:tcPr>
            <w:tcW w:type="dxa" w:w="81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Dokumen Kontrak API adalah sumber kebenaran tunggal antarmuka. Perubahan melalui PR berversi; breaking change wajib disetujui pemilik FE, BE, dan risk engine.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AD-7</w:t>
            </w:r>
          </w:p>
        </w:tc>
        <w:tc>
          <w:tcPr>
            <w:tcW w:type="dxa" w:w="8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 dan risk engine wajib dikembangkan dengan BDD + TDD + DDD. FE minimal widget test untuk seluruh komponen bersama dan integration test alur inti.</w:t>
            </w:r>
          </w:p>
        </w:tc>
      </w:tr>
      <w:tr>
        <w:trPr>
          <w:tblHeader w:val="false"/>
        </w:trPr>
        <w:tc>
          <w:tcPr>
            <w:tcW w:type="dxa" w:w="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AD-8</w:t>
            </w:r>
          </w:p>
        </w:tc>
        <w:tc>
          <w:tcPr>
            <w:tcW w:type="dxa" w:w="81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Uang = integer rupiah. Waktu = UTC ISO-8601 (FE menampilkan WIB). ID publik = ULID. Enum ditulis HURUF_BESAR.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AD-9</w:t>
            </w:r>
          </w:p>
        </w:tc>
        <w:tc>
          <w:tcPr>
            <w:tcW w:type="dxa" w:w="8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Mode demo sepenuhnya lokal di FE dengan fixture JSON berversi, tanpa panggilan jaringan. Fixture dihasilkan skrip pada repo risk engine dari kohort simulasi (Ghaisan).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900"/>
        <w:gridCol w:w="1900"/>
        <w:gridCol w:w="4226"/>
      </w:tblGrid>
      <w:tr>
        <w:trPr>
          <w:tblHeader/>
        </w:trPr>
        <w:tc>
          <w:tcPr>
            <w:tcW w:type="dxa" w:w="29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Dokumen</w:t>
            </w:r>
          </w:p>
        </w:tc>
        <w:tc>
          <w:tcPr>
            <w:tcW w:type="dxa" w:w="19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Pemegang utama</w:t>
            </w:r>
          </w:p>
        </w:tc>
        <w:tc>
          <w:tcPr>
            <w:tcW w:type="dxa" w:w="42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Isi pokok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Kontrak API v1.0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Bersama (mengikat)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Konvensi, kode error, Kontrak A (FE↔BE), kontrak Admin, Kontrak B (BE↔Risk Engine).</w:t>
            </w:r>
          </w:p>
        </w:tc>
      </w:tr>
      <w:tr>
        <w:trPr>
          <w:tblHeader w:val="false"/>
        </w:trPr>
        <w:tc>
          <w:tcPr>
            <w:tcW w:type="dxa" w:w="2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Spesifikasi Frontend v1.0</w:t>
            </w:r>
          </w:p>
        </w:tc>
        <w:tc>
          <w:tcPr>
            <w:tcW w:type="dxa" w:w="1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Elang</w:t>
            </w:r>
          </w:p>
        </w:tc>
        <w:tc>
          <w:tcPr>
            <w:tcW w:type="dxa" w:w="42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Route, hierarki halaman, komponen reusable, validasi, state loading/empty/error, permission per halaman, breakpoint.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Spesifikasi Backend &amp; Database v1.0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Kemal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Logika bisnis, endpoint, middleware, role &amp; permission, error handling, skema database, proses BDD/TDD/DDD.</w:t>
            </w:r>
          </w:p>
        </w:tc>
      </w:tr>
      <w:tr>
        <w:trPr>
          <w:tblHeader w:val="false"/>
        </w:trPr>
        <w:tc>
          <w:tcPr>
            <w:tcW w:type="dxa" w:w="2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Spesifikasi Risk Engine v1.0</w:t>
            </w:r>
          </w:p>
        </w:tc>
        <w:tc>
          <w:tcPr>
            <w:tcW w:type="dxa" w:w="1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Fizz</w:t>
            </w:r>
          </w:p>
        </w:tc>
        <w:tc>
          <w:tcPr>
            <w:tcW w:type="dxa" w:w="42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Pipeline skor, artefak berversi, determinisme, pengujian, batch &amp; shadow scoring, integrasi dengan BE.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Panduan Desainer UI/UX v1.0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Elang (peran desain)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Design token, matriks state, motion, handoff Figma, protokol uji usabilitas.</w:t>
            </w:r>
          </w:p>
        </w:tc>
      </w:tr>
    </w:tbl>
    <w:p>
      <w:pPr>
        <w:pStyle w:val="Heading1"/>
      </w:pPr>
      <w:r>
        <w:t xml:space="preserve">2. G1 — Spesifikasi PDF Laporan Kesehatan Usaha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Satu halaman A4 portrait. Ini antarmuka FINORA yang paling menentukan di mata lender dan juri: dicetak, difotokopi, diarsip pemeriksaan. Karena itu aturan pertamanya: tetap terbaca penuh dalam hitam-putih.</w:t>
      </w:r>
    </w:p>
    <w:p>
      <w:pPr>
        <w:pStyle w:val="Heading2"/>
      </w:pPr>
      <w:r>
        <w:t xml:space="preserve">2.1 Tata letak zona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+--------------------------------------------------------------+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| [A] FINORA   LAPORAN KESEHATAN USAHA        FNR-2026-04187   |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|     Terbit: 12 Jul 2026        Verifikasi keaslian: [QR]     |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+------------------------------+-------------------------------+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| [B] IDENTITAS USAHA          | [C] SKOR                      |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|  Warung Bu Sari              |         62 / 100              |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|  NMID ID10****3921  MCC 5812 |    STABIL  (Grade B)          |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|  Bandung, Jawa Barat  (UMI)  |    Keyakinan: SEDANG          |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|  Riwayat data: 9 bulan       |    per 12 Jul 2026            |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+------------------------------+-------------------------------+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| [D] OMZET QRIS 9 BULAN TERAKHIR (terverifikasi settlement)   |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|     [grafik batang bulanan + garis median]                   |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+---------------------------------+----------------------------+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| [E] ALASAN UTAMA                | KAPASITAS ANGSURAN (KAI)   |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|  (+) Hari buka sangat teratur   |   Rp 1.800.000 / bulan     |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|  (-) Naik-turun omzet besar     |   median x 30% x 50%       |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|  (+) Omzet di atas median kohort|   parameter dapat disetel  |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+---------------------------------+----------------------------+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| [F] Verifikasi: 1 sumber - cross-check OK - tanpa flag       |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|     Disclaimer (verbatim) - scorecard 2026.07 - kontak       |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+--------------------------------------------------------------+</w:t>
      </w:r>
    </w:p>
    <w:p>
      <w:pPr>
        <w:spacing w:after="140"/>
      </w:pPr>
    </w:p>
    <w:p>
      <w:pPr>
        <w:pStyle w:val="Heading2"/>
      </w:pPr>
      <w:r>
        <w:t xml:space="preserve">2.2 Aturan per zona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Zona</w:t>
            </w:r>
          </w:p>
        </w:tc>
        <w:tc>
          <w:tcPr>
            <w:tcW w:type="dxa" w:w="78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Ketentuan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</w:t>
            </w:r>
          </w:p>
        </w:tc>
        <w:tc>
          <w:tcPr>
            <w:tcW w:type="dxa" w:w="7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Logo + judul + kode referral (mono, menonjol) + tanggal terbit + QR verifikasi. QR berisi URL /r/{token} yang SAMA dengan tautan email — laporan cetak dapat diverifikasi keasliannya lewat ponsel.</w:t>
            </w:r>
          </w:p>
        </w:tc>
      </w:tr>
      <w:tr>
        <w:trPr>
          <w:tblHeader w:val="false"/>
        </w:trPr>
        <w:tc>
          <w:tcPr>
            <w:tcW w:type="dxa" w:w="1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</w:t>
            </w:r>
          </w:p>
        </w:tc>
        <w:tc>
          <w:tcPr>
            <w:tcW w:type="dxa" w:w="7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Nama merchant, NMID sebagian disamarkan, label sektor (terjemahan MCC) + kode MCC, kota/provinsi, kriteria merchant, panjang riwayat data.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</w:t>
            </w:r>
          </w:p>
        </w:tc>
        <w:tc>
          <w:tcPr>
            <w:tcW w:type="dxa" w:w="7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Angka skor besar (skala 1–100 — larangan mutlak skala lain), band, dan Grade A–D. Catatan boundary: grade huruf hanya tampil DI SINI, tidak pernah di aplikasi merchant. Keyakinan + tanggal skor wajib menempel.</w:t>
            </w:r>
          </w:p>
        </w:tc>
      </w:tr>
      <w:tr>
        <w:trPr>
          <w:tblHeader w:val="false"/>
        </w:trPr>
        <w:tc>
          <w:tcPr>
            <w:tcW w:type="dxa" w:w="1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</w:t>
            </w:r>
          </w:p>
        </w:tc>
        <w:tc>
          <w:tcPr>
            <w:tcW w:type="dxa" w:w="7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Grafik batang omzet bulanan 6–12 bulan + garis median; sumber data disebut eksplisit; sumbu rupiah disingkat (jt).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</w:t>
            </w:r>
          </w:p>
        </w:tc>
        <w:tc>
          <w:tcPr>
            <w:tcW w:type="dxa" w:w="7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Tiga sampai lima alasan dari katalog copy BE, penanda arah (+)/(-) berbentuk simbol + label — bukan warna saja. KAI dengan rumus parameternya dan label "indikatif".</w:t>
            </w:r>
          </w:p>
        </w:tc>
      </w:tr>
      <w:tr>
        <w:trPr>
          <w:tblHeader w:val="false"/>
        </w:trPr>
        <w:tc>
          <w:tcPr>
            <w:tcW w:type="dxa" w:w="1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</w:t>
            </w:r>
          </w:p>
        </w:tc>
        <w:tc>
          <w:tcPr>
            <w:tcW w:type="dxa" w:w="7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Penanda verifikasi (jumlah sumber, status cross-check, flag integritas bila ada — jujur, tidak disembunyikan), teks disclaimer verbatim, versi scorecard, kontak, dan catatan masa berlaku tautan.</w:t>
            </w:r>
          </w:p>
        </w:tc>
      </w:tr>
    </w:tbl>
    <w:p>
      <w:pPr>
        <w:pStyle w:val="Heading2"/>
      </w:pPr>
      <w:r>
        <w:t xml:space="preserve">2.3 Aturan produksi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Print-safe: band diberi label teks + simbol; warna hanya aksen. Font di-embed; ukuran teks minimum 9 pt; margin 12 mm.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Alur kepemilikan: desain Figma (Elang) → template HTML + CSS print di repo BE (Kemal) → render Chromium headless di worker saat ApplicationSubmitted (BL-13) → simpan ke report_files + terbitkan token report_links.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Template DILARANG menghitung: seluruh angka datang dari score_results dan offer_snapshot apa adanya (AD-5). Golden test: PDF persona 62 dibekukan; perubahan template = pembaruan golden yang di-review.</w:t>
      </w:r>
    </w:p>
    <w:p>
      <w:pPr>
        <w:pStyle w:val="Heading1"/>
      </w:pPr>
      <w:r>
        <w:t xml:space="preserve">3. G2 — Email Pengiriman dan Halaman Unduh Bertoken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Ini wajah FINORA pertama yang dilihat lender. Endpoint dan aturan tokennya mengikat di Kontrak API v1.1 §9 (Kontrak C); bab ini menetapkan isi dan tampilannya.</w:t>
      </w:r>
    </w:p>
    <w:p>
      <w:pPr>
        <w:pStyle w:val="Heading2"/>
      </w:pPr>
      <w:r>
        <w:t xml:space="preserve">3.1 Template email (satu-satunya)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Kepada : {lenders.contact_email}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Subjek : [FINORA] Pengajuan baru FNR-2026-04187 - Warung Bu Sari (STABIL)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Yth. Tim Kredit {nama_lender},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Satu calon nasabah tersaring mengajukan pembiayaan melalui FINORA: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 Usaha     : Warung Bu Sari - warung makan, Bandung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 Skor      : 62 / 100 (STABIL, Grade B) - keyakinan SEDANG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 KAI       : Rp 1.800.000 / bulan (indikatif)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 Referral  : FNR-2026-04187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     [ Buka Laporan Kesehatan Usaha ]   &lt;- tombol ke /r/{token}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Tautan berlaku hingga 19 Jul 2026. Keputusan kredit sepenuhnya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wewenang lembaga Anda; FINORA tidak memproses dana.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 </w:t>
      </w:r>
    </w:p>
    <w:p>
      <w:pPr>
        <w:shd w:fill="F3F6F5" w:val="clear"/>
        <w:spacing w:after="0" w:line="240"/>
        <w:ind w:left="160" w:right="160"/>
      </w:pPr>
      <w:r>
        <w:rPr>
          <w:rFonts w:ascii="Consolas" w:cs="Consolas" w:eastAsia="Consolas" w:hAnsi="Consolas"/>
          <w:color w:val="2B3B38"/>
          <w:sz w:val="17"/>
          <w:szCs w:val="17"/>
        </w:rPr>
        <w:t xml:space="preserve">Email otomatis - jangan balas. Bantuan: {kontak_ops}</w:t>
      </w:r>
    </w:p>
    <w:p>
      <w:pPr>
        <w:spacing w:after="140"/>
      </w:pP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Wajib ada versi plain-text; tanpa lampiran PDF langsung (PDF hanya lewat tautan — agar akses teraudit dan bisa dicabut).</w:t>
      </w:r>
    </w:p>
    <w:p>
      <w:pPr>
        <w:pStyle w:val="Heading2"/>
      </w:pPr>
      <w:r>
        <w:t xml:space="preserve">3.2 Halaman unduh /r/{token}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70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Isi halaman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AKTIF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Logo + judul; ringkasan (usaha, skor+band, referral); tombol besar "Unduh Laporan (PDF)"; masa berlaku; disclaimer; tautan bantuan. Mobile-friendly, tanpa login, tanpa JavaScript wajib.</w:t>
            </w:r>
          </w:p>
        </w:tc>
      </w:tr>
      <w:tr>
        <w:trPr>
          <w:tblHeader w:val="false"/>
        </w:trPr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KEDALUWARSA (410)</w:t>
            </w:r>
          </w:p>
        </w:tc>
        <w:tc>
          <w:tcPr>
            <w:tcW w:type="dxa" w:w="7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Pesan jujur + instruksi meminta tautan baru ke kontak ops (bukan formulir).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DICABUT (410)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Pesan bahwa tautan diganti demi keamanan + kontak ops.</w:t>
            </w:r>
          </w:p>
        </w:tc>
      </w:tr>
      <w:tr>
        <w:trPr>
          <w:tblHeader w:val="false"/>
        </w:trPr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TIDAK DIKENAL (404)</w:t>
            </w:r>
          </w:p>
        </w:tc>
        <w:tc>
          <w:tcPr>
            <w:tcW w:type="dxa" w:w="7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Pesan netral tanpa mengonfirmasi apa pun tentang keberadaan pengajuan.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Keamanan dan audit mengikuti Kontrak C: token hash-only, noindex, no-store, rate limit 30/menit/IP, setiap buka/unduh tercatat (IP, user agent).</w:t>
      </w:r>
    </w:p>
    <w:p>
      <w:pPr>
        <w:pStyle w:val="Heading1"/>
      </w:pPr>
      <w:r>
        <w:t xml:space="preserve">4. G3 — Web Admin Internal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Alat internal, bukan produk: server-rendered dari finora-api (Hono JSX + sedikit vanilla JS), desktop-first 1280 px, tanpa design system — cukup pola bawaan bab ini. Setiap halaman memetakan 1:1 ke endpoint Kontrak Admin yang sudah ada; TIDAK ada endpoint baru selain yang tercantum di Kontrak v1.1.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100"/>
        <w:gridCol w:w="1900"/>
        <w:gridCol w:w="2300"/>
        <w:gridCol w:w="3726"/>
      </w:tblGrid>
      <w:tr>
        <w:trPr>
          <w:tblHeader/>
        </w:trPr>
        <w:tc>
          <w:tcPr>
            <w:tcW w:type="dxa" w:w="11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Hal.</w:t>
            </w:r>
          </w:p>
        </w:tc>
        <w:tc>
          <w:tcPr>
            <w:tcW w:type="dxa" w:w="19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3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 kontrak</w:t>
            </w:r>
          </w:p>
        </w:tc>
        <w:tc>
          <w:tcPr>
            <w:tcW w:type="dxa" w:w="37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 wajib &amp; state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W-01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/admin/login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POST /admin/auth/login</w:t>
            </w:r>
          </w:p>
        </w:tc>
        <w:tc>
          <w:tcPr>
            <w:tcW w:type="dxa" w:w="3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Form email + kata sandi; error kredensial generik; lockout 5× gagal.</w:t>
            </w:r>
          </w:p>
        </w:tc>
      </w:tr>
      <w:tr>
        <w:trPr>
          <w:tblHeader w:val="false"/>
        </w:trPr>
        <w:tc>
          <w:tcPr>
            <w:tcW w:type="dxa" w:w="11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W-02</w:t>
            </w:r>
          </w:p>
        </w:tc>
        <w:tc>
          <w:tcPr>
            <w:tcW w:type="dxa" w:w="1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/admin/review</w:t>
            </w:r>
          </w:p>
        </w:tc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GET review-queue · POST decision</w:t>
            </w:r>
          </w:p>
        </w:tc>
        <w:tc>
          <w:tcPr>
            <w:tcW w:type="dxa" w:w="3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Tabel antrean (merchant, kode flag, tingkat, waktu) + filter status; panel detail evidence; tiga aksi (bersihkan / pertahankan penalti / tangguhkan) dengan catatan WAJIB; state kosong "tidak ada flag".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W-03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/admin/applications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GET applications · PATCH status</w:t>
            </w:r>
          </w:p>
        </w:tc>
        <w:tc>
          <w:tcPr>
            <w:tcW w:type="dxa" w:w="3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Tabel + filter status; detail: timeline penuh + snapshot penawaran; tombol transisi HANYA yang legal menurut mesin status (AC-N09); catatan wajib saat REJECTED; tautan regenerasi laporan.</w:t>
            </w:r>
          </w:p>
        </w:tc>
      </w:tr>
      <w:tr>
        <w:trPr>
          <w:tblHeader w:val="false"/>
        </w:trPr>
        <w:tc>
          <w:tcPr>
            <w:tcW w:type="dxa" w:w="11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W-04</w:t>
            </w:r>
          </w:p>
        </w:tc>
        <w:tc>
          <w:tcPr>
            <w:tcW w:type="dxa" w:w="1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/admin/disbursements</w:t>
            </w:r>
          </w:p>
        </w:tc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POST disbursements</w:t>
            </w:r>
          </w:p>
        </w:tc>
        <w:tc>
          <w:tcPr>
            <w:tcW w:type="dxa" w:w="3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Daftar konfirmasi merchant menunggu verifikasi; form pencatatan LENDER_REPORT (cari via kode referral, nominal, tanggal); hasil verifikasi tampil di baris.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W-05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/admin/lenders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CRUD lenders / policy / products</w:t>
            </w:r>
          </w:p>
        </w:tc>
        <w:tc>
          <w:tcPr>
            <w:tcW w:type="dxa" w:w="3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HANYA ADMIN_SUPER (AC-N10). Form policy layer: cutoff band, min riwayat, MCC dikecualikan, peta plafon, parameter KAI, wilayah; daftar produk.</w:t>
            </w:r>
          </w:p>
        </w:tc>
      </w:tr>
      <w:tr>
        <w:trPr>
          <w:tblHeader w:val="false"/>
        </w:trPr>
        <w:tc>
          <w:tcPr>
            <w:tcW w:type="dxa" w:w="11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W-06</w:t>
            </w:r>
          </w:p>
        </w:tc>
        <w:tc>
          <w:tcPr>
            <w:tcW w:type="dxa" w:w="1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/admin/ops</w:t>
            </w:r>
          </w:p>
        </w:tc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GET pipeline/health · GET audit-logs</w:t>
            </w:r>
          </w:p>
        </w:tc>
        <w:tc>
          <w:tcPr>
            <w:tcW w:type="dxa" w:w="3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Kartu status job (refresh mingguan, email-poll, purge, report-cleanup) + tabel audit read-only berfilter entity/actor — termasuk log unduhan laporan lender.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Aturan lintas halaman: aksi destruktif selalu berkonfirmasi; setiap error menampilkan request_id; waktu ditampilkan WIB (disimpan UTC); badge role di header; tanpa mode mobile.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Pengujian: satu e2e happy path per halaman terhadap kontrak; role-guard W-05 diuji negatif; tanpa uji visual piksel.</w:t>
      </w:r>
    </w:p>
    <w:p>
      <w:pPr>
        <w:pStyle w:val="Heading1"/>
      </w:pPr>
      <w:r>
        <w:t xml:space="preserve">5. G4 — ADR: Dashboard Koperasi Dipindah ke Fase 2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000"/>
        <w:gridCol w:w="7026"/>
      </w:tblGrid>
      <w:tr>
        <w:tc>
          <w:tcPr>
            <w:tcW w:type="dxa" w:w="20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DIPUTUSKAN — Juli 2026 (persetujuan team lead)</w:t>
            </w:r>
          </w:p>
        </w:tc>
      </w:tr>
      <w:tr>
        <w:tc>
          <w:tcPr>
            <w:tcW w:type="dxa" w:w="20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Konteks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US-K1/US-K2 (dashboard tiga warna anggota; rujukan onboarding) berlabel P1 di PRD, namun tidak ada satu lapisan pun yang mendukungnya: tanpa layar, tanpa endpoint, tanpa tabel keanggotaan — dan yang paling mendasar, tanpa model consent yang tepat.</w:t>
            </w:r>
          </w:p>
        </w:tc>
      </w:tr>
      <w:tr>
        <w:tc>
          <w:tcPr>
            <w:tcW w:type="dxa" w:w="20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Keputusan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US-K1 dan US-K2 dipindah ke P2/Fase 2. MVP tidak membangun permukaan koperasi.</w:t>
            </w:r>
          </w:p>
        </w:tc>
      </w:tr>
      <w:tr>
        <w:tc>
          <w:tcPr>
            <w:tcW w:type="dxa" w:w="20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Alasan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(1) Koperasi melihat skor anggota secara berkelanjutan membutuhkan jenis consent baru — standing consent merchant → lembaga (SCORE_SHARING) — yang berbeda dari dua jenis yang ada (consent per sumber data; consent bagi-data per pengajuan). Membangun tanpa model ini melanggar prinsip consent-first. (2) Pilot Fase 1 menargetkan satu lender; fokus. (3) Prinsip anti-overclaiming Level 3: lebih baik jujur tertunda daripada setengah jadi.</w:t>
            </w:r>
          </w:p>
        </w:tc>
      </w:tr>
      <w:tr>
        <w:tc>
          <w:tcPr>
            <w:tcW w:type="dxa" w:w="20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Yang TETAP di MVP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Koperasi tidak hilang dari produk: tetap tampil di marketplace (S-17), prasyarat keanggotaan tetap dispesifikasikan (S-19), dan koperasi menerima referral lewat email + halaman unduh yang sama persis dengan BPR (G1–G2). Yang ditunda hanya dashboard pemantauan anggota.</w:t>
            </w:r>
          </w:p>
        </w:tc>
      </w:tr>
      <w:tr>
        <w:tc>
          <w:tcPr>
            <w:tcW w:type="dxa" w:w="20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Prasyarat bila dibangun (Fase 2)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Tabel koperasi_members (koperasi_id, merchant_id, status, joined_at) · tipe consent SCORE_SHARING dengan pencabutan · 2 endpoint (GET /koperasi/members-health, POST /koperasi/members/invite) · 1 halaman web sederhana · pembaruan Kontrak API (minor).</w:t>
            </w:r>
          </w:p>
        </w:tc>
      </w:tr>
    </w:tbl>
    <w:p>
      <w:pPr>
        <w:pStyle w:val="Heading1"/>
      </w:pPr>
      <w:r>
        <w:t xml:space="preserve">6. Amandemen Presisi pada Dokumen Lain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Terapkan persis sebagai berikut; selain daftar ini, tidak ada dokumen lain yang berubah.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300"/>
        <w:gridCol w:w="1700"/>
        <w:gridCol w:w="5026"/>
      </w:tblGrid>
      <w:tr>
        <w:trPr>
          <w:tblHeader/>
        </w:trPr>
        <w:tc>
          <w:tcPr>
            <w:tcW w:type="dxa" w:w="23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Dokumen</w:t>
            </w:r>
          </w:p>
        </w:tc>
        <w:tc>
          <w:tcPr>
            <w:tcW w:type="dxa" w:w="17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Bagian</w:t>
            </w:r>
          </w:p>
        </w:tc>
        <w:tc>
          <w:tcPr>
            <w:tcW w:type="dxa" w:w="50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Perubahan persis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Kontrak API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Seluruh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SUDAH DITERBITKAN sebagai v1.1.0 (menyertai dokumen ini): Kontrak C baru (§9), FIN-6001/6002, endpoint admin regenerasi tautan, baris keterlacakan. Kontrak A dan B tidak berubah.</w:t>
            </w:r>
          </w:p>
        </w:tc>
      </w:tr>
      <w:tr>
        <w:trPr>
          <w:tblHeader w:val="false"/>
        </w:trPr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Spesifikasi Backend §10</w:t>
            </w:r>
          </w:p>
        </w:tc>
        <w:tc>
          <w:tcPr>
            <w:tcW w:type="dxa" w:w="17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Integrasi eksternal</w:t>
            </w:r>
          </w:p>
        </w:tc>
        <w:tc>
          <w:tcPr>
            <w:tcW w:type="dxa" w:w="5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Tambah baris: "Email transaksional — provider SMTP/API; kredensial di env; kegagalan kirim → retry antrean + alert". Tambah host provider pada --allow-net di deno.json (start &amp; worker).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Spesifikasi Backend §12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lenders: tambah kolom contact_email (wajib untuk lender aktif). Tabel baru report_links: id · application_id fk · token_hash uniq · expires_at · revoked_at · download_count · created_at.</w:t>
            </w:r>
          </w:p>
        </w:tc>
      </w:tr>
      <w:tr>
        <w:trPr>
          <w:tblHeader w:val="false"/>
        </w:trPr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Spesifikasi Backend §4</w:t>
            </w:r>
          </w:p>
        </w:tc>
        <w:tc>
          <w:tcPr>
            <w:tcW w:type="dxa" w:w="17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Logika bisnis</w:t>
            </w:r>
          </w:p>
        </w:tc>
        <w:tc>
          <w:tcPr>
            <w:tcW w:type="dxa" w:w="5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Tambah BL-17: "Regenerasi tautan laporan menerbitkan token baru dan seketika mencabut token lama; kedua peristiwa diaudit."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Spesifikasi Backend §9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Jobs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report-cleanup juga menonaktifkan report_links yang kedaluwarsa.</w:t>
            </w:r>
          </w:p>
        </w:tc>
      </w:tr>
      <w:tr>
        <w:trPr>
          <w:tblHeader w:val="false"/>
        </w:trPr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PRD §9.3</w:t>
            </w:r>
          </w:p>
        </w:tc>
        <w:tc>
          <w:tcPr>
            <w:tcW w:type="dxa" w:w="17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User stories</w:t>
            </w:r>
          </w:p>
        </w:tc>
        <w:tc>
          <w:tcPr>
            <w:tcW w:type="dxa" w:w="5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US-K1 dan US-K2: prioritas P1 → P2 (rujuk ADR G4).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PRD §8.5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Out of Scope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Tambah butir: "Dashboard koperasi dan model consent SCORE_SHARING — Fase 2 (ADR G4 pada Spesifikasi Permukaan Non-Aplikasi v1.0)."</w:t>
            </w:r>
          </w:p>
        </w:tc>
      </w:tr>
      <w:tr>
        <w:trPr>
          <w:tblHeader w:val="false"/>
        </w:trPr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Spesifikasi UI/UX §2.4</w:t>
            </w:r>
          </w:p>
        </w:tc>
        <w:tc>
          <w:tcPr>
            <w:tcW w:type="dxa" w:w="17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Aktor non-aplikasi</w:t>
            </w:r>
          </w:p>
        </w:tc>
        <w:tc>
          <w:tcPr>
            <w:tcW w:type="dxa" w:w="5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Baris Bu Nia: ganti "(P1, permukaan terpisah)" menjadi "(Fase 2 — ADR G4)".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Panduan Desainer §10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Prioritas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Sisipkan sebelum layar non-P0: "Desain PDF Laporan (G1) dan halaman unduh (G2) — prioritas setara P0."</w:t>
            </w:r>
          </w:p>
        </w:tc>
      </w:tr>
      <w:tr>
        <w:trPr>
          <w:tblHeader w:val="false"/>
        </w:trPr>
        <w:tc>
          <w:tcPr>
            <w:tcW w:type="dxa" w:w="23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Spesifikasi Frontend</w:t>
            </w:r>
          </w:p>
        </w:tc>
        <w:tc>
          <w:tcPr>
            <w:tcW w:type="dxa" w:w="17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5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TIDAK ADA PERUBAHAN (bukti boundary bekerja).</w:t>
            </w:r>
          </w:p>
        </w:tc>
      </w:tr>
    </w:tbl>
    <w:p>
      <w:pPr>
        <w:pStyle w:val="Heading1"/>
      </w:pPr>
      <w:r>
        <w:t xml:space="preserve">7. Kriteria Penerimaan Permukaan Non-Aplikasi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8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Kriteria (dapat diuji)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AC-N01</w:t>
            </w:r>
          </w:p>
        </w:tc>
        <w:tc>
          <w:tcPr>
            <w:tcW w:type="dxa" w:w="7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PDF selalu tepat satu halaman A4 untuk seluruh 100 profil fixture kohort (nama terpanjang tidak meluber; alasan terpanjang terpotong anggun).</w:t>
            </w:r>
          </w:p>
        </w:tc>
      </w:tr>
      <w:tr>
        <w:trPr>
          <w:tblHeader w:val="false"/>
        </w:trPr>
        <w:tc>
          <w:tcPr>
            <w:tcW w:type="dxa" w:w="1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AC-N02</w:t>
            </w:r>
          </w:p>
        </w:tc>
        <w:tc>
          <w:tcPr>
            <w:tcW w:type="dxa" w:w="7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Cetak grayscale tetap membedakan band dan arah alasan (label + simbol, bukan warna saja).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AC-N03</w:t>
            </w:r>
          </w:p>
        </w:tc>
        <w:tc>
          <w:tcPr>
            <w:tcW w:type="dxa" w:w="7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Seluruh elemen wajib FR-8.1 hadir; setiap angka identik dengan score_results / offer_snapshot — template terbukti tidak menghitung.</w:t>
            </w:r>
          </w:p>
        </w:tc>
      </w:tr>
      <w:tr>
        <w:trPr>
          <w:tblHeader w:val="false"/>
        </w:trPr>
        <w:tc>
          <w:tcPr>
            <w:tcW w:type="dxa" w:w="1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AC-N04</w:t>
            </w:r>
          </w:p>
        </w:tc>
        <w:tc>
          <w:tcPr>
            <w:tcW w:type="dxa" w:w="7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QR pada PDF dan tombol email mengarah ke /r/{token} yang sama.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AC-N05</w:t>
            </w:r>
          </w:p>
        </w:tc>
        <w:tc>
          <w:tcPr>
            <w:tcW w:type="dxa" w:w="7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/r/{token} merender empat state dengan benar (AKTIF · KEDALUWARSA 410 · DICABUT 410 · TIDAK DIKENAL 404); header noindex + no-store; rate limit aktif.</w:t>
            </w:r>
          </w:p>
        </w:tc>
      </w:tr>
      <w:tr>
        <w:trPr>
          <w:tblHeader w:val="false"/>
        </w:trPr>
        <w:tc>
          <w:tcPr>
            <w:tcW w:type="dxa" w:w="1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AC-N06</w:t>
            </w:r>
          </w:p>
        </w:tc>
        <w:tc>
          <w:tcPr>
            <w:tcW w:type="dxa" w:w="7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Setiap pembukaan halaman dan unduhan tercatat di audit dan terlihat di W-06.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AC-N07</w:t>
            </w:r>
          </w:p>
        </w:tc>
        <w:tc>
          <w:tcPr>
            <w:tcW w:type="dxa" w:w="7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Regenerasi token: tautan lama menampilkan state DICABUT pada permintaan berikutnya.</w:t>
            </w:r>
          </w:p>
        </w:tc>
      </w:tr>
      <w:tr>
        <w:trPr>
          <w:tblHeader w:val="false"/>
        </w:trPr>
        <w:tc>
          <w:tcPr>
            <w:tcW w:type="dxa" w:w="1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AC-N08</w:t>
            </w:r>
          </w:p>
        </w:tc>
        <w:tc>
          <w:tcPr>
            <w:tcW w:type="dxa" w:w="7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Email terkirim ≤ 2 menit setelah submit (PDF asinkron tidak menahan respons API — BL-13), dengan fallback plain-text.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AC-N09</w:t>
            </w:r>
          </w:p>
        </w:tc>
        <w:tc>
          <w:tcPr>
            <w:tcW w:type="dxa" w:w="7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W-03 hanya menampilkan tombol transisi yang legal menurut mesin status; transisi ilegal tidak mungkin dari UI maupun API.</w:t>
            </w:r>
          </w:p>
        </w:tc>
      </w:tr>
      <w:tr>
        <w:trPr>
          <w:tblHeader w:val="false"/>
        </w:trPr>
        <w:tc>
          <w:tcPr>
            <w:tcW w:type="dxa" w:w="1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AC-N10</w:t>
            </w:r>
          </w:p>
        </w:tc>
        <w:tc>
          <w:tcPr>
            <w:tcW w:type="dxa" w:w="7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W-05 tertutup bagi ADMIN_OPS (uji negatif role).</w:t>
            </w:r>
          </w:p>
        </w:tc>
      </w:tr>
    </w:tbl>
    <w:p>
      <w:pPr>
        <w:pStyle w:val="Heading1"/>
      </w:pPr>
      <w:r>
        <w:t xml:space="preserve">8. Riwayat Versi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000"/>
        <w:gridCol w:w="1800"/>
        <w:gridCol w:w="6226"/>
      </w:tblGrid>
      <w:tr>
        <w:trPr>
          <w:tblHeader/>
        </w:trPr>
        <w:tc>
          <w:tcPr>
            <w:tcW w:type="dxa" w:w="10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</w:t>
            </w:r>
          </w:p>
        </w:tc>
        <w:tc>
          <w:tcPr>
            <w:tcW w:type="dxa" w:w="18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Tanggal</w:t>
            </w:r>
          </w:p>
        </w:tc>
        <w:tc>
          <w:tcPr>
            <w:tcW w:type="dxa" w:w="62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Perubahan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Juli 2026</w:t>
            </w:r>
          </w:p>
        </w:tc>
        <w:tc>
          <w:tcPr>
            <w:tcW w:type="dxa" w:w="6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Rilis awal: spesifikasi PDF laporan (G1), email + halaman unduh bertoken (G2), web admin 6 halaman (G3), ADR koperasi → Fase 2 (G4), amandemen presisi 9 butir, 10 kriteria penerimaan.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Halaman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dari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FINORA — Permukaan Non-Aplikasi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3B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0F6E5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0F6E5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2026-07-14T00:58:42.804Z</dcterms:created>
  <dcterms:modified xsi:type="dcterms:W3CDTF">2026-07-14T00:58:42.804Z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