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154A" w14:textId="77777777" w:rsidR="00EA36C3" w:rsidRDefault="00EA36C3" w:rsidP="00EA36C3">
      <w:pPr>
        <w:pStyle w:val="TtuloCare"/>
        <w:jc w:val="center"/>
        <w:rPr>
          <w:lang w:eastAsia="en-GB"/>
        </w:rPr>
      </w:pPr>
    </w:p>
    <w:p w14:paraId="709FEB80" w14:textId="4C14A281" w:rsidR="00EA36C3" w:rsidRPr="0051110C" w:rsidRDefault="00EA36C3" w:rsidP="00EA36C3">
      <w:pPr>
        <w:pStyle w:val="TtuloCare"/>
        <w:jc w:val="center"/>
        <w:rPr>
          <w:lang w:eastAsia="en-GB"/>
        </w:rPr>
      </w:pPr>
      <w:r w:rsidRPr="0051110C">
        <w:rPr>
          <w:lang w:eastAsia="en-GB"/>
        </w:rPr>
        <w:t>Política de Igualdad de Género de CARE Internacional</w:t>
      </w:r>
    </w:p>
    <w:p w14:paraId="1B2B8BD3" w14:textId="12BA3860" w:rsidR="00EA36C3" w:rsidRPr="00EA36C3" w:rsidRDefault="00EA36C3" w:rsidP="00EA36C3">
      <w:pPr>
        <w:spacing w:after="0" w:line="259" w:lineRule="auto"/>
        <w:ind w:left="-5"/>
        <w:jc w:val="center"/>
        <w:rPr>
          <w:b/>
          <w:lang w:val="es-ES"/>
        </w:rPr>
      </w:pPr>
      <w:r w:rsidRPr="00EA36C3">
        <w:rPr>
          <w:rFonts w:ascii="Fira Sans" w:hAnsi="Fira Sans" w:cstheme="majorHAnsi"/>
          <w:b/>
          <w:color w:val="000000" w:themeColor="text1"/>
          <w:lang w:val="es-ES"/>
        </w:rPr>
        <w:t>Junio de 2018</w:t>
      </w:r>
    </w:p>
    <w:p w14:paraId="1BF1ECF9" w14:textId="05B234F7" w:rsidR="007F4F4E" w:rsidRDefault="007F4F4E">
      <w:pPr>
        <w:spacing w:after="0" w:line="259" w:lineRule="auto"/>
        <w:ind w:left="0" w:firstLine="0"/>
      </w:pPr>
    </w:p>
    <w:p w14:paraId="20A68E2C" w14:textId="77777777" w:rsidR="00EA36C3" w:rsidRPr="00EA36C3" w:rsidRDefault="00EA36C3" w:rsidP="00EA36C3">
      <w:pPr>
        <w:pStyle w:val="numeracionytexto"/>
        <w:numPr>
          <w:ilvl w:val="0"/>
          <w:numId w:val="0"/>
        </w:numPr>
      </w:pPr>
    </w:p>
    <w:p w14:paraId="2B1CDAFC" w14:textId="77777777" w:rsidR="007F4F4E" w:rsidRPr="00EA36C3" w:rsidRDefault="00B22264" w:rsidP="00EA36C3">
      <w:pPr>
        <w:pStyle w:val="numeracionytexto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Introducción </w:t>
      </w:r>
    </w:p>
    <w:p w14:paraId="0D09B6D0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48B7050E" w14:textId="77777777" w:rsidR="007F4F4E" w:rsidRPr="00EA36C3" w:rsidRDefault="00B22264" w:rsidP="00EA36C3">
      <w:pPr>
        <w:pStyle w:val="prrafo"/>
      </w:pPr>
      <w:r w:rsidRPr="00EA36C3">
        <w:t xml:space="preserve">La visión de CARE es buscar un mundo de esperanza, tolerancia y justicia social, </w:t>
      </w:r>
      <w:r w:rsidRPr="00EA36C3">
        <w:t>en donde la pobreza ha sido superada y las personas viven en dignidad y seguridad. CARE pone la igualdad de género en el centro de su acción porque sabemos que no podemos superar la pobreza y la injusticia social hasta que todas las personas tengan los mis</w:t>
      </w:r>
      <w:r w:rsidRPr="00EA36C3">
        <w:t>mos derechos y oportunidades. Reconocemos que las relaciones de poder entre géneros y edades son desiguales, y que debemos desafiar el patriarcado y promover la igualdad de género para lograr la justicia social. A través de esta política, CARE se compromet</w:t>
      </w:r>
      <w:r w:rsidRPr="00EA36C3">
        <w:t>e a garantizar que la igualdad de género se incorpore plenamente en todo nuestro trabajo como un derecho humano universal y un fin en sí mismo, así como un medio para superar la pobreza y la injusticia social de manera más efectiva. Trabajando con otros, C</w:t>
      </w:r>
      <w:r w:rsidRPr="00EA36C3">
        <w:t xml:space="preserve">ARE busca promover la realización equitativa de la dignidad y los derechos humanos para todos los géneros y edades, y la eliminación de la pobreza y la injusticia. Esta política se implementará en el contexto de entornos legales locales. </w:t>
      </w:r>
    </w:p>
    <w:p w14:paraId="3049CC78" w14:textId="77777777" w:rsidR="007F4F4E" w:rsidRPr="00EA36C3" w:rsidRDefault="00B22264" w:rsidP="00EA36C3">
      <w:pPr>
        <w:pStyle w:val="prrafo"/>
      </w:pPr>
      <w:r w:rsidRPr="00EA36C3">
        <w:t xml:space="preserve"> </w:t>
      </w:r>
    </w:p>
    <w:p w14:paraId="32D0979F" w14:textId="02AC8809" w:rsidR="00EA36C3" w:rsidRDefault="00B22264" w:rsidP="001A4284">
      <w:pPr>
        <w:pStyle w:val="prrafo"/>
      </w:pPr>
      <w:r w:rsidRPr="00EA36C3">
        <w:t>CARE reconoce q</w:t>
      </w:r>
      <w:r w:rsidRPr="00EA36C3">
        <w:t>ue el género no es binario y que los términos y definiciones relacionados con el género y la sexualidad son diversos y continúan evolucionando. En toda esta política, nos referimos a 'todos los géneros y edades'. Esto demuestra nuestro reconocimiento y cap</w:t>
      </w:r>
      <w:r w:rsidRPr="00EA36C3">
        <w:t>acidad para trabajar con adultos y niños y personas de todas las orientaciones sexuales, identidades de género y/o expresiones de género. Reconocemos que las normas rígidas de género son limitantes, creando y reforzando suposiciones y sistemas de privilegi</w:t>
      </w:r>
      <w:r w:rsidRPr="00EA36C3">
        <w:t>os (a veces codificados en leyes y políticas), sobre su reconocimiento en la sociedad, así como limitando roles y oportunidades. Esto no solo limita a las personas que se identifican como niñas, niños, mujeres y hombres, así como a las identidades más allá</w:t>
      </w:r>
      <w:r w:rsidRPr="00EA36C3">
        <w:t xml:space="preserve"> de lo binario, sino también a las personas cuyas orientaciones sexuales no se ajustan a las normas y expectativas dominantes de la heterosexualidad. Si bien las normas rígidas de género nos pueden limitar a todos, CARE también reconoce que las normas y je</w:t>
      </w:r>
      <w:r w:rsidRPr="00EA36C3">
        <w:t xml:space="preserve">rarquías de género son construidas por personas y grupos sociales, y privilegian sistémicamente a algunos grupos sobre otros. En esta política, y cuando hacemos referencia a todos los géneros y edades, esto incluye a mujeres, niñas, hombres y niños </w:t>
      </w:r>
      <w:proofErr w:type="spellStart"/>
      <w:r w:rsidRPr="00EA36C3">
        <w:t>cisgéne</w:t>
      </w:r>
      <w:r w:rsidRPr="00EA36C3">
        <w:t>ro</w:t>
      </w:r>
      <w:proofErr w:type="spellEnd"/>
      <w:r w:rsidRPr="00EA36C3">
        <w:t xml:space="preserve"> y transgénero, así como a personas que se identifican más allá de una clasificación binaria; y personas de todas las orientaciones sexuales. </w:t>
      </w:r>
    </w:p>
    <w:p w14:paraId="2FEB6131" w14:textId="77777777" w:rsidR="001A4284" w:rsidRDefault="001A4284" w:rsidP="001A4284">
      <w:pPr>
        <w:pStyle w:val="prrafo"/>
      </w:pPr>
    </w:p>
    <w:p w14:paraId="408B8062" w14:textId="77777777" w:rsidR="001A4284" w:rsidRPr="001A4284" w:rsidRDefault="001A4284" w:rsidP="001A4284">
      <w:pPr>
        <w:pStyle w:val="prrafo"/>
      </w:pPr>
    </w:p>
    <w:p w14:paraId="7901EE57" w14:textId="08AEC912" w:rsidR="007F4F4E" w:rsidRDefault="00B22264" w:rsidP="00EA36C3">
      <w:pPr>
        <w:pStyle w:val="numeracionytexto"/>
      </w:pPr>
      <w:r w:rsidRPr="00EA36C3">
        <w:t xml:space="preserve">Propósito </w:t>
      </w:r>
    </w:p>
    <w:p w14:paraId="400CC3D5" w14:textId="77777777" w:rsidR="00EA36C3" w:rsidRPr="00EA36C3" w:rsidRDefault="00EA36C3" w:rsidP="00EA36C3">
      <w:pPr>
        <w:pStyle w:val="numeracionytexto"/>
        <w:numPr>
          <w:ilvl w:val="0"/>
          <w:numId w:val="0"/>
        </w:numPr>
        <w:ind w:left="567"/>
      </w:pPr>
    </w:p>
    <w:p w14:paraId="5A218640" w14:textId="42C9028C" w:rsidR="007F4F4E" w:rsidRDefault="00B22264" w:rsidP="00EA36C3">
      <w:pPr>
        <w:pStyle w:val="parrafo1"/>
      </w:pPr>
      <w:r w:rsidRPr="00EA36C3">
        <w:t>Esta política de CARE</w:t>
      </w:r>
      <w:r w:rsidRPr="00EA36C3">
        <w:rPr>
          <w:vertAlign w:val="superscript"/>
        </w:rPr>
        <w:t>1</w:t>
      </w:r>
      <w:r w:rsidRPr="00EA36C3">
        <w:t xml:space="preserve"> Internacional demuestra el afán de CARE de adoptar un enfoque coherente y c</w:t>
      </w:r>
      <w:r w:rsidRPr="00EA36C3">
        <w:t>oordinado para la igualdad de género. La política define la intención explícita de CARE de apoyar la igualdad de género y los principios expresados en los acuerdos internacionales</w:t>
      </w:r>
      <w:r w:rsidRPr="00EA36C3">
        <w:rPr>
          <w:vertAlign w:val="superscript"/>
        </w:rPr>
        <w:t>2</w:t>
      </w:r>
      <w:r w:rsidRPr="00EA36C3">
        <w:t xml:space="preserve">. La política incluye </w:t>
      </w:r>
    </w:p>
    <w:p w14:paraId="441FFDF1" w14:textId="77777777" w:rsidR="001A4284" w:rsidRPr="00EA36C3" w:rsidRDefault="001A4284" w:rsidP="00EA36C3">
      <w:pPr>
        <w:pStyle w:val="parrafo1"/>
      </w:pPr>
    </w:p>
    <w:p w14:paraId="53282ED3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  <w:strike/>
          <w:color w:val="000000"/>
        </w:rPr>
        <w:t xml:space="preserve">                                                     </w:t>
      </w:r>
      <w:r w:rsidRPr="00EA36C3">
        <w:rPr>
          <w:rFonts w:ascii="Fira Sans Condensed" w:hAnsi="Fira Sans Condensed"/>
          <w:strike/>
          <w:color w:val="000000"/>
        </w:rPr>
        <w:t xml:space="preserve">    </w:t>
      </w:r>
      <w:r w:rsidRPr="00EA36C3">
        <w:rPr>
          <w:rFonts w:ascii="Fira Sans Condensed" w:hAnsi="Fira Sans Condensed"/>
          <w:color w:val="000000"/>
        </w:rPr>
        <w:t xml:space="preserve"> </w:t>
      </w:r>
    </w:p>
    <w:p w14:paraId="47992BDE" w14:textId="77777777" w:rsidR="007F4F4E" w:rsidRPr="00EA36C3" w:rsidRDefault="00B22264" w:rsidP="001A4284">
      <w:pPr>
        <w:numPr>
          <w:ilvl w:val="0"/>
          <w:numId w:val="1"/>
        </w:numPr>
        <w:spacing w:after="0" w:line="248" w:lineRule="auto"/>
        <w:jc w:val="both"/>
        <w:rPr>
          <w:rFonts w:ascii="Fira Sans Condensed" w:hAnsi="Fira Sans Condensed"/>
        </w:rPr>
      </w:pPr>
      <w:r w:rsidRPr="00EA36C3">
        <w:rPr>
          <w:rFonts w:ascii="Fira Sans Condensed" w:hAnsi="Fira Sans Condensed"/>
          <w:color w:val="000000"/>
          <w:sz w:val="16"/>
        </w:rPr>
        <w:t xml:space="preserve">El término CARE en este documento incluye a todos los miembros de CARE, miembros afiliados, miembros en transición, así como las oficinas regionales y de país.  </w:t>
      </w:r>
    </w:p>
    <w:p w14:paraId="5A34CDF8" w14:textId="77777777" w:rsidR="007F4F4E" w:rsidRPr="00EA36C3" w:rsidRDefault="00B22264" w:rsidP="001A4284">
      <w:pPr>
        <w:numPr>
          <w:ilvl w:val="0"/>
          <w:numId w:val="1"/>
        </w:numPr>
        <w:spacing w:after="3" w:line="251" w:lineRule="auto"/>
        <w:jc w:val="both"/>
        <w:rPr>
          <w:rFonts w:ascii="Fira Sans Condensed" w:hAnsi="Fira Sans Condensed"/>
          <w:lang w:val="en-US"/>
        </w:rPr>
      </w:pP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Acuerdos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internacionales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de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relevancia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son los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siguientes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(los links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contienen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opción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en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 xml:space="preserve"> </w:t>
      </w:r>
      <w:proofErr w:type="spellStart"/>
      <w:r w:rsidRPr="00EA36C3">
        <w:rPr>
          <w:rFonts w:ascii="Fira Sans Condensed" w:hAnsi="Fira Sans Condensed"/>
          <w:color w:val="000000"/>
          <w:sz w:val="16"/>
          <w:lang w:val="en-US"/>
        </w:rPr>
        <w:t>español</w:t>
      </w:r>
      <w:proofErr w:type="spellEnd"/>
      <w:r w:rsidRPr="00EA36C3">
        <w:rPr>
          <w:rFonts w:ascii="Fira Sans Condensed" w:hAnsi="Fira Sans Condensed"/>
          <w:color w:val="000000"/>
          <w:sz w:val="16"/>
          <w:lang w:val="en-US"/>
        </w:rPr>
        <w:t>)</w:t>
      </w:r>
      <w:hyperlink r:id="rId7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: </w:t>
        </w:r>
      </w:hyperlink>
      <w:hyperlink r:id="rId8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Convention on the Political Rights of</w:t>
        </w:r>
      </w:hyperlink>
      <w:hyperlink r:id="rId9">
        <w:r w:rsidRPr="00EA36C3">
          <w:rPr>
            <w:rFonts w:ascii="Fira Sans Condensed" w:hAnsi="Fira Sans Condensed"/>
            <w:color w:val="214A87"/>
            <w:sz w:val="16"/>
            <w:lang w:val="en-US"/>
          </w:rPr>
          <w:t xml:space="preserve"> </w:t>
        </w:r>
      </w:hyperlink>
      <w:hyperlink r:id="rId10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Women (1954)</w:t>
        </w:r>
      </w:hyperlink>
      <w:hyperlink r:id="rId11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12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Convention to the Consent of Marriage, Minimum Age of Marriage, and Registration of Marriages (1964</w:t>
        </w:r>
      </w:hyperlink>
      <w:hyperlink r:id="rId13">
        <w:r w:rsidRPr="00EA36C3">
          <w:rPr>
            <w:rFonts w:ascii="Fira Sans Condensed" w:hAnsi="Fira Sans Condensed"/>
            <w:color w:val="000000"/>
            <w:sz w:val="16"/>
            <w:lang w:val="en-US"/>
          </w:rPr>
          <w:t>)</w:t>
        </w:r>
      </w:hyperlink>
      <w:hyperlink r:id="rId14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15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Declaration on</w:t>
        </w:r>
      </w:hyperlink>
      <w:hyperlink r:id="rId16">
        <w:r w:rsidRPr="00EA36C3">
          <w:rPr>
            <w:rFonts w:ascii="Fira Sans Condensed" w:hAnsi="Fira Sans Condensed"/>
            <w:color w:val="214A87"/>
            <w:sz w:val="16"/>
            <w:lang w:val="en-US"/>
          </w:rPr>
          <w:t xml:space="preserve"> </w:t>
        </w:r>
      </w:hyperlink>
      <w:hyperlink r:id="rId17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the Protection of Women and Children in Emergency and Armed Conflict (1974)</w:t>
        </w:r>
      </w:hyperlink>
      <w:hyperlink r:id="rId18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19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Convention on the Elimination of All Forms of</w:t>
        </w:r>
      </w:hyperlink>
      <w:hyperlink r:id="rId20">
        <w:r w:rsidRPr="00EA36C3">
          <w:rPr>
            <w:rFonts w:ascii="Fira Sans Condensed" w:hAnsi="Fira Sans Condensed"/>
            <w:color w:val="214A87"/>
            <w:sz w:val="16"/>
            <w:lang w:val="en-US"/>
          </w:rPr>
          <w:t xml:space="preserve"> </w:t>
        </w:r>
      </w:hyperlink>
    </w:p>
    <w:p w14:paraId="36CE99A2" w14:textId="77777777" w:rsidR="007F4F4E" w:rsidRPr="00EA36C3" w:rsidRDefault="00B22264" w:rsidP="001A4284">
      <w:pPr>
        <w:spacing w:after="3" w:line="251" w:lineRule="auto"/>
        <w:ind w:left="-5"/>
        <w:jc w:val="both"/>
        <w:rPr>
          <w:rFonts w:ascii="Fira Sans Condensed" w:hAnsi="Fira Sans Condensed"/>
          <w:lang w:val="en-US"/>
        </w:rPr>
      </w:pPr>
      <w:hyperlink r:id="rId21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Discrimination Against Women (CEDAW) (1979)</w:t>
        </w:r>
      </w:hyperlink>
      <w:hyperlink r:id="rId22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23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Declaration of the Elimination of Violence agai</w:t>
        </w:r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nst Women (1993)</w:t>
        </w:r>
      </w:hyperlink>
      <w:hyperlink r:id="rId24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25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Beijing Declaration and</w:t>
        </w:r>
      </w:hyperlink>
      <w:hyperlink r:id="rId26">
        <w:r w:rsidRPr="00EA36C3">
          <w:rPr>
            <w:rFonts w:ascii="Fira Sans Condensed" w:hAnsi="Fira Sans Condensed"/>
            <w:color w:val="214A87"/>
            <w:sz w:val="16"/>
            <w:lang w:val="en-US"/>
          </w:rPr>
          <w:t xml:space="preserve"> </w:t>
        </w:r>
      </w:hyperlink>
    </w:p>
    <w:p w14:paraId="2EE89CF7" w14:textId="77777777" w:rsidR="007F4F4E" w:rsidRPr="00EA36C3" w:rsidRDefault="00B22264" w:rsidP="001A4284">
      <w:pPr>
        <w:spacing w:after="3" w:line="251" w:lineRule="auto"/>
        <w:ind w:left="-5"/>
        <w:jc w:val="both"/>
        <w:rPr>
          <w:rFonts w:ascii="Fira Sans Condensed" w:hAnsi="Fira Sans Condensed"/>
          <w:lang w:val="en-US"/>
        </w:rPr>
      </w:pPr>
      <w:hyperlink r:id="rId27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Platform for Action</w:t>
        </w:r>
      </w:hyperlink>
      <w:hyperlink r:id="rId28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 xml:space="preserve"> </w:t>
        </w:r>
      </w:hyperlink>
      <w:hyperlink r:id="rId29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(PFA) (1995)</w:t>
        </w:r>
      </w:hyperlink>
      <w:hyperlink r:id="rId30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31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CEDAW's Optional Protocol</w:t>
        </w:r>
      </w:hyperlink>
      <w:hyperlink r:id="rId32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33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 xml:space="preserve">Maputo Protocol </w:t>
        </w:r>
      </w:hyperlink>
      <w:hyperlink r:id="rId34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 xml:space="preserve">– </w:t>
        </w:r>
      </w:hyperlink>
      <w:hyperlink r:id="rId35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Protocol to the African Charter on Human and Peoples’</w:t>
        </w:r>
      </w:hyperlink>
      <w:hyperlink r:id="rId36">
        <w:r w:rsidRPr="00EA36C3">
          <w:rPr>
            <w:rFonts w:ascii="Fira Sans Condensed" w:hAnsi="Fira Sans Condensed"/>
            <w:color w:val="214A87"/>
            <w:sz w:val="16"/>
            <w:lang w:val="en-US"/>
          </w:rPr>
          <w:t xml:space="preserve"> </w:t>
        </w:r>
      </w:hyperlink>
    </w:p>
    <w:p w14:paraId="2CDA83A7" w14:textId="77777777" w:rsidR="007F4F4E" w:rsidRPr="00EA36C3" w:rsidRDefault="00B22264" w:rsidP="001A4284">
      <w:pPr>
        <w:spacing w:after="3" w:line="251" w:lineRule="auto"/>
        <w:ind w:left="-5"/>
        <w:jc w:val="both"/>
        <w:rPr>
          <w:rFonts w:ascii="Fira Sans Condensed" w:hAnsi="Fira Sans Condensed"/>
          <w:lang w:val="en-US"/>
        </w:rPr>
      </w:pPr>
      <w:hyperlink r:id="rId37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Rights on the Rights of Women in Africa (2003)</w:t>
        </w:r>
      </w:hyperlink>
      <w:hyperlink r:id="rId38">
        <w:r w:rsidRPr="00EA36C3">
          <w:rPr>
            <w:rFonts w:ascii="Fira Sans Condensed" w:hAnsi="Fira Sans Condensed"/>
            <w:color w:val="000000"/>
            <w:sz w:val="16"/>
            <w:lang w:val="en-US"/>
          </w:rPr>
          <w:t xml:space="preserve">; </w:t>
        </w:r>
      </w:hyperlink>
      <w:hyperlink r:id="rId39">
        <w:r w:rsidRPr="00EA36C3">
          <w:rPr>
            <w:rFonts w:ascii="Fira Sans Condensed" w:hAnsi="Fira Sans Condensed"/>
            <w:color w:val="214A87"/>
            <w:sz w:val="16"/>
            <w:u w:val="single" w:color="214A87"/>
            <w:lang w:val="en-US"/>
          </w:rPr>
          <w:t>Convention on preventing and combating violence against women and domestic violence</w:t>
        </w:r>
      </w:hyperlink>
      <w:hyperlink r:id="rId40">
        <w:r w:rsidRPr="00EA36C3">
          <w:rPr>
            <w:rFonts w:ascii="Fira Sans Condensed" w:hAnsi="Fira Sans Condensed"/>
            <w:color w:val="214A87"/>
            <w:sz w:val="16"/>
            <w:lang w:val="en-US"/>
          </w:rPr>
          <w:t xml:space="preserve"> </w:t>
        </w:r>
      </w:hyperlink>
    </w:p>
    <w:p w14:paraId="55F961ED" w14:textId="77777777" w:rsidR="007F4F4E" w:rsidRPr="00EA36C3" w:rsidRDefault="00B22264" w:rsidP="001A4284">
      <w:pPr>
        <w:spacing w:after="27" w:line="251" w:lineRule="auto"/>
        <w:ind w:left="-5"/>
        <w:jc w:val="both"/>
        <w:rPr>
          <w:rFonts w:ascii="Fira Sans Condensed" w:hAnsi="Fira Sans Condensed"/>
        </w:rPr>
      </w:pPr>
      <w:hyperlink r:id="rId41">
        <w:r w:rsidRPr="00EA36C3">
          <w:rPr>
            <w:rFonts w:ascii="Fira Sans Condensed" w:hAnsi="Fira Sans Condensed"/>
            <w:color w:val="214A87"/>
            <w:sz w:val="16"/>
            <w:u w:val="single" w:color="214A87"/>
          </w:rPr>
          <w:t>(</w:t>
        </w:r>
        <w:proofErr w:type="spellStart"/>
        <w:r w:rsidRPr="00EA36C3">
          <w:rPr>
            <w:rFonts w:ascii="Fira Sans Condensed" w:hAnsi="Fira Sans Condensed"/>
            <w:color w:val="214A87"/>
            <w:sz w:val="16"/>
            <w:u w:val="single" w:color="214A87"/>
          </w:rPr>
          <w:t>Istanbul</w:t>
        </w:r>
        <w:proofErr w:type="spellEnd"/>
        <w:r w:rsidRPr="00EA36C3">
          <w:rPr>
            <w:rFonts w:ascii="Fira Sans Condensed" w:hAnsi="Fira Sans Condensed"/>
            <w:color w:val="214A87"/>
            <w:sz w:val="16"/>
            <w:u w:val="single" w:color="214A87"/>
          </w:rPr>
          <w:t xml:space="preserve"> </w:t>
        </w:r>
        <w:proofErr w:type="spellStart"/>
        <w:r w:rsidRPr="00EA36C3">
          <w:rPr>
            <w:rFonts w:ascii="Fira Sans Condensed" w:hAnsi="Fira Sans Condensed"/>
            <w:color w:val="214A87"/>
            <w:sz w:val="16"/>
            <w:u w:val="single" w:color="214A87"/>
          </w:rPr>
          <w:t>Convention</w:t>
        </w:r>
        <w:proofErr w:type="spellEnd"/>
        <w:r w:rsidRPr="00EA36C3">
          <w:rPr>
            <w:rFonts w:ascii="Fira Sans Condensed" w:hAnsi="Fira Sans Condensed"/>
            <w:color w:val="214A87"/>
            <w:sz w:val="16"/>
            <w:u w:val="single" w:color="214A87"/>
          </w:rPr>
          <w:t>) (2014)</w:t>
        </w:r>
      </w:hyperlink>
      <w:hyperlink r:id="rId42">
        <w:r w:rsidRPr="00EA36C3">
          <w:rPr>
            <w:rFonts w:ascii="Fira Sans Condensed" w:hAnsi="Fira Sans Condensed"/>
            <w:color w:val="000000"/>
            <w:sz w:val="16"/>
          </w:rPr>
          <w:t xml:space="preserve"> </w:t>
        </w:r>
      </w:hyperlink>
    </w:p>
    <w:p w14:paraId="5B2EAD25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  <w:color w:val="000000"/>
          <w:sz w:val="20"/>
        </w:rPr>
        <w:lastRenderedPageBreak/>
        <w:t xml:space="preserve"> </w:t>
      </w:r>
    </w:p>
    <w:p w14:paraId="28B53B6F" w14:textId="77777777" w:rsidR="007F4F4E" w:rsidRPr="00EA36C3" w:rsidRDefault="00B22264" w:rsidP="00EA36C3">
      <w:pPr>
        <w:pStyle w:val="parrafo1"/>
      </w:pPr>
      <w:r w:rsidRPr="00EA36C3">
        <w:t>tres principios básicos y compromisos respecto a los cuales rendiremos cuentas</w:t>
      </w:r>
      <w:r w:rsidRPr="00EA36C3">
        <w:rPr>
          <w:vertAlign w:val="superscript"/>
        </w:rPr>
        <w:footnoteReference w:id="1"/>
      </w:r>
      <w:r w:rsidRPr="00EA36C3">
        <w:t>. Estos son consistentes con otros estándares organizacionales y programáticos</w:t>
      </w:r>
      <w:r w:rsidRPr="00EA36C3">
        <w:rPr>
          <w:vertAlign w:val="superscript"/>
        </w:rPr>
        <w:footnoteReference w:id="2"/>
      </w:r>
      <w:r w:rsidRPr="00EA36C3">
        <w:t xml:space="preserve">. El propósito de la Política es:  </w:t>
      </w:r>
    </w:p>
    <w:p w14:paraId="4BB5E6BE" w14:textId="62F6E216" w:rsidR="007F4F4E" w:rsidRDefault="00B22264" w:rsidP="00EA36C3">
      <w:pPr>
        <w:pStyle w:val="parrafo1"/>
      </w:pPr>
      <w:r w:rsidRPr="00EA36C3">
        <w:t>Definir y comunicar compromisos claros y mensajes co</w:t>
      </w:r>
      <w:r w:rsidRPr="00EA36C3">
        <w:t xml:space="preserve">nsistentes interna y externamente.  </w:t>
      </w:r>
    </w:p>
    <w:p w14:paraId="344C3F15" w14:textId="77777777" w:rsidR="00EA36C3" w:rsidRPr="00EA36C3" w:rsidRDefault="00EA36C3" w:rsidP="00EA36C3">
      <w:pPr>
        <w:pStyle w:val="parrafo1"/>
      </w:pPr>
    </w:p>
    <w:p w14:paraId="1C61E390" w14:textId="77777777" w:rsidR="007F4F4E" w:rsidRPr="00EA36C3" w:rsidRDefault="00B22264" w:rsidP="00EA36C3">
      <w:pPr>
        <w:pStyle w:val="parrafo1"/>
      </w:pPr>
      <w:r w:rsidRPr="00EA36C3">
        <w:t>Continuar fortaleciendo los esfuerzos para promover la igualdad de género en nuestra organización, aumentando la integridad y la credibilidad de CARE con donantes, socios y aliados. Es nuestro deseo ser líderes en igual</w:t>
      </w:r>
      <w:r w:rsidRPr="00EA36C3">
        <w:t xml:space="preserve">dad de género, tanto en nuestros programas como en la incidencia política.  </w:t>
      </w:r>
    </w:p>
    <w:p w14:paraId="7263CB4C" w14:textId="6C1CE157" w:rsidR="007F4F4E" w:rsidRDefault="00B22264" w:rsidP="00EA36C3">
      <w:pPr>
        <w:pStyle w:val="parrafo1"/>
      </w:pPr>
      <w:r w:rsidRPr="00EA36C3">
        <w:t xml:space="preserve">Establecer compromisos para nuestra programación humanitaria y de desarrollo de largo plazo, así como a lo interno de la organización.  </w:t>
      </w:r>
    </w:p>
    <w:p w14:paraId="2AFDC935" w14:textId="77777777" w:rsidR="00EA36C3" w:rsidRPr="00EA36C3" w:rsidRDefault="00EA36C3" w:rsidP="00EA36C3">
      <w:pPr>
        <w:pStyle w:val="parrafo1"/>
      </w:pPr>
    </w:p>
    <w:p w14:paraId="797B2774" w14:textId="4E7602F3" w:rsidR="007F4F4E" w:rsidRDefault="00B22264" w:rsidP="00EA36C3">
      <w:pPr>
        <w:pStyle w:val="parrafo1"/>
      </w:pPr>
      <w:r w:rsidRPr="00EA36C3">
        <w:t>Trabajar con todas las partes de la confed</w:t>
      </w:r>
      <w:r w:rsidRPr="00EA36C3">
        <w:t xml:space="preserve">eración y con otros, construyendo sobre los puntos fuertes, la experiencia y las lecciones aprendidas por todos.  </w:t>
      </w:r>
    </w:p>
    <w:p w14:paraId="205BF401" w14:textId="77777777" w:rsidR="001A4284" w:rsidRDefault="001A4284" w:rsidP="00EA36C3">
      <w:pPr>
        <w:pStyle w:val="parrafo1"/>
      </w:pPr>
    </w:p>
    <w:p w14:paraId="1B1D94C7" w14:textId="77777777" w:rsidR="00EA36C3" w:rsidRPr="00EA36C3" w:rsidRDefault="00EA36C3" w:rsidP="00EA36C3">
      <w:pPr>
        <w:pStyle w:val="parrafo1"/>
      </w:pPr>
    </w:p>
    <w:p w14:paraId="04A58F4C" w14:textId="77777777" w:rsidR="007F4F4E" w:rsidRPr="00EA36C3" w:rsidRDefault="00B22264" w:rsidP="00EA36C3">
      <w:pPr>
        <w:pStyle w:val="numeracionytexto"/>
      </w:pPr>
      <w:r w:rsidRPr="00EA36C3">
        <w:t xml:space="preserve">Principios básicos </w:t>
      </w:r>
    </w:p>
    <w:p w14:paraId="5E76F75A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14FC2000" w14:textId="77777777" w:rsidR="007F4F4E" w:rsidRPr="00EA36C3" w:rsidRDefault="00B22264" w:rsidP="00EA36C3">
      <w:pPr>
        <w:pStyle w:val="prrafo"/>
      </w:pPr>
      <w:r w:rsidRPr="00EA36C3">
        <w:t>CARE es una organización comprometida con los derechos humanos. La igualdad de género es un derecho humano explícitamen</w:t>
      </w:r>
      <w:r w:rsidRPr="00EA36C3">
        <w:t xml:space="preserve">te reconocido internacionalmente y CARE busca promover la dignidad, los derechos humanos, y la eliminación de la pobreza y la injusticia para personas de todos los géneros y edades. Nuestros compromisos se basan en las convenciones de los Derechos Humanos </w:t>
      </w:r>
      <w:r w:rsidRPr="00EA36C3">
        <w:t>y los principios</w:t>
      </w:r>
      <w:r w:rsidRPr="00EA36C3">
        <w:rPr>
          <w:vertAlign w:val="superscript"/>
        </w:rPr>
        <w:footnoteReference w:id="3"/>
      </w:r>
      <w:r w:rsidRPr="00EA36C3">
        <w:t xml:space="preserve"> acordados a nivel mundial, como la igualdad y la no discriminación. Se basan en el derecho internacional y las normas regionales</w:t>
      </w:r>
      <w:r w:rsidRPr="00EA36C3">
        <w:rPr>
          <w:vertAlign w:val="superscript"/>
        </w:rPr>
        <w:footnoteReference w:id="4"/>
      </w:r>
      <w:r w:rsidRPr="00EA36C3">
        <w:t>, en particular la Convención para la Eliminación de todas las Formas de Discriminación contra la Mujer (CE</w:t>
      </w:r>
      <w:r w:rsidRPr="00EA36C3">
        <w:t>DAW), las “leyes suaves”</w:t>
      </w:r>
      <w:r w:rsidRPr="00EA36C3">
        <w:rPr>
          <w:vertAlign w:val="superscript"/>
        </w:rPr>
        <w:footnoteReference w:id="5"/>
      </w:r>
      <w:r w:rsidRPr="00EA36C3">
        <w:t xml:space="preserve"> relevantes, así como las aspiraciones establecidas en los Objetivos de Desarrollo Sostenible (ODS)</w:t>
      </w:r>
      <w:r w:rsidRPr="00EA36C3">
        <w:rPr>
          <w:vertAlign w:val="superscript"/>
        </w:rPr>
        <w:t>8</w:t>
      </w:r>
      <w:r w:rsidRPr="00EA36C3">
        <w:t xml:space="preserve">. </w:t>
      </w:r>
    </w:p>
    <w:p w14:paraId="27644D7C" w14:textId="77777777" w:rsidR="007F4F4E" w:rsidRPr="00EA36C3" w:rsidRDefault="00B22264" w:rsidP="00EA36C3">
      <w:pPr>
        <w:pStyle w:val="prrafo"/>
      </w:pPr>
      <w:r w:rsidRPr="00EA36C3">
        <w:t xml:space="preserve"> </w:t>
      </w:r>
    </w:p>
    <w:p w14:paraId="4DFD4B56" w14:textId="77777777" w:rsidR="007F4F4E" w:rsidRPr="00EA36C3" w:rsidRDefault="00B22264" w:rsidP="00EA36C3">
      <w:pPr>
        <w:pStyle w:val="prrafo"/>
      </w:pPr>
      <w:r w:rsidRPr="00EA36C3">
        <w:t>CARE reconoce que la desigualdad de género se cruza con otras formas de opresión basadas en relaciones de poder desiguales, c</w:t>
      </w:r>
      <w:r w:rsidRPr="00EA36C3">
        <w:t xml:space="preserve">omo la discriminación por raza, racismo, etnia, edad, orientación sexual y homofobia, discriminación religiosa, clasismo, historia colonial, entre otros. </w:t>
      </w:r>
    </w:p>
    <w:p w14:paraId="0940126A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7A0F1CC2" w14:textId="77777777" w:rsidR="007F4F4E" w:rsidRPr="00EA36C3" w:rsidRDefault="00B22264" w:rsidP="00EA36C3">
      <w:pPr>
        <w:pStyle w:val="prrafo"/>
      </w:pPr>
      <w:r w:rsidRPr="00EA36C3">
        <w:t>CARE trabaja con mujeres marginadas y sus aliados para abordar las barreras estructurales para logr</w:t>
      </w:r>
      <w:r w:rsidRPr="00EA36C3">
        <w:t xml:space="preserve">ar la realización de los derechos de las mujeres y la igualdad de género; justicia social, paz, bienestar y una vida libre de violencia. </w:t>
      </w:r>
    </w:p>
    <w:p w14:paraId="30CF3DC8" w14:textId="77777777" w:rsidR="007F4F4E" w:rsidRPr="00EA36C3" w:rsidRDefault="00B22264">
      <w:pPr>
        <w:spacing w:after="16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  <w:color w:val="000000"/>
        </w:rPr>
        <w:t xml:space="preserve"> </w:t>
      </w:r>
    </w:p>
    <w:p w14:paraId="1981EC83" w14:textId="77777777" w:rsidR="007F4F4E" w:rsidRPr="00EA36C3" w:rsidRDefault="00B22264" w:rsidP="00EA36C3">
      <w:pPr>
        <w:pStyle w:val="numeracionytexto"/>
      </w:pPr>
      <w:r w:rsidRPr="00EA36C3">
        <w:t xml:space="preserve">Qué </w:t>
      </w:r>
      <w:r w:rsidRPr="00EA36C3">
        <w:t>debemos</w:t>
      </w:r>
      <w:r w:rsidRPr="00EA36C3">
        <w:t xml:space="preserve"> hacer para implementar la política de igualdad de género: nuestros compromisos </w:t>
      </w:r>
    </w:p>
    <w:p w14:paraId="285B22AD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0C40B488" w14:textId="1C3A27BD" w:rsidR="007F4F4E" w:rsidRPr="00EA36C3" w:rsidRDefault="00B22264" w:rsidP="001A4284">
      <w:pPr>
        <w:pStyle w:val="prrafo"/>
      </w:pPr>
      <w:r w:rsidRPr="00EA36C3">
        <w:t xml:space="preserve">Para actuar en base a los principios, el personal de CARE cumplirá con los siguientes 12 compromisos y garantizará que sean monitoreados, evaluados e informados, </w:t>
      </w:r>
      <w:r w:rsidRPr="00EA36C3">
        <w:t xml:space="preserve">como parte de la rendición de cuentas de CARE: </w:t>
      </w:r>
    </w:p>
    <w:p w14:paraId="295A7896" w14:textId="1F7B0B87" w:rsidR="007F4F4E" w:rsidRDefault="00B22264" w:rsidP="00EA36C3">
      <w:pPr>
        <w:pStyle w:val="prrafo"/>
        <w:numPr>
          <w:ilvl w:val="0"/>
          <w:numId w:val="6"/>
        </w:numPr>
      </w:pPr>
      <w:r w:rsidRPr="00EA36C3">
        <w:lastRenderedPageBreak/>
        <w:t>Incorporar análisis participativos de género y poder</w:t>
      </w:r>
      <w:r w:rsidRPr="00EA36C3">
        <w:rPr>
          <w:vertAlign w:val="superscript"/>
        </w:rPr>
        <w:footnoteReference w:id="6"/>
      </w:r>
      <w:r w:rsidRPr="00EA36C3">
        <w:t>, y datos desglosados por sexo, edad y otros factores de diversidad relevantes</w:t>
      </w:r>
      <w:r w:rsidRPr="00EA36C3">
        <w:rPr>
          <w:vertAlign w:val="superscript"/>
        </w:rPr>
        <w:footnoteReference w:id="7"/>
      </w:r>
      <w:r w:rsidRPr="00EA36C3">
        <w:t xml:space="preserve">, para informar las acciones a lo largo del ciclo de programas.  </w:t>
      </w:r>
    </w:p>
    <w:p w14:paraId="5393BAB8" w14:textId="77777777" w:rsidR="00EA36C3" w:rsidRPr="00EA36C3" w:rsidRDefault="00EA36C3" w:rsidP="00EA36C3">
      <w:pPr>
        <w:pStyle w:val="prrafo"/>
        <w:ind w:left="720"/>
      </w:pPr>
    </w:p>
    <w:p w14:paraId="0ED0C84B" w14:textId="656EF683" w:rsidR="007F4F4E" w:rsidRDefault="00B22264" w:rsidP="00EA36C3">
      <w:pPr>
        <w:pStyle w:val="prrafo"/>
        <w:numPr>
          <w:ilvl w:val="0"/>
          <w:numId w:val="6"/>
        </w:numPr>
      </w:pPr>
      <w:r w:rsidRPr="00EA36C3">
        <w:t>Articu</w:t>
      </w:r>
      <w:r w:rsidRPr="00EA36C3">
        <w:t>lar cómo responden los programas a los tres elementos del Marco de Igualdad de Género</w:t>
      </w:r>
      <w:r w:rsidRPr="00EA36C3">
        <w:rPr>
          <w:vertAlign w:val="superscript"/>
        </w:rPr>
        <w:footnoteReference w:id="8"/>
      </w:r>
      <w:r w:rsidRPr="00EA36C3">
        <w:t>, y aplicar y aprender en base al Marcador de Género</w:t>
      </w:r>
      <w:r w:rsidRPr="00EA36C3">
        <w:rPr>
          <w:vertAlign w:val="superscript"/>
        </w:rPr>
        <w:footnoteReference w:id="9"/>
      </w:r>
      <w:r w:rsidRPr="00EA36C3">
        <w:t xml:space="preserve"> en cada etapa del ciclo de programas, y así mejorar un impacto transformador en género. </w:t>
      </w:r>
    </w:p>
    <w:p w14:paraId="6CF3FF57" w14:textId="77777777" w:rsidR="00EA36C3" w:rsidRPr="00EA36C3" w:rsidRDefault="00EA36C3" w:rsidP="00EA36C3">
      <w:pPr>
        <w:pStyle w:val="prrafo"/>
      </w:pPr>
    </w:p>
    <w:p w14:paraId="7AA0A8C1" w14:textId="3F0FC6EB" w:rsidR="007F4F4E" w:rsidRDefault="00B22264" w:rsidP="00EA36C3">
      <w:pPr>
        <w:pStyle w:val="prrafo"/>
        <w:numPr>
          <w:ilvl w:val="0"/>
          <w:numId w:val="6"/>
        </w:numPr>
      </w:pPr>
      <w:r w:rsidRPr="00EA36C3">
        <w:t>Involucrar a hombres y ni</w:t>
      </w:r>
      <w:r w:rsidRPr="00EA36C3">
        <w:t>ños</w:t>
      </w:r>
      <w:r w:rsidRPr="00EA36C3">
        <w:rPr>
          <w:vertAlign w:val="superscript"/>
        </w:rPr>
        <w:t>13</w:t>
      </w:r>
      <w:r w:rsidRPr="00EA36C3">
        <w:t xml:space="preserve"> </w:t>
      </w:r>
      <w:r w:rsidRPr="00EA36C3">
        <w:t xml:space="preserve">en apoyo de la igualdad de género y el empoderamiento de las mujeres, cuando actividades con hombres y niños sean parte de los programas y acciones.  </w:t>
      </w:r>
    </w:p>
    <w:p w14:paraId="5B4EF159" w14:textId="77777777" w:rsidR="00EA36C3" w:rsidRPr="00EA36C3" w:rsidRDefault="00EA36C3" w:rsidP="00EA36C3">
      <w:pPr>
        <w:pStyle w:val="prrafo"/>
      </w:pPr>
    </w:p>
    <w:p w14:paraId="0076E735" w14:textId="1FAD4680" w:rsidR="007F4F4E" w:rsidRDefault="00B22264" w:rsidP="00EA36C3">
      <w:pPr>
        <w:pStyle w:val="prrafo"/>
        <w:numPr>
          <w:ilvl w:val="0"/>
          <w:numId w:val="6"/>
        </w:numPr>
      </w:pPr>
      <w:r w:rsidRPr="00EA36C3">
        <w:t>Identificar los posibles riesgos a lo largo del ciclo de programas y tomar medidas para mitigar las conse</w:t>
      </w:r>
      <w:r w:rsidRPr="00EA36C3">
        <w:t>cuencias de la violencia de género, independientemente del tema en el que trabajemos, especialmente en contextos frágiles y de conflicto</w:t>
      </w:r>
      <w:r w:rsidRPr="00EA36C3">
        <w:rPr>
          <w:vertAlign w:val="superscript"/>
        </w:rPr>
        <w:footnoteReference w:id="10"/>
      </w:r>
      <w:r w:rsidRPr="00EA36C3">
        <w:t xml:space="preserve">.  </w:t>
      </w:r>
    </w:p>
    <w:p w14:paraId="55767224" w14:textId="77777777" w:rsidR="00EA36C3" w:rsidRPr="00EA36C3" w:rsidRDefault="00EA36C3" w:rsidP="00EA36C3">
      <w:pPr>
        <w:pStyle w:val="prrafo"/>
      </w:pPr>
    </w:p>
    <w:p w14:paraId="6C908FBA" w14:textId="43B7884E" w:rsidR="007F4F4E" w:rsidRDefault="00B22264" w:rsidP="00EA36C3">
      <w:pPr>
        <w:pStyle w:val="prrafo"/>
        <w:numPr>
          <w:ilvl w:val="0"/>
          <w:numId w:val="6"/>
        </w:numPr>
      </w:pPr>
      <w:r w:rsidRPr="00EA36C3">
        <w:t>Formar alianzas con organizaciones y movimientos de derechos de las mujeres</w:t>
      </w:r>
      <w:r w:rsidRPr="00EA36C3">
        <w:rPr>
          <w:vertAlign w:val="superscript"/>
        </w:rPr>
        <w:footnoteReference w:id="11"/>
      </w:r>
      <w:r w:rsidRPr="00EA36C3">
        <w:t xml:space="preserve"> y/o LGBTIQ</w:t>
      </w:r>
      <w:r w:rsidRPr="00EA36C3">
        <w:rPr>
          <w:vertAlign w:val="superscript"/>
        </w:rPr>
        <w:footnoteReference w:id="12"/>
      </w:r>
      <w:r w:rsidRPr="00EA36C3">
        <w:t xml:space="preserve"> para contribuir a los o</w:t>
      </w:r>
      <w:r w:rsidRPr="00EA36C3">
        <w:t xml:space="preserve">bjetivos que apoyamos, y elevar la voz de las personas marginadas; involucrar a varios actores en la lucha en </w:t>
      </w:r>
      <w:proofErr w:type="spellStart"/>
      <w:r w:rsidRPr="00EA36C3">
        <w:t>pos</w:t>
      </w:r>
      <w:proofErr w:type="spellEnd"/>
      <w:r w:rsidRPr="00EA36C3">
        <w:t xml:space="preserve"> de la igualdad de género – actores de la sociedad civil, gobiernos, sector privado y donantes.  </w:t>
      </w:r>
    </w:p>
    <w:p w14:paraId="72F4F7F1" w14:textId="77777777" w:rsidR="00EA36C3" w:rsidRPr="00EA36C3" w:rsidRDefault="00EA36C3" w:rsidP="00EA36C3">
      <w:pPr>
        <w:pStyle w:val="prrafo"/>
      </w:pPr>
    </w:p>
    <w:p w14:paraId="27371DF7" w14:textId="6623B420" w:rsidR="00EA36C3" w:rsidRDefault="00B22264" w:rsidP="00EA36C3">
      <w:pPr>
        <w:pStyle w:val="prrafo"/>
        <w:numPr>
          <w:ilvl w:val="0"/>
          <w:numId w:val="6"/>
        </w:numPr>
      </w:pPr>
      <w:proofErr w:type="gramStart"/>
      <w:r w:rsidRPr="00EA36C3">
        <w:t>Asegurar</w:t>
      </w:r>
      <w:proofErr w:type="gramEnd"/>
      <w:r w:rsidRPr="00EA36C3">
        <w:t xml:space="preserve"> que las evaluaciones</w:t>
      </w:r>
      <w:r w:rsidRPr="00EA36C3">
        <w:rPr>
          <w:vertAlign w:val="superscript"/>
        </w:rPr>
        <w:footnoteReference w:id="13"/>
      </w:r>
      <w:r w:rsidRPr="00EA36C3">
        <w:t xml:space="preserve"> y usen un enf</w:t>
      </w:r>
      <w:r w:rsidRPr="00EA36C3">
        <w:t>oque de “no hacer daño”, sean participativas y evalúen el progreso hacia los resultados de igualdad de género</w:t>
      </w:r>
      <w:r w:rsidRPr="00EA36C3">
        <w:rPr>
          <w:vertAlign w:val="superscript"/>
        </w:rPr>
        <w:footnoteReference w:id="14"/>
      </w:r>
      <w:r w:rsidRPr="00EA36C3">
        <w:t xml:space="preserve">. Documentar las mejores prácticas y desafíos, y crear mecanismos para el aprendizaje entre comunidades, socios y del personal de CARE.  </w:t>
      </w:r>
    </w:p>
    <w:p w14:paraId="6E52CDF4" w14:textId="77777777" w:rsidR="00EA36C3" w:rsidRDefault="00EA36C3" w:rsidP="00EA36C3">
      <w:pPr>
        <w:pStyle w:val="Prrafodelista"/>
      </w:pPr>
    </w:p>
    <w:p w14:paraId="02C22D5C" w14:textId="77777777" w:rsidR="00EA36C3" w:rsidRPr="00EA36C3" w:rsidRDefault="00EA36C3" w:rsidP="00EA36C3">
      <w:pPr>
        <w:pStyle w:val="prrafo"/>
        <w:ind w:left="720"/>
      </w:pPr>
    </w:p>
    <w:p w14:paraId="30F7813D" w14:textId="79B3F7EF" w:rsidR="007F4F4E" w:rsidRDefault="00B22264" w:rsidP="00EA36C3">
      <w:pPr>
        <w:pStyle w:val="prrafo"/>
        <w:numPr>
          <w:ilvl w:val="0"/>
          <w:numId w:val="6"/>
        </w:numPr>
      </w:pPr>
      <w:proofErr w:type="gramStart"/>
      <w:r w:rsidRPr="00EA36C3">
        <w:t>Asegura</w:t>
      </w:r>
      <w:r w:rsidRPr="00EA36C3">
        <w:t>r</w:t>
      </w:r>
      <w:proofErr w:type="gramEnd"/>
      <w:r w:rsidRPr="00EA36C3">
        <w:t xml:space="preserve"> que todas nuestras políticas y prácticas de recursos humanos se desarrollen con una perspectiva de género. Informar sobre la distribución de género y diversidad del personal de CARE y de las juntas directivas, junto con el promedio de salario por género.</w:t>
      </w:r>
      <w:r w:rsidRPr="00EA36C3">
        <w:t xml:space="preserve"> Implementar estrategias específicas para corregir cualquier desigualdad en cuanto a género, tanto en la distribución como nivel de salario del personal.  </w:t>
      </w:r>
    </w:p>
    <w:p w14:paraId="083B8B22" w14:textId="77777777" w:rsidR="00EA36C3" w:rsidRPr="00EA36C3" w:rsidRDefault="00EA36C3" w:rsidP="00EA36C3">
      <w:pPr>
        <w:pStyle w:val="prrafo"/>
        <w:ind w:left="720"/>
      </w:pPr>
    </w:p>
    <w:p w14:paraId="2225CE57" w14:textId="6F553BD7" w:rsidR="007F4F4E" w:rsidRDefault="00B22264" w:rsidP="00EA36C3">
      <w:pPr>
        <w:pStyle w:val="prrafo"/>
        <w:numPr>
          <w:ilvl w:val="0"/>
          <w:numId w:val="6"/>
        </w:numPr>
      </w:pPr>
      <w:r w:rsidRPr="00EA36C3">
        <w:t xml:space="preserve">Reclutar y retener al personal con un compromiso en </w:t>
      </w:r>
      <w:proofErr w:type="spellStart"/>
      <w:r w:rsidRPr="00EA36C3">
        <w:t>pos</w:t>
      </w:r>
      <w:proofErr w:type="spellEnd"/>
      <w:r w:rsidRPr="00EA36C3">
        <w:t xml:space="preserve"> de la igualdad de género. Desarrollar las ca</w:t>
      </w:r>
      <w:r w:rsidRPr="00EA36C3">
        <w:t>pacidades y habilidades del personal y los socios en materia de igualdad de género y diversidad, y asegurar que los planes operativos anuales, las descripciones de puestos y las evaluaciones de desempeño reflejen el compromiso de CARE con la igualdad de gé</w:t>
      </w:r>
      <w:r w:rsidRPr="00EA36C3">
        <w:t xml:space="preserve">nero. </w:t>
      </w:r>
    </w:p>
    <w:p w14:paraId="33E5928E" w14:textId="77777777" w:rsidR="00EA36C3" w:rsidRPr="00EA36C3" w:rsidRDefault="00EA36C3" w:rsidP="00EA36C3">
      <w:pPr>
        <w:pStyle w:val="prrafo"/>
      </w:pPr>
    </w:p>
    <w:p w14:paraId="1F69A208" w14:textId="2E7068EE" w:rsidR="007F4F4E" w:rsidRDefault="00B22264" w:rsidP="00EA36C3">
      <w:pPr>
        <w:pStyle w:val="prrafo"/>
        <w:numPr>
          <w:ilvl w:val="0"/>
          <w:numId w:val="6"/>
        </w:numPr>
      </w:pPr>
      <w:r w:rsidRPr="00EA36C3">
        <w:lastRenderedPageBreak/>
        <w:t xml:space="preserve">Informar regularmente a los participantes, a los donantes y al público sobre la contribución de CARE a avanzar en </w:t>
      </w:r>
      <w:proofErr w:type="spellStart"/>
      <w:r w:rsidRPr="00EA36C3">
        <w:t>pos</w:t>
      </w:r>
      <w:proofErr w:type="spellEnd"/>
      <w:r w:rsidRPr="00EA36C3">
        <w:t xml:space="preserve"> de la igualdad de género.  </w:t>
      </w:r>
    </w:p>
    <w:p w14:paraId="297643C3" w14:textId="77777777" w:rsidR="00EA36C3" w:rsidRPr="00EA36C3" w:rsidRDefault="00EA36C3" w:rsidP="00EA36C3">
      <w:pPr>
        <w:pStyle w:val="prrafo"/>
      </w:pPr>
    </w:p>
    <w:p w14:paraId="3279D480" w14:textId="0D2326CC" w:rsidR="007F4F4E" w:rsidRDefault="00B22264" w:rsidP="00EA36C3">
      <w:pPr>
        <w:pStyle w:val="prrafo"/>
        <w:numPr>
          <w:ilvl w:val="0"/>
          <w:numId w:val="6"/>
        </w:numPr>
      </w:pPr>
      <w:r w:rsidRPr="00EA36C3">
        <w:t>Tomar medidas para prevenir y responder a todas las formas de acoso sexual y violencia, y la explotación sexua</w:t>
      </w:r>
      <w:r w:rsidRPr="00EA36C3">
        <w:t xml:space="preserve">l y el abuso de niñas/os y adultos vulnerables. Promover el conocimiento y la capacitación del personal, y sistemas efectivos para informar y monitorear.  </w:t>
      </w:r>
    </w:p>
    <w:p w14:paraId="189429FE" w14:textId="77777777" w:rsidR="00EA36C3" w:rsidRPr="00EA36C3" w:rsidRDefault="00EA36C3" w:rsidP="00EA36C3">
      <w:pPr>
        <w:pStyle w:val="prrafo"/>
      </w:pPr>
    </w:p>
    <w:p w14:paraId="06DA0E8E" w14:textId="77777777" w:rsidR="007F4F4E" w:rsidRPr="00EA36C3" w:rsidRDefault="00B22264" w:rsidP="00EA36C3">
      <w:pPr>
        <w:pStyle w:val="prrafo"/>
        <w:numPr>
          <w:ilvl w:val="0"/>
          <w:numId w:val="6"/>
        </w:numPr>
      </w:pPr>
      <w:proofErr w:type="gramStart"/>
      <w:r w:rsidRPr="00EA36C3">
        <w:t>Asegurar</w:t>
      </w:r>
      <w:proofErr w:type="gramEnd"/>
      <w:r w:rsidRPr="00EA36C3">
        <w:t xml:space="preserve"> que el marketing, la movilización de fondos, la incidencia y las comunicaciones respeten nu</w:t>
      </w:r>
      <w:r w:rsidRPr="00EA36C3">
        <w:t xml:space="preserve">estro compromiso con la justicia social y la igualdad de género. Esto incluye el </w:t>
      </w:r>
    </w:p>
    <w:p w14:paraId="766D0376" w14:textId="4BB558F5" w:rsidR="007F4F4E" w:rsidRDefault="00B22264" w:rsidP="00EA36C3">
      <w:pPr>
        <w:pStyle w:val="prrafo"/>
        <w:ind w:left="720"/>
      </w:pPr>
      <w:r w:rsidRPr="00EA36C3">
        <w:t xml:space="preserve">uso de un lenguaje e imágenes inclusivas y positivas, evitando estereotipos y prestando especial atención a temas de género, raza y etnia.  </w:t>
      </w:r>
    </w:p>
    <w:p w14:paraId="07227A29" w14:textId="77777777" w:rsidR="00EA36C3" w:rsidRPr="00EA36C3" w:rsidRDefault="00EA36C3" w:rsidP="00EA36C3">
      <w:pPr>
        <w:pStyle w:val="prrafo"/>
        <w:ind w:left="720"/>
      </w:pPr>
    </w:p>
    <w:p w14:paraId="4F2AABF5" w14:textId="77777777" w:rsidR="007F4F4E" w:rsidRPr="00EA36C3" w:rsidRDefault="00B22264" w:rsidP="00EA36C3">
      <w:pPr>
        <w:pStyle w:val="prrafo"/>
        <w:numPr>
          <w:ilvl w:val="0"/>
          <w:numId w:val="6"/>
        </w:numPr>
      </w:pPr>
      <w:r w:rsidRPr="00EA36C3">
        <w:t>Negociar con los donantes para ob</w:t>
      </w:r>
      <w:r w:rsidRPr="00EA36C3">
        <w:t xml:space="preserve">tener fondos para cumplir los compromisos internacionales de CARE (acciones para "no hacer daño", prevenir la violencia de género, prevenir la explotación y abuso sexuales (PSEA), y promover la equidad y diversidad organizacional de género (GED)). </w:t>
      </w:r>
    </w:p>
    <w:p w14:paraId="3313AF65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153C83EB" w14:textId="77777777" w:rsidR="007F4F4E" w:rsidRPr="00EA36C3" w:rsidRDefault="00B22264" w:rsidP="00EA36C3">
      <w:pPr>
        <w:pStyle w:val="numeracionytexto"/>
      </w:pPr>
      <w:r w:rsidRPr="00EA36C3">
        <w:t>Alcan</w:t>
      </w:r>
      <w:r w:rsidRPr="00EA36C3">
        <w:t xml:space="preserve">ce de la política para su aplicación </w:t>
      </w:r>
    </w:p>
    <w:p w14:paraId="4D9D9A20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322E899A" w14:textId="77777777" w:rsidR="007F4F4E" w:rsidRPr="00EA36C3" w:rsidRDefault="00B22264" w:rsidP="00EA36C3">
      <w:pPr>
        <w:pStyle w:val="prrafo"/>
      </w:pPr>
      <w:r w:rsidRPr="00EA36C3">
        <w:t>Esta política se aplica a toda la programación humanitaria y de desarrollo de CARE; a nuestra organización y a todos los empleados de CARE y al personal asociado con la organización</w:t>
      </w:r>
      <w:r w:rsidRPr="00EA36C3">
        <w:rPr>
          <w:vertAlign w:val="superscript"/>
        </w:rPr>
        <w:footnoteReference w:id="15"/>
      </w:r>
      <w:r w:rsidRPr="00EA36C3">
        <w:t xml:space="preserve">.  </w:t>
      </w:r>
    </w:p>
    <w:p w14:paraId="3E61B9D4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4622CE89" w14:textId="77777777" w:rsidR="007F4F4E" w:rsidRPr="00EA36C3" w:rsidRDefault="00B22264" w:rsidP="00EA36C3">
      <w:pPr>
        <w:pStyle w:val="numeracionytexto"/>
      </w:pPr>
      <w:r w:rsidRPr="00EA36C3">
        <w:t xml:space="preserve">Responsabilidades </w:t>
      </w:r>
    </w:p>
    <w:p w14:paraId="405A336A" w14:textId="77777777" w:rsidR="007F4F4E" w:rsidRPr="00EA36C3" w:rsidRDefault="00B22264">
      <w:pPr>
        <w:spacing w:after="12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5F733496" w14:textId="77777777" w:rsidR="007F4F4E" w:rsidRPr="001A4284" w:rsidRDefault="00B22264">
      <w:pPr>
        <w:numPr>
          <w:ilvl w:val="0"/>
          <w:numId w:val="3"/>
        </w:numPr>
        <w:ind w:hanging="360"/>
        <w:rPr>
          <w:rFonts w:ascii="Fira Sans Condensed" w:hAnsi="Fira Sans Condensed"/>
          <w:b/>
          <w:bCs/>
          <w:color w:val="1C1D30"/>
        </w:rPr>
      </w:pPr>
      <w:r w:rsidRPr="001A4284">
        <w:rPr>
          <w:rFonts w:ascii="Fira Sans Condensed" w:hAnsi="Fira Sans Condensed"/>
          <w:b/>
          <w:bCs/>
          <w:color w:val="1C1D30"/>
        </w:rPr>
        <w:t xml:space="preserve">Todos </w:t>
      </w:r>
      <w:r w:rsidRPr="001A4284">
        <w:rPr>
          <w:rFonts w:ascii="Fira Sans Condensed" w:hAnsi="Fira Sans Condensed"/>
          <w:b/>
          <w:bCs/>
          <w:color w:val="1C1D30"/>
        </w:rPr>
        <w:t xml:space="preserve">los empleados de CARE y el personal asociado </w:t>
      </w:r>
    </w:p>
    <w:p w14:paraId="61B5387B" w14:textId="77777777" w:rsidR="007F4F4E" w:rsidRPr="00EA36C3" w:rsidRDefault="00B22264">
      <w:pPr>
        <w:spacing w:after="0" w:line="259" w:lineRule="auto"/>
        <w:ind w:left="72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0044A64C" w14:textId="77777777" w:rsidR="007F4F4E" w:rsidRPr="00EA36C3" w:rsidRDefault="00B22264" w:rsidP="001A4284">
      <w:pPr>
        <w:pStyle w:val="prrafo"/>
        <w:ind w:left="705"/>
      </w:pPr>
      <w:r w:rsidRPr="00EA36C3">
        <w:t xml:space="preserve">Es responsabilidad de todos los empleados de CARE y personal asociado asegurar la implementación de los Principios y Compromisos Básicos de esta política. </w:t>
      </w:r>
    </w:p>
    <w:p w14:paraId="64AC5C64" w14:textId="77777777" w:rsidR="007F4F4E" w:rsidRPr="00EA36C3" w:rsidRDefault="00B22264">
      <w:pPr>
        <w:spacing w:after="12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43615DAB" w14:textId="77777777" w:rsidR="007F4F4E" w:rsidRPr="001A4284" w:rsidRDefault="00B22264">
      <w:pPr>
        <w:numPr>
          <w:ilvl w:val="0"/>
          <w:numId w:val="3"/>
        </w:numPr>
        <w:ind w:hanging="360"/>
        <w:rPr>
          <w:rFonts w:ascii="Fira Sans Condensed" w:hAnsi="Fira Sans Condensed"/>
          <w:b/>
          <w:bCs/>
          <w:color w:val="1C1D30"/>
        </w:rPr>
      </w:pPr>
      <w:r w:rsidRPr="001A4284">
        <w:rPr>
          <w:rFonts w:ascii="Fira Sans Condensed" w:hAnsi="Fira Sans Condensed"/>
          <w:b/>
          <w:bCs/>
          <w:color w:val="1C1D30"/>
        </w:rPr>
        <w:t>Gerentes Senior, Supervisores y Gerentes de Recurs</w:t>
      </w:r>
      <w:r w:rsidRPr="001A4284">
        <w:rPr>
          <w:rFonts w:ascii="Fira Sans Condensed" w:hAnsi="Fira Sans Condensed"/>
          <w:b/>
          <w:bCs/>
          <w:color w:val="1C1D30"/>
        </w:rPr>
        <w:t xml:space="preserve">os Humanos </w:t>
      </w:r>
    </w:p>
    <w:p w14:paraId="09533C38" w14:textId="77777777" w:rsidR="007F4F4E" w:rsidRPr="00EA36C3" w:rsidRDefault="00B22264">
      <w:pPr>
        <w:spacing w:after="0" w:line="259" w:lineRule="auto"/>
        <w:ind w:left="72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5939F4AD" w14:textId="77777777" w:rsidR="007F4F4E" w:rsidRPr="00EA36C3" w:rsidRDefault="00B22264" w:rsidP="001A4284">
      <w:pPr>
        <w:pStyle w:val="prrafo"/>
        <w:ind w:left="705"/>
      </w:pPr>
      <w:r w:rsidRPr="00EA36C3">
        <w:t>Los Gerentes, Supervisores y Gerentes de Recursos Humanos deben asegurar que todos los empleados de CARE y el personal asociado comprendan y cumplan con esta política. Los gerentes de recursos humanos son responsables de contratar, así como d</w:t>
      </w:r>
      <w:r w:rsidRPr="00EA36C3">
        <w:t xml:space="preserve">e la inducción y capacitación del nuevo personal, según los compromisos 7 y 8 de esta política. Los gerentes y supervisores son responsables de la gestión del desempeño para asegurar la implementación de la política. </w:t>
      </w:r>
    </w:p>
    <w:p w14:paraId="1F6C83DD" w14:textId="77777777" w:rsidR="007F4F4E" w:rsidRPr="00EA36C3" w:rsidRDefault="00B22264">
      <w:pPr>
        <w:spacing w:after="12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210B8828" w14:textId="77777777" w:rsidR="007F4F4E" w:rsidRPr="001A4284" w:rsidRDefault="00B22264">
      <w:pPr>
        <w:numPr>
          <w:ilvl w:val="0"/>
          <w:numId w:val="3"/>
        </w:numPr>
        <w:ind w:hanging="360"/>
        <w:rPr>
          <w:rFonts w:ascii="Fira Sans Condensed" w:hAnsi="Fira Sans Condensed"/>
          <w:b/>
          <w:bCs/>
          <w:color w:val="1C1D30"/>
        </w:rPr>
      </w:pPr>
      <w:r w:rsidRPr="001A4284">
        <w:rPr>
          <w:rFonts w:ascii="Fira Sans Condensed" w:hAnsi="Fira Sans Condensed"/>
          <w:b/>
          <w:bCs/>
          <w:color w:val="1C1D30"/>
        </w:rPr>
        <w:t xml:space="preserve">Miembros de CARE, </w:t>
      </w:r>
      <w:r w:rsidRPr="001A4284">
        <w:rPr>
          <w:rFonts w:ascii="Fira Sans Condensed" w:hAnsi="Fira Sans Condensed"/>
          <w:b/>
          <w:bCs/>
          <w:color w:val="1C1D30"/>
        </w:rPr>
        <w:t xml:space="preserve">miembros afiliados y candidatos  </w:t>
      </w:r>
    </w:p>
    <w:p w14:paraId="52733C53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29DE152B" w14:textId="07E3E7DA" w:rsidR="007F4F4E" w:rsidRDefault="00B22264" w:rsidP="001A4284">
      <w:pPr>
        <w:pStyle w:val="prrafo"/>
        <w:ind w:left="705"/>
      </w:pPr>
      <w:r w:rsidRPr="00EA36C3">
        <w:t xml:space="preserve">Los Miembros, Afiliados y Candidatos a ser Miembros de CARE asegurarán que esta política se implemente, y se informe acerca del avance cada dos años al Comité de </w:t>
      </w:r>
      <w:proofErr w:type="gramStart"/>
      <w:r w:rsidRPr="00EA36C3">
        <w:t>Directores Nacionales</w:t>
      </w:r>
      <w:proofErr w:type="gramEnd"/>
      <w:r w:rsidRPr="00EA36C3">
        <w:t>. Los Miembros, afiliados y candidato</w:t>
      </w:r>
      <w:r w:rsidRPr="00EA36C3">
        <w:t>s a miembros de CARE son responsables de definir planes de trabajo y procedimientos para mantener y poner en práctica esta política. Los que supervisan a oficinas de país brindarán el apoyo necesario a las oficinas regionales, de país y otros, y que tengan</w:t>
      </w:r>
      <w:r w:rsidRPr="00EA36C3">
        <w:t xml:space="preserve"> los recursos necesarios para implementar esta política. </w:t>
      </w:r>
    </w:p>
    <w:p w14:paraId="4D4240D4" w14:textId="01BDEC6C" w:rsidR="001A4284" w:rsidRDefault="001A4284" w:rsidP="00EA36C3">
      <w:pPr>
        <w:pStyle w:val="prrafo"/>
      </w:pPr>
    </w:p>
    <w:p w14:paraId="6E2391D2" w14:textId="77777777" w:rsidR="001A4284" w:rsidRPr="00EA36C3" w:rsidRDefault="001A4284" w:rsidP="00EA36C3">
      <w:pPr>
        <w:pStyle w:val="prrafo"/>
      </w:pPr>
    </w:p>
    <w:p w14:paraId="47DEE45E" w14:textId="77777777" w:rsidR="007F4F4E" w:rsidRPr="00EA36C3" w:rsidRDefault="00B22264">
      <w:pPr>
        <w:spacing w:after="11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lastRenderedPageBreak/>
        <w:t xml:space="preserve"> </w:t>
      </w:r>
    </w:p>
    <w:p w14:paraId="4CEBCA81" w14:textId="374EEB87" w:rsidR="007F4F4E" w:rsidRDefault="00B22264">
      <w:pPr>
        <w:numPr>
          <w:ilvl w:val="0"/>
          <w:numId w:val="3"/>
        </w:numPr>
        <w:ind w:hanging="360"/>
        <w:rPr>
          <w:rFonts w:ascii="Fira Sans Condensed" w:hAnsi="Fira Sans Condensed"/>
          <w:b/>
          <w:bCs/>
          <w:color w:val="1C1D30"/>
        </w:rPr>
      </w:pPr>
      <w:r w:rsidRPr="001A4284">
        <w:rPr>
          <w:rFonts w:ascii="Fira Sans Condensed" w:hAnsi="Fira Sans Condensed"/>
          <w:b/>
          <w:bCs/>
          <w:color w:val="1C1D30"/>
        </w:rPr>
        <w:t xml:space="preserve">Secretariado de CARE Internacional </w:t>
      </w:r>
    </w:p>
    <w:p w14:paraId="69AE674B" w14:textId="77777777" w:rsidR="001A4284" w:rsidRPr="001A4284" w:rsidRDefault="001A4284" w:rsidP="001A4284">
      <w:pPr>
        <w:ind w:left="705" w:firstLine="0"/>
        <w:rPr>
          <w:rFonts w:ascii="Fira Sans Condensed" w:hAnsi="Fira Sans Condensed"/>
          <w:b/>
          <w:bCs/>
          <w:color w:val="1C1D30"/>
        </w:rPr>
      </w:pPr>
    </w:p>
    <w:p w14:paraId="0CC4A756" w14:textId="62BD8C80" w:rsidR="007F4F4E" w:rsidRPr="001A4284" w:rsidRDefault="00B22264" w:rsidP="001A4284">
      <w:pPr>
        <w:pStyle w:val="prrafo"/>
        <w:ind w:left="567"/>
      </w:pPr>
      <w:r w:rsidRPr="001A4284">
        <w:t>El Secretariado de CARE Internacional coordinará la supervisión de esta política, y la revisará y actualizará según sea necesario. El Secretariado de CARE Inter</w:t>
      </w:r>
      <w:r w:rsidRPr="001A4284">
        <w:t xml:space="preserve">nacional brindará apoyo al Comité de </w:t>
      </w:r>
      <w:proofErr w:type="gramStart"/>
      <w:r w:rsidRPr="001A4284">
        <w:t>Directores Nacionales</w:t>
      </w:r>
      <w:proofErr w:type="gramEnd"/>
      <w:r w:rsidRPr="001A4284">
        <w:t xml:space="preserve"> para recopilar y analizar los datos de los informes de avance respecto a esta política.  </w:t>
      </w:r>
    </w:p>
    <w:p w14:paraId="1CC3E5B1" w14:textId="77777777" w:rsidR="001A4284" w:rsidRPr="00EA36C3" w:rsidRDefault="001A4284" w:rsidP="00EA36C3">
      <w:pPr>
        <w:pStyle w:val="prrafo"/>
      </w:pPr>
    </w:p>
    <w:p w14:paraId="6F543401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0C5BF930" w14:textId="77777777" w:rsidR="007F4F4E" w:rsidRPr="00EA36C3" w:rsidRDefault="00B22264" w:rsidP="00EA36C3">
      <w:pPr>
        <w:pStyle w:val="numeracionytexto"/>
      </w:pPr>
      <w:r w:rsidRPr="00EA36C3">
        <w:t xml:space="preserve">Políticas relacionadas </w:t>
      </w:r>
    </w:p>
    <w:p w14:paraId="3F734C6D" w14:textId="77777777" w:rsidR="007F4F4E" w:rsidRPr="00EA36C3" w:rsidRDefault="00B22264">
      <w:pPr>
        <w:spacing w:after="0" w:line="259" w:lineRule="auto"/>
        <w:ind w:left="0" w:firstLine="0"/>
        <w:rPr>
          <w:rFonts w:ascii="Fira Sans Condensed" w:hAnsi="Fira Sans Condensed"/>
        </w:rPr>
      </w:pPr>
      <w:r w:rsidRPr="00EA36C3">
        <w:rPr>
          <w:rFonts w:ascii="Fira Sans Condensed" w:hAnsi="Fira Sans Condensed"/>
        </w:rPr>
        <w:t xml:space="preserve"> </w:t>
      </w:r>
    </w:p>
    <w:p w14:paraId="4547CEF5" w14:textId="77777777" w:rsidR="007F4F4E" w:rsidRPr="00EA36C3" w:rsidRDefault="00B22264" w:rsidP="00EA36C3">
      <w:pPr>
        <w:pStyle w:val="prrafo"/>
      </w:pPr>
      <w:r w:rsidRPr="00EA36C3">
        <w:t>Esta Política es complementaria a los estándares de comportamiento que todos lo</w:t>
      </w:r>
      <w:r w:rsidRPr="00EA36C3">
        <w:t xml:space="preserve">s empleados de CARE deben cumplir en base al Código de Conducta y Código de Ética de CARE International, así como cualquier otro código o política definida por los Miembros, Afiliados, Candidatos y Oficinas de CARE. </w:t>
      </w:r>
    </w:p>
    <w:p w14:paraId="6EDB7347" w14:textId="77777777" w:rsidR="007F4F4E" w:rsidRPr="00EA36C3" w:rsidRDefault="00B22264" w:rsidP="00EA36C3">
      <w:pPr>
        <w:pStyle w:val="prrafo"/>
      </w:pPr>
      <w:r w:rsidRPr="00EA36C3">
        <w:t xml:space="preserve"> </w:t>
      </w:r>
    </w:p>
    <w:p w14:paraId="73E268AB" w14:textId="77777777" w:rsidR="007F4F4E" w:rsidRPr="00EA36C3" w:rsidRDefault="00B22264" w:rsidP="00EA36C3">
      <w:pPr>
        <w:pStyle w:val="prrafo"/>
      </w:pPr>
      <w:r w:rsidRPr="00EA36C3">
        <w:t>Esta Política responde a la rendición</w:t>
      </w:r>
      <w:r w:rsidRPr="00EA36C3">
        <w:t xml:space="preserve"> de cuentas de parte de CARE hacia las comunidades con las cuales trabaja, y por tanto debe ser parte integral del Marco de Rendición de Cuentas de CARE Internacional.  </w:t>
      </w:r>
    </w:p>
    <w:sectPr w:rsidR="007F4F4E" w:rsidRPr="00EA36C3">
      <w:headerReference w:type="default" r:id="rId43"/>
      <w:footerReference w:type="default" r:id="rId44"/>
      <w:pgSz w:w="11906" w:h="16838"/>
      <w:pgMar w:top="1481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205AA" w14:textId="77777777" w:rsidR="00B22264" w:rsidRDefault="00B22264">
      <w:pPr>
        <w:spacing w:after="0" w:line="240" w:lineRule="auto"/>
      </w:pPr>
      <w:r>
        <w:separator/>
      </w:r>
    </w:p>
  </w:endnote>
  <w:endnote w:type="continuationSeparator" w:id="0">
    <w:p w14:paraId="3DD570EE" w14:textId="77777777" w:rsidR="00B22264" w:rsidRDefault="00B22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1AEB9" w14:textId="77777777" w:rsidR="001A4284" w:rsidRPr="008776ED" w:rsidRDefault="001A4284" w:rsidP="001A4284">
    <w:pPr>
      <w:pStyle w:val="Piedepgina"/>
      <w:framePr w:wrap="around" w:vAnchor="text" w:hAnchor="page" w:x="10393" w:y="1"/>
      <w:rPr>
        <w:rStyle w:val="Nmerodepgina"/>
        <w:rFonts w:ascii="Fira Sans Condensed" w:hAnsi="Fira Sans Condensed"/>
        <w:sz w:val="20"/>
        <w:szCs w:val="20"/>
      </w:rPr>
    </w:pPr>
    <w:r w:rsidRPr="008776ED">
      <w:rPr>
        <w:rStyle w:val="Nmerodepgina"/>
        <w:rFonts w:ascii="Fira Sans Condensed" w:hAnsi="Fira Sans Condensed"/>
        <w:sz w:val="20"/>
        <w:szCs w:val="20"/>
      </w:rPr>
      <w:fldChar w:fldCharType="begin"/>
    </w:r>
    <w:r w:rsidRPr="008776ED">
      <w:rPr>
        <w:rStyle w:val="Nmerodepgina"/>
        <w:rFonts w:ascii="Fira Sans Condensed" w:hAnsi="Fira Sans Condensed"/>
        <w:sz w:val="20"/>
        <w:szCs w:val="20"/>
      </w:rPr>
      <w:instrText xml:space="preserve">PAGE  </w:instrText>
    </w:r>
    <w:r w:rsidRPr="008776ED">
      <w:rPr>
        <w:rStyle w:val="Nmerodepgina"/>
        <w:rFonts w:ascii="Fira Sans Condensed" w:hAnsi="Fira Sans Condensed"/>
        <w:sz w:val="20"/>
        <w:szCs w:val="20"/>
      </w:rPr>
      <w:fldChar w:fldCharType="separate"/>
    </w:r>
    <w:r>
      <w:rPr>
        <w:rStyle w:val="Nmerodepgina"/>
        <w:rFonts w:ascii="Fira Sans Condensed" w:hAnsi="Fira Sans Condensed"/>
        <w:sz w:val="20"/>
        <w:szCs w:val="20"/>
      </w:rPr>
      <w:t>1</w:t>
    </w:r>
    <w:r w:rsidRPr="008776ED">
      <w:rPr>
        <w:rStyle w:val="Nmerodepgina"/>
        <w:rFonts w:ascii="Fira Sans Condensed" w:hAnsi="Fira Sans Condensed"/>
        <w:sz w:val="20"/>
        <w:szCs w:val="20"/>
      </w:rPr>
      <w:fldChar w:fldCharType="end"/>
    </w:r>
  </w:p>
  <w:p w14:paraId="7DEE4D11" w14:textId="1E5331FE" w:rsidR="001A4284" w:rsidRPr="001A4284" w:rsidRDefault="001A4284" w:rsidP="001A4284">
    <w:pPr>
      <w:pStyle w:val="Piedepgina"/>
      <w:ind w:right="360"/>
      <w:rPr>
        <w:rFonts w:ascii="Fira Sans Condensed" w:hAnsi="Fira Sans Condensed" w:cstheme="majorHAnsi"/>
        <w:i/>
        <w:lang w:val="es-ES"/>
      </w:rPr>
    </w:pPr>
    <w:r w:rsidRPr="008776ED">
      <w:rPr>
        <w:rFonts w:ascii="Fira Sans Condensed" w:hAnsi="Fira Sans Condensed" w:cstheme="majorHAnsi"/>
        <w:i/>
        <w:sz w:val="20"/>
        <w:szCs w:val="20"/>
        <w:lang w:val="es-ES"/>
      </w:rPr>
      <w:t xml:space="preserve">Política Internacional de Género de CARE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16A2" w14:textId="77777777" w:rsidR="00B22264" w:rsidRDefault="00B22264">
      <w:pPr>
        <w:spacing w:after="0" w:line="259" w:lineRule="auto"/>
        <w:ind w:left="0" w:firstLine="0"/>
      </w:pPr>
      <w:r>
        <w:separator/>
      </w:r>
    </w:p>
  </w:footnote>
  <w:footnote w:type="continuationSeparator" w:id="0">
    <w:p w14:paraId="39E06575" w14:textId="77777777" w:rsidR="00B22264" w:rsidRDefault="00B22264">
      <w:pPr>
        <w:spacing w:after="0" w:line="259" w:lineRule="auto"/>
        <w:ind w:left="0" w:firstLine="0"/>
      </w:pPr>
      <w:r>
        <w:continuationSeparator/>
      </w:r>
    </w:p>
  </w:footnote>
  <w:footnote w:id="1">
    <w:p w14:paraId="6FC7D958" w14:textId="77777777" w:rsidR="007F4F4E" w:rsidRDefault="00B22264">
      <w:pPr>
        <w:pStyle w:val="footnotedescription"/>
      </w:pPr>
      <w:r>
        <w:rPr>
          <w:rStyle w:val="footnotemark"/>
        </w:rPr>
        <w:footnoteRef/>
      </w:r>
      <w:r>
        <w:t xml:space="preserve"> </w:t>
      </w:r>
      <w:r>
        <w:t xml:space="preserve">Ver anexo 2 para más información sobre rendición de cuentas y reporte.  </w:t>
      </w:r>
    </w:p>
  </w:footnote>
  <w:footnote w:id="2">
    <w:p w14:paraId="60E9EBB2" w14:textId="77777777" w:rsidR="007F4F4E" w:rsidRDefault="00B22264">
      <w:pPr>
        <w:pStyle w:val="footnotedescription"/>
        <w:spacing w:line="240" w:lineRule="auto"/>
      </w:pPr>
      <w:r>
        <w:rPr>
          <w:rStyle w:val="footnotemark"/>
        </w:rPr>
        <w:footnoteRef/>
      </w:r>
      <w:r>
        <w:t xml:space="preserve"> Esta política es complementaria con l</w:t>
      </w:r>
      <w:hyperlink r:id="rId1">
        <w:r>
          <w:t xml:space="preserve">a </w:t>
        </w:r>
      </w:hyperlink>
      <w:hyperlink r:id="rId2">
        <w:r>
          <w:rPr>
            <w:color w:val="0000FF"/>
            <w:u w:val="single" w:color="0000FF"/>
          </w:rPr>
          <w:t>visión, misión y val</w:t>
        </w:r>
        <w:r>
          <w:rPr>
            <w:color w:val="0000FF"/>
            <w:u w:val="single" w:color="0000FF"/>
          </w:rPr>
          <w:t>ores de CARE</w:t>
        </w:r>
      </w:hyperlink>
      <w:hyperlink r:id="rId3">
        <w:r>
          <w:t xml:space="preserve"> </w:t>
        </w:r>
      </w:hyperlink>
      <w:hyperlink r:id="rId4">
        <w:r>
          <w:t xml:space="preserve">y </w:t>
        </w:r>
      </w:hyperlink>
      <w:hyperlink r:id="rId5">
        <w:r>
          <w:rPr>
            <w:color w:val="0000FF"/>
            <w:u w:val="single" w:color="0000FF"/>
          </w:rPr>
          <w:t>Política para prevenir el abuso sexu</w:t>
        </w:r>
        <w:r>
          <w:rPr>
            <w:color w:val="0000FF"/>
            <w:u w:val="single" w:color="0000FF"/>
          </w:rPr>
          <w:t>al y proteger a los niños/as</w:t>
        </w:r>
      </w:hyperlink>
      <w:hyperlink r:id="rId6">
        <w:r>
          <w:t xml:space="preserve">; </w:t>
        </w:r>
      </w:hyperlink>
      <w:r>
        <w:t>los estándares son consistentes con la</w:t>
      </w:r>
      <w:hyperlink r:id="rId7">
        <w:r>
          <w:t xml:space="preserve">s </w:t>
        </w:r>
      </w:hyperlink>
      <w:hyperlink r:id="rId8">
        <w:r>
          <w:rPr>
            <w:color w:val="0000FF"/>
            <w:u w:val="single" w:color="0000FF"/>
          </w:rPr>
          <w:t>Guías para fortalecer la igualdad de género y la voz de la mujer</w:t>
        </w:r>
      </w:hyperlink>
      <w:hyperlink r:id="rId9">
        <w:r>
          <w:t xml:space="preserve"> </w:t>
        </w:r>
      </w:hyperlink>
      <w:hyperlink r:id="rId10">
        <w:r>
          <w:t xml:space="preserve">y </w:t>
        </w:r>
      </w:hyperlink>
      <w:hyperlink r:id="rId11">
        <w:r>
          <w:rPr>
            <w:color w:val="0000FF"/>
            <w:u w:val="single" w:color="0000FF"/>
          </w:rPr>
          <w:t>Estrategia para lograr una vida</w:t>
        </w:r>
      </w:hyperlink>
      <w:hyperlink r:id="rId12">
        <w:r>
          <w:rPr>
            <w:color w:val="0000FF"/>
          </w:rPr>
          <w:t xml:space="preserve"> </w:t>
        </w:r>
      </w:hyperlink>
      <w:hyperlink r:id="rId13">
        <w:r>
          <w:rPr>
            <w:color w:val="0000FF"/>
            <w:u w:val="single" w:color="0000FF"/>
          </w:rPr>
          <w:t>libre de violencia</w:t>
        </w:r>
      </w:hyperlink>
      <w:hyperlink r:id="rId14">
        <w:r>
          <w:t>.</w:t>
        </w:r>
      </w:hyperlink>
      <w:hyperlink r:id="rId15">
        <w:r>
          <w:t xml:space="preserve"> </w:t>
        </w:r>
      </w:hyperlink>
    </w:p>
  </w:footnote>
  <w:footnote w:id="3">
    <w:p w14:paraId="0903E6B5" w14:textId="77777777" w:rsidR="007F4F4E" w:rsidRDefault="00B22264">
      <w:pPr>
        <w:pStyle w:val="footnotedescription"/>
        <w:spacing w:after="5" w:line="271" w:lineRule="auto"/>
      </w:pPr>
      <w:r>
        <w:rPr>
          <w:rStyle w:val="footnotemark"/>
        </w:rPr>
        <w:footnoteRef/>
      </w:r>
      <w:r>
        <w:t xml:space="preserve"> Pr</w:t>
      </w:r>
      <w:r>
        <w:t xml:space="preserve">incipios de derechos humanos incluyen: Universalismo, indivisible, integridad, participación e inclusión, rendición de cuentas, transparencia, igualdad y no-discriminación.  </w:t>
      </w:r>
    </w:p>
  </w:footnote>
  <w:footnote w:id="4">
    <w:p w14:paraId="75B65577" w14:textId="77777777" w:rsidR="007F4F4E" w:rsidRDefault="00B22264">
      <w:pPr>
        <w:pStyle w:val="footnotedescription"/>
      </w:pPr>
      <w:r>
        <w:rPr>
          <w:rStyle w:val="footnotemark"/>
        </w:rPr>
        <w:footnoteRef/>
      </w:r>
      <w:r>
        <w:t xml:space="preserve"> Ver pie de página 2. </w:t>
      </w:r>
      <w:r>
        <w:rPr>
          <w:sz w:val="20"/>
        </w:rPr>
        <w:t xml:space="preserve"> </w:t>
      </w:r>
    </w:p>
  </w:footnote>
  <w:footnote w:id="5">
    <w:p w14:paraId="6EF99A68" w14:textId="77777777" w:rsidR="007F4F4E" w:rsidRDefault="00B22264">
      <w:pPr>
        <w:pStyle w:val="footnotedescription"/>
        <w:spacing w:line="244" w:lineRule="auto"/>
        <w:ind w:right="502"/>
      </w:pPr>
      <w:r>
        <w:rPr>
          <w:rStyle w:val="footnotemark"/>
        </w:rPr>
        <w:footnoteRef/>
      </w:r>
      <w:r>
        <w:t xml:space="preserve"> Las “leyes suaves” son estándares internacionales no v</w:t>
      </w:r>
      <w:r>
        <w:t xml:space="preserve">inculantes tal como las resoluciones del Consejo de Derechos Humanos y la Asamblea General, comentarios por parte del comité de CEDAW y otros.  </w:t>
      </w:r>
      <w:r>
        <w:rPr>
          <w:vertAlign w:val="superscript"/>
        </w:rPr>
        <w:t>8</w:t>
      </w:r>
      <w:r>
        <w:t xml:space="preserve"> </w:t>
      </w:r>
      <w:proofErr w:type="gramStart"/>
      <w:r>
        <w:t>Véase</w:t>
      </w:r>
      <w:proofErr w:type="gramEnd"/>
      <w:r>
        <w:t xml:space="preserve"> el anexo 1 para más información. </w:t>
      </w:r>
    </w:p>
  </w:footnote>
  <w:footnote w:id="6">
    <w:p w14:paraId="78A58270" w14:textId="77777777" w:rsidR="007F4F4E" w:rsidRDefault="00B22264">
      <w:pPr>
        <w:pStyle w:val="footnotedescription"/>
        <w:spacing w:line="243" w:lineRule="auto"/>
        <w:jc w:val="both"/>
      </w:pPr>
      <w:r>
        <w:rPr>
          <w:rStyle w:val="footnotemark"/>
        </w:rPr>
        <w:footnoteRef/>
      </w:r>
      <w:r>
        <w:t xml:space="preserve"> Hay una variedad de herramientas disponibles para efectua</w:t>
      </w:r>
      <w:hyperlink r:id="rId16">
        <w:r>
          <w:t xml:space="preserve">r </w:t>
        </w:r>
      </w:hyperlink>
      <w:hyperlink r:id="rId17">
        <w:r>
          <w:rPr>
            <w:color w:val="0000FF"/>
            <w:u w:val="single" w:color="0000FF"/>
          </w:rPr>
          <w:t>análisis de género y de poder</w:t>
        </w:r>
      </w:hyperlink>
      <w:hyperlink r:id="rId18">
        <w:r>
          <w:t xml:space="preserve">; </w:t>
        </w:r>
      </w:hyperlink>
      <w:r>
        <w:t xml:space="preserve">no son necesariamente procesos diferentes o por separado, pero un análisis situacional debe incluir un análisis de género y poder. En contextos humanitarios es necesario un </w:t>
      </w:r>
      <w:hyperlink r:id="rId19">
        <w:r>
          <w:rPr>
            <w:color w:val="0000FF"/>
            <w:u w:val="single" w:color="0000FF"/>
          </w:rPr>
          <w:t>análisis</w:t>
        </w:r>
      </w:hyperlink>
      <w:hyperlink r:id="rId20">
        <w:r>
          <w:rPr>
            <w:color w:val="0000FF"/>
          </w:rPr>
          <w:t xml:space="preserve"> </w:t>
        </w:r>
      </w:hyperlink>
      <w:hyperlink r:id="rId21">
        <w:r>
          <w:rPr>
            <w:color w:val="0000FF"/>
            <w:u w:val="single" w:color="0000FF"/>
          </w:rPr>
          <w:t>rápido de género</w:t>
        </w:r>
      </w:hyperlink>
      <w:hyperlink r:id="rId22">
        <w:r>
          <w:t>.</w:t>
        </w:r>
      </w:hyperlink>
      <w:hyperlink r:id="rId23">
        <w:r>
          <w:t xml:space="preserve"> </w:t>
        </w:r>
      </w:hyperlink>
    </w:p>
  </w:footnote>
  <w:footnote w:id="7">
    <w:p w14:paraId="0089E9DE" w14:textId="77777777" w:rsidR="007F4F4E" w:rsidRDefault="00B22264">
      <w:pPr>
        <w:pStyle w:val="footnotedescription"/>
      </w:pPr>
      <w:r>
        <w:rPr>
          <w:rStyle w:val="footnotemark"/>
        </w:rPr>
        <w:footnoteRef/>
      </w:r>
      <w:r>
        <w:t xml:space="preserve"> Pueden incluir: raza, etnia, orientación sexual e identidad, edad, clase, casa, religión, habil</w:t>
      </w:r>
      <w:r>
        <w:t xml:space="preserve">idad física y mental. </w:t>
      </w:r>
    </w:p>
  </w:footnote>
  <w:footnote w:id="8">
    <w:p w14:paraId="45DDA1C5" w14:textId="77777777" w:rsidR="007F4F4E" w:rsidRDefault="00B22264">
      <w:pPr>
        <w:pStyle w:val="footnotedescription"/>
        <w:spacing w:line="266" w:lineRule="auto"/>
      </w:pPr>
      <w:r>
        <w:rPr>
          <w:rStyle w:val="footnotemark"/>
        </w:rPr>
        <w:footnoteRef/>
      </w:r>
      <w:r>
        <w:t xml:space="preserve"> Los tres dominios del marco de igualdad de género son: agencia, relaciones y estructura. Revise la guía sobre igualdad de género y voz de la mujer de CARE, abril 2018</w:t>
      </w:r>
      <w:hyperlink r:id="rId24">
        <w:r>
          <w:t xml:space="preserve">: </w:t>
        </w:r>
      </w:hyperlink>
      <w:hyperlink r:id="rId25">
        <w:r>
          <w:rPr>
            <w:color w:val="0000FF"/>
            <w:u w:val="single" w:color="0000FF"/>
          </w:rPr>
          <w:t>http://gender.care2share.wikispaces.net/GEWV%20Approach</w:t>
        </w:r>
      </w:hyperlink>
      <w:hyperlink r:id="rId26">
        <w:r>
          <w:t xml:space="preserve"> </w:t>
        </w:r>
      </w:hyperlink>
    </w:p>
  </w:footnote>
  <w:footnote w:id="9">
    <w:p w14:paraId="6293DE47" w14:textId="77777777" w:rsidR="007F4F4E" w:rsidRDefault="00B22264">
      <w:pPr>
        <w:pStyle w:val="footnotedescription"/>
        <w:spacing w:after="5"/>
      </w:pPr>
      <w:r>
        <w:rPr>
          <w:rStyle w:val="footnotemark"/>
        </w:rPr>
        <w:footnoteRef/>
      </w:r>
      <w:r>
        <w:t xml:space="preserve"> Marcador de género, CARE 2017, </w:t>
      </w:r>
    </w:p>
    <w:p w14:paraId="5DC33BAF" w14:textId="77777777" w:rsidR="007F4F4E" w:rsidRDefault="00B22264">
      <w:pPr>
        <w:pStyle w:val="footnotedescription"/>
        <w:spacing w:after="10" w:line="236" w:lineRule="auto"/>
        <w:ind w:right="1446"/>
      </w:pPr>
      <w:hyperlink r:id="rId27">
        <w:r>
          <w:rPr>
            <w:color w:val="0000FF"/>
            <w:u w:val="single" w:color="0000FF"/>
          </w:rPr>
          <w:t>http://gender.care2share.wikispaces.net/CARE+Gender+Marker+new+improved+version%21+%28June+2016%29</w:t>
        </w:r>
      </w:hyperlink>
      <w:hyperlink r:id="rId28">
        <w:r>
          <w:t xml:space="preserve">  </w:t>
        </w:r>
      </w:hyperlink>
      <w:r>
        <w:rPr>
          <w:vertAlign w:val="superscript"/>
        </w:rPr>
        <w:t>13</w:t>
      </w:r>
      <w:r>
        <w:t xml:space="preserve"> Involucrar a hombres y niños, CAR</w:t>
      </w:r>
      <w:hyperlink r:id="rId29">
        <w:r>
          <w:t xml:space="preserve">E </w:t>
        </w:r>
      </w:hyperlink>
      <w:hyperlink r:id="rId30">
        <w:r>
          <w:rPr>
            <w:color w:val="0000FF"/>
            <w:u w:val="single" w:color="0000FF"/>
          </w:rPr>
          <w:t>http://gender.care2share.wikispaces.net/Engaging%20Men%20%26%20Boys</w:t>
        </w:r>
      </w:hyperlink>
      <w:hyperlink r:id="rId31">
        <w:r>
          <w:t xml:space="preserve"> </w:t>
        </w:r>
      </w:hyperlink>
    </w:p>
  </w:footnote>
  <w:footnote w:id="10">
    <w:p w14:paraId="25D58603" w14:textId="77777777" w:rsidR="007F4F4E" w:rsidRDefault="00B22264">
      <w:pPr>
        <w:pStyle w:val="footnotedescription"/>
        <w:spacing w:line="246" w:lineRule="auto"/>
        <w:jc w:val="both"/>
      </w:pPr>
      <w:r>
        <w:rPr>
          <w:rStyle w:val="footnotemark"/>
        </w:rPr>
        <w:footnoteRef/>
      </w:r>
      <w:r>
        <w:t xml:space="preserve"> Vea la</w:t>
      </w:r>
      <w:hyperlink r:id="rId32">
        <w:r>
          <w:t xml:space="preserve">s </w:t>
        </w:r>
      </w:hyperlink>
      <w:hyperlink r:id="rId33">
        <w:r>
          <w:rPr>
            <w:color w:val="0000FF"/>
            <w:u w:val="single" w:color="0000FF"/>
          </w:rPr>
          <w:t xml:space="preserve">Guías de CARE para responder a la violencia de género </w:t>
        </w:r>
      </w:hyperlink>
      <w:hyperlink r:id="rId34">
        <w:r>
          <w:rPr>
            <w:color w:val="0000FF"/>
            <w:u w:val="single" w:color="0000FF"/>
          </w:rPr>
          <w:t xml:space="preserve">- </w:t>
        </w:r>
      </w:hyperlink>
      <w:hyperlink r:id="rId35">
        <w:r>
          <w:rPr>
            <w:color w:val="0000FF"/>
            <w:u w:val="single" w:color="0000FF"/>
          </w:rPr>
          <w:t>monitoreo y mitigación en programas que no se enfocan en la violencia</w:t>
        </w:r>
      </w:hyperlink>
      <w:hyperlink r:id="rId36">
        <w:r>
          <w:rPr>
            <w:color w:val="0000FF"/>
          </w:rPr>
          <w:t xml:space="preserve"> </w:t>
        </w:r>
      </w:hyperlink>
      <w:hyperlink r:id="rId37">
        <w:r>
          <w:rPr>
            <w:color w:val="0000FF"/>
            <w:u w:val="single" w:color="0000FF"/>
          </w:rPr>
          <w:t>de género</w:t>
        </w:r>
      </w:hyperlink>
      <w:hyperlink r:id="rId38">
        <w:r>
          <w:t xml:space="preserve"> </w:t>
        </w:r>
      </w:hyperlink>
    </w:p>
  </w:footnote>
  <w:footnote w:id="11">
    <w:p w14:paraId="0B82E7FA" w14:textId="77777777" w:rsidR="007F4F4E" w:rsidRDefault="00B22264">
      <w:pPr>
        <w:pStyle w:val="footnotedescription"/>
        <w:spacing w:line="251" w:lineRule="auto"/>
      </w:pPr>
      <w:r>
        <w:rPr>
          <w:rStyle w:val="footnotemark"/>
        </w:rPr>
        <w:footnoteRef/>
      </w:r>
      <w:r>
        <w:t xml:space="preserve"> Empoder</w:t>
      </w:r>
      <w:r>
        <w:t xml:space="preserve">amiento de la mujer y organización, CARE </w:t>
      </w:r>
      <w:hyperlink r:id="rId39">
        <w:r>
          <w:rPr>
            <w:color w:val="0000FF"/>
            <w:u w:val="single" w:color="0000FF"/>
          </w:rPr>
          <w:t>http://www.care.org/sites/default/files/documents/SII%20Women%27s%20Empower</w:t>
        </w:r>
        <w:r>
          <w:rPr>
            <w:color w:val="0000FF"/>
            <w:u w:val="single" w:color="0000FF"/>
          </w:rPr>
          <w:t xml:space="preserve">ment%20%20and%20Organizing%20Brief%202009. </w:t>
        </w:r>
      </w:hyperlink>
      <w:hyperlink r:id="rId40">
        <w:proofErr w:type="spellStart"/>
        <w:r>
          <w:rPr>
            <w:color w:val="0000FF"/>
            <w:u w:val="single" w:color="0000FF"/>
          </w:rPr>
          <w:t>pdf</w:t>
        </w:r>
        <w:proofErr w:type="spellEnd"/>
      </w:hyperlink>
      <w:hyperlink r:id="rId41">
        <w:r>
          <w:t xml:space="preserve">  </w:t>
        </w:r>
      </w:hyperlink>
    </w:p>
  </w:footnote>
  <w:footnote w:id="12">
    <w:p w14:paraId="380A0EDA" w14:textId="77777777" w:rsidR="007F4F4E" w:rsidRDefault="00B22264">
      <w:pPr>
        <w:pStyle w:val="footnotedescription"/>
      </w:pPr>
      <w:r>
        <w:rPr>
          <w:rStyle w:val="footnotemark"/>
        </w:rPr>
        <w:footnoteRef/>
      </w:r>
      <w:r>
        <w:t xml:space="preserve"> Lesbiana, homosexual, bisexual, transgénero, </w:t>
      </w:r>
      <w:proofErr w:type="spellStart"/>
      <w:r>
        <w:t>intersexo</w:t>
      </w:r>
      <w:proofErr w:type="spellEnd"/>
      <w:r>
        <w:t xml:space="preserve">, </w:t>
      </w:r>
      <w:proofErr w:type="spellStart"/>
      <w:r>
        <w:t>queer</w:t>
      </w:r>
      <w:proofErr w:type="spellEnd"/>
      <w:r>
        <w:t xml:space="preserve">, </w:t>
      </w:r>
      <w:proofErr w:type="spellStart"/>
      <w:r>
        <w:t>questionando</w:t>
      </w:r>
      <w:proofErr w:type="spellEnd"/>
      <w:r>
        <w:t xml:space="preserve">.  </w:t>
      </w:r>
    </w:p>
  </w:footnote>
  <w:footnote w:id="13">
    <w:p w14:paraId="74E8A166" w14:textId="77777777" w:rsidR="007F4F4E" w:rsidRDefault="00B22264">
      <w:pPr>
        <w:pStyle w:val="footnotedescription"/>
        <w:spacing w:after="32"/>
      </w:pPr>
      <w:r>
        <w:rPr>
          <w:rStyle w:val="footnotemark"/>
        </w:rPr>
        <w:footnoteRef/>
      </w:r>
      <w:r>
        <w:t xml:space="preserve"> </w:t>
      </w:r>
      <w:hyperlink r:id="rId42">
        <w:r>
          <w:rPr>
            <w:color w:val="0000FF"/>
            <w:u w:val="single" w:color="0000FF"/>
          </w:rPr>
          <w:t>Enfoque y estándares de M&amp;E y aprendizaje de CARE</w:t>
        </w:r>
      </w:hyperlink>
      <w:hyperlink r:id="rId43">
        <w:r>
          <w:t xml:space="preserve"> </w:t>
        </w:r>
      </w:hyperlink>
    </w:p>
  </w:footnote>
  <w:footnote w:id="14">
    <w:p w14:paraId="1B84CEF4" w14:textId="77777777" w:rsidR="007F4F4E" w:rsidRDefault="00B22264">
      <w:pPr>
        <w:pStyle w:val="footnotedescription"/>
      </w:pPr>
      <w:r>
        <w:rPr>
          <w:rStyle w:val="footnotemark"/>
        </w:rPr>
        <w:footnoteRef/>
      </w:r>
      <w:r>
        <w:t xml:space="preserve"> Los indicadores de igualdad de género usados por CARE pueden encontrars</w:t>
      </w:r>
      <w:hyperlink r:id="rId44" w:anchor="Global%20and%20Supplementary%20Indicators%20for%20Measuring%20Change">
        <w:r>
          <w:t xml:space="preserve">e </w:t>
        </w:r>
      </w:hyperlink>
      <w:hyperlink r:id="rId45" w:anchor="Global%20and%20Supplementary%20Indicators%20for%20Measuring%20Change">
        <w:r>
          <w:rPr>
            <w:color w:val="0000FF"/>
            <w:u w:val="single" w:color="0000FF"/>
          </w:rPr>
          <w:t>aquí</w:t>
        </w:r>
      </w:hyperlink>
      <w:hyperlink r:id="rId46" w:anchor="Global%20and%20Supplementary%20Indicators%20for%20Measuring%20Change">
        <w:r>
          <w:rPr>
            <w:sz w:val="20"/>
          </w:rPr>
          <w:t xml:space="preserve"> </w:t>
        </w:r>
      </w:hyperlink>
    </w:p>
  </w:footnote>
  <w:footnote w:id="15">
    <w:p w14:paraId="510414B9" w14:textId="77777777" w:rsidR="007F4F4E" w:rsidRDefault="00B22264">
      <w:pPr>
        <w:pStyle w:val="footnotedescription"/>
        <w:spacing w:line="244" w:lineRule="auto"/>
      </w:pPr>
      <w:r>
        <w:rPr>
          <w:rStyle w:val="footnotemark"/>
        </w:rPr>
        <w:footnoteRef/>
      </w:r>
      <w:r>
        <w:t xml:space="preserve"> El término “personal de CARE y relacionado” inc</w:t>
      </w:r>
      <w:r>
        <w:t xml:space="preserve">luye todo el personal de las oficinas de CARE, como también miembros de la junta directiva, voluntarios, internos, consultores (individuales y empresas consultoras). Toda organización que está afiliada con CARE, o tiene un acuerdo de asocio, estará sujeta </w:t>
      </w:r>
      <w:r>
        <w:t xml:space="preserve">a un proceso de análisis en conformidad con esta política.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759C3" w14:textId="71675224" w:rsidR="00EA36C3" w:rsidRDefault="00EA36C3">
    <w:pPr>
      <w:pStyle w:val="Encabezado"/>
    </w:pPr>
    <w:r w:rsidRPr="00EA36C3">
      <mc:AlternateContent>
        <mc:Choice Requires="wps">
          <w:drawing>
            <wp:anchor distT="0" distB="0" distL="114300" distR="114300" simplePos="0" relativeHeight="251661312" behindDoc="0" locked="0" layoutInCell="1" allowOverlap="1" wp14:anchorId="51455796" wp14:editId="48737582">
              <wp:simplePos x="0" y="0"/>
              <wp:positionH relativeFrom="column">
                <wp:posOffset>2461260</wp:posOffset>
              </wp:positionH>
              <wp:positionV relativeFrom="paragraph">
                <wp:posOffset>-243840</wp:posOffset>
              </wp:positionV>
              <wp:extent cx="3573780" cy="281940"/>
              <wp:effectExtent l="0" t="0" r="0" b="381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7378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317053" w14:textId="289B5EAE" w:rsidR="00EA36C3" w:rsidRPr="00AF089B" w:rsidRDefault="00EA36C3" w:rsidP="00EA36C3">
                          <w:pPr>
                            <w:jc w:val="right"/>
                            <w:rPr>
                              <w:rFonts w:ascii="Fira Sans" w:hAnsi="Fira Sans" w:cs="Arial"/>
                              <w:bCs/>
                              <w:i/>
                              <w:i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F089B">
                            <w:rPr>
                              <w:rFonts w:ascii="Fira Sans" w:eastAsia="Times New Roman" w:hAnsi="Fira Sans" w:cstheme="minorHAnsi"/>
                              <w:bCs/>
                              <w:i/>
                              <w:iCs/>
                              <w:color w:val="FFFFFF" w:themeColor="background1"/>
                              <w:lang w:val="es-ES" w:eastAsia="en-GB"/>
                            </w:rPr>
                            <w:t xml:space="preserve">Política </w:t>
                          </w:r>
                          <w:r>
                            <w:rPr>
                              <w:rFonts w:ascii="Fira Sans" w:eastAsia="Times New Roman" w:hAnsi="Fira Sans" w:cstheme="minorHAnsi"/>
                              <w:bCs/>
                              <w:i/>
                              <w:iCs/>
                              <w:color w:val="FFFFFF" w:themeColor="background1"/>
                              <w:lang w:val="es-ES" w:eastAsia="en-GB"/>
                            </w:rPr>
                            <w:t xml:space="preserve">de </w:t>
                          </w:r>
                          <w:r w:rsidRPr="00AF089B">
                            <w:rPr>
                              <w:rFonts w:ascii="Fira Sans" w:eastAsia="Times New Roman" w:hAnsi="Fira Sans" w:cstheme="minorHAnsi"/>
                              <w:bCs/>
                              <w:i/>
                              <w:iCs/>
                              <w:color w:val="FFFFFF" w:themeColor="background1"/>
                              <w:lang w:val="es-ES" w:eastAsia="en-GB"/>
                            </w:rPr>
                            <w:t>I</w:t>
                          </w:r>
                          <w:r>
                            <w:rPr>
                              <w:rFonts w:ascii="Fira Sans" w:eastAsia="Times New Roman" w:hAnsi="Fira Sans" w:cstheme="minorHAnsi"/>
                              <w:bCs/>
                              <w:i/>
                              <w:iCs/>
                              <w:color w:val="FFFFFF" w:themeColor="background1"/>
                              <w:lang w:val="es-ES" w:eastAsia="en-GB"/>
                            </w:rPr>
                            <w:t xml:space="preserve">gualdad </w:t>
                          </w:r>
                          <w:r w:rsidRPr="00AF089B">
                            <w:rPr>
                              <w:rFonts w:ascii="Fira Sans" w:eastAsia="Times New Roman" w:hAnsi="Fira Sans" w:cstheme="minorHAnsi"/>
                              <w:bCs/>
                              <w:i/>
                              <w:iCs/>
                              <w:color w:val="FFFFFF" w:themeColor="background1"/>
                              <w:lang w:val="es-ES" w:eastAsia="en-GB"/>
                            </w:rPr>
                            <w:t>de Género de CARE</w:t>
                          </w:r>
                          <w:r>
                            <w:rPr>
                              <w:rFonts w:ascii="Fira Sans" w:eastAsia="Times New Roman" w:hAnsi="Fira Sans" w:cstheme="minorHAnsi"/>
                              <w:bCs/>
                              <w:i/>
                              <w:iCs/>
                              <w:color w:val="FFFFFF" w:themeColor="background1"/>
                              <w:lang w:val="es-ES" w:eastAsia="en-GB"/>
                            </w:rPr>
                            <w:t xml:space="preserve"> Internacional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55796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93.8pt;margin-top:-19.2pt;width:281.4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" filled="f" stroked="f">
              <v:textbox>
                <w:txbxContent>
                  <w:p w14:paraId="19317053" w14:textId="289B5EAE" w:rsidR="00EA36C3" w:rsidRPr="00AF089B" w:rsidRDefault="00EA36C3" w:rsidP="00EA36C3">
                    <w:pPr>
                      <w:jc w:val="right"/>
                      <w:rPr>
                        <w:rFonts w:ascii="Fira Sans" w:hAnsi="Fira Sans" w:cs="Arial"/>
                        <w:bCs/>
                        <w:i/>
                        <w:iCs/>
                        <w:color w:val="FFFFFF" w:themeColor="background1"/>
                        <w:sz w:val="28"/>
                        <w:szCs w:val="28"/>
                      </w:rPr>
                    </w:pPr>
                    <w:r w:rsidRPr="00AF089B">
                      <w:rPr>
                        <w:rFonts w:ascii="Fira Sans" w:eastAsia="Times New Roman" w:hAnsi="Fira Sans" w:cstheme="minorHAnsi"/>
                        <w:bCs/>
                        <w:i/>
                        <w:iCs/>
                        <w:color w:val="FFFFFF" w:themeColor="background1"/>
                        <w:lang w:val="es-ES" w:eastAsia="en-GB"/>
                      </w:rPr>
                      <w:t xml:space="preserve">Política </w:t>
                    </w:r>
                    <w:r>
                      <w:rPr>
                        <w:rFonts w:ascii="Fira Sans" w:eastAsia="Times New Roman" w:hAnsi="Fira Sans" w:cstheme="minorHAnsi"/>
                        <w:bCs/>
                        <w:i/>
                        <w:iCs/>
                        <w:color w:val="FFFFFF" w:themeColor="background1"/>
                        <w:lang w:val="es-ES" w:eastAsia="en-GB"/>
                      </w:rPr>
                      <w:t xml:space="preserve">de </w:t>
                    </w:r>
                    <w:r w:rsidRPr="00AF089B">
                      <w:rPr>
                        <w:rFonts w:ascii="Fira Sans" w:eastAsia="Times New Roman" w:hAnsi="Fira Sans" w:cstheme="minorHAnsi"/>
                        <w:bCs/>
                        <w:i/>
                        <w:iCs/>
                        <w:color w:val="FFFFFF" w:themeColor="background1"/>
                        <w:lang w:val="es-ES" w:eastAsia="en-GB"/>
                      </w:rPr>
                      <w:t>I</w:t>
                    </w:r>
                    <w:r>
                      <w:rPr>
                        <w:rFonts w:ascii="Fira Sans" w:eastAsia="Times New Roman" w:hAnsi="Fira Sans" w:cstheme="minorHAnsi"/>
                        <w:bCs/>
                        <w:i/>
                        <w:iCs/>
                        <w:color w:val="FFFFFF" w:themeColor="background1"/>
                        <w:lang w:val="es-ES" w:eastAsia="en-GB"/>
                      </w:rPr>
                      <w:t xml:space="preserve">gualdad </w:t>
                    </w:r>
                    <w:r w:rsidRPr="00AF089B">
                      <w:rPr>
                        <w:rFonts w:ascii="Fira Sans" w:eastAsia="Times New Roman" w:hAnsi="Fira Sans" w:cstheme="minorHAnsi"/>
                        <w:bCs/>
                        <w:i/>
                        <w:iCs/>
                        <w:color w:val="FFFFFF" w:themeColor="background1"/>
                        <w:lang w:val="es-ES" w:eastAsia="en-GB"/>
                      </w:rPr>
                      <w:t>de Género de CARE</w:t>
                    </w:r>
                    <w:r>
                      <w:rPr>
                        <w:rFonts w:ascii="Fira Sans" w:eastAsia="Times New Roman" w:hAnsi="Fira Sans" w:cstheme="minorHAnsi"/>
                        <w:bCs/>
                        <w:i/>
                        <w:iCs/>
                        <w:color w:val="FFFFFF" w:themeColor="background1"/>
                        <w:lang w:val="es-ES" w:eastAsia="en-GB"/>
                      </w:rPr>
                      <w:t xml:space="preserve"> Internacional</w:t>
                    </w:r>
                  </w:p>
                </w:txbxContent>
              </v:textbox>
            </v:shape>
          </w:pict>
        </mc:Fallback>
      </mc:AlternateContent>
    </w:r>
    <w:r w:rsidRPr="00EA36C3">
      <w:drawing>
        <wp:anchor distT="0" distB="0" distL="114300" distR="114300" simplePos="0" relativeHeight="251660288" behindDoc="0" locked="0" layoutInCell="1" allowOverlap="1" wp14:anchorId="6C64C037" wp14:editId="733621AE">
          <wp:simplePos x="0" y="0"/>
          <wp:positionH relativeFrom="column">
            <wp:posOffset>-462280</wp:posOffset>
          </wp:positionH>
          <wp:positionV relativeFrom="paragraph">
            <wp:posOffset>-269240</wp:posOffset>
          </wp:positionV>
          <wp:extent cx="1054100" cy="337185"/>
          <wp:effectExtent l="0" t="0" r="0" b="5715"/>
          <wp:wrapNone/>
          <wp:docPr id="5" name="Imagen 5" descr="Un dibujo de un animal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Un dibujo de un animal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100" cy="337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A36C3">
      <mc:AlternateContent>
        <mc:Choice Requires="wps">
          <w:drawing>
            <wp:anchor distT="0" distB="0" distL="114300" distR="114300" simplePos="0" relativeHeight="251659264" behindDoc="0" locked="0" layoutInCell="1" allowOverlap="1" wp14:anchorId="1E0A96BF" wp14:editId="54704F9B">
              <wp:simplePos x="0" y="0"/>
              <wp:positionH relativeFrom="page">
                <wp:posOffset>0</wp:posOffset>
              </wp:positionH>
              <wp:positionV relativeFrom="paragraph">
                <wp:posOffset>-464820</wp:posOffset>
              </wp:positionV>
              <wp:extent cx="7772400" cy="708660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08660"/>
                      </a:xfrm>
                      <a:prstGeom prst="rect">
                        <a:avLst/>
                      </a:prstGeom>
                      <a:solidFill>
                        <a:srgbClr val="E36F1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C08048" id="Rectángulo 17" o:spid="_x0000_s1026" style="position:absolute;margin-left:0;margin-top:-36.6pt;width:612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" fillcolor="#e36f1e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3662E"/>
    <w:multiLevelType w:val="hybridMultilevel"/>
    <w:tmpl w:val="7B529898"/>
    <w:lvl w:ilvl="0" w:tplc="7506DD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F4B3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B6E7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6F2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C2C88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68C9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4AE77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640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72F18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190C60"/>
    <w:multiLevelType w:val="hybridMultilevel"/>
    <w:tmpl w:val="EB3AC2F6"/>
    <w:lvl w:ilvl="0" w:tplc="0FF224FA">
      <w:start w:val="1"/>
      <w:numFmt w:val="decimal"/>
      <w:pStyle w:val="Ttulo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CB3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8219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CD5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C82B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C2F8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70E8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43C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CE52B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B3311F"/>
    <w:multiLevelType w:val="multilevel"/>
    <w:tmpl w:val="870A19A2"/>
    <w:lvl w:ilvl="0">
      <w:start w:val="1"/>
      <w:numFmt w:val="decimal"/>
      <w:pStyle w:val="numeracionytexto"/>
      <w:lvlText w:val="%1."/>
      <w:lvlJc w:val="left"/>
      <w:pPr>
        <w:tabs>
          <w:tab w:val="num" w:pos="567"/>
        </w:tabs>
        <w:ind w:left="567" w:hanging="567"/>
      </w:pPr>
      <w:rPr>
        <w:rFonts w:ascii="Fira Sans Condensed" w:hAnsi="Fira Sans Condensed" w:cs="Times New Roman" w:hint="default"/>
        <w:b/>
        <w:bCs/>
        <w:i w:val="0"/>
        <w:iCs w:val="0"/>
        <w:color w:val="E36F1E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C22817"/>
    <w:multiLevelType w:val="hybridMultilevel"/>
    <w:tmpl w:val="49C80824"/>
    <w:lvl w:ilvl="0" w:tplc="CF70B20C">
      <w:start w:val="1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superscript"/>
      </w:rPr>
    </w:lvl>
    <w:lvl w:ilvl="1" w:tplc="05A049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A665BE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2A34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68B3D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18A25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1ED7C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8AE34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86AA0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62177F"/>
    <w:multiLevelType w:val="hybridMultilevel"/>
    <w:tmpl w:val="78A496C0"/>
    <w:lvl w:ilvl="0" w:tplc="EA8A642C">
      <w:start w:val="1"/>
      <w:numFmt w:val="lowerLetter"/>
      <w:lvlText w:val="%1."/>
      <w:lvlJc w:val="left"/>
      <w:pPr>
        <w:ind w:left="705"/>
      </w:pPr>
      <w:rPr>
        <w:rFonts w:ascii="Fira Sans Condensed" w:eastAsia="Calibri" w:hAnsi="Fira Sans Condensed" w:cs="Calibri" w:hint="default"/>
        <w:b/>
        <w:bCs w:val="0"/>
        <w:i w:val="0"/>
        <w:strike w:val="0"/>
        <w:dstrike w:val="0"/>
        <w:color w:val="E36F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060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62E5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7C48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6E62C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08E4C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447F6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008E4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AE7D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1212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717A0E"/>
    <w:multiLevelType w:val="multilevel"/>
    <w:tmpl w:val="2E7A6D04"/>
    <w:lvl w:ilvl="0">
      <w:start w:val="4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Theme="majorHAnsi" w:hAnsiTheme="majorHAnsi" w:hint="default"/>
        <w:b/>
        <w:bCs/>
        <w:i w:val="0"/>
        <w:iCs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4E26E0"/>
    <w:multiLevelType w:val="hybridMultilevel"/>
    <w:tmpl w:val="65E2EF50"/>
    <w:lvl w:ilvl="0" w:tplc="8E6C3950">
      <w:start w:val="1"/>
      <w:numFmt w:val="decimal"/>
      <w:lvlText w:val="%1."/>
      <w:lvlJc w:val="left"/>
      <w:pPr>
        <w:ind w:left="720" w:hanging="360"/>
      </w:pPr>
      <w:rPr>
        <w:b/>
        <w:bCs/>
        <w:color w:val="E36F1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F4E"/>
    <w:rsid w:val="001A4284"/>
    <w:rsid w:val="007F4F4E"/>
    <w:rsid w:val="00B22264"/>
    <w:rsid w:val="00D90591"/>
    <w:rsid w:val="00EA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0EC9F97"/>
  <w15:docId w15:val="{B9D8ABB5-9E9D-484A-B406-9B9D1DF0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2121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/>
      <w:ind w:left="10" w:hanging="10"/>
      <w:outlineLvl w:val="0"/>
    </w:pPr>
    <w:rPr>
      <w:rFonts w:ascii="Calibri" w:eastAsia="Calibri" w:hAnsi="Calibri" w:cs="Calibri"/>
      <w:b/>
      <w:color w:val="2121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12121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EA3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36C3"/>
    <w:rPr>
      <w:rFonts w:ascii="Calibri" w:eastAsia="Calibri" w:hAnsi="Calibri" w:cs="Calibri"/>
      <w:color w:val="212121"/>
    </w:rPr>
  </w:style>
  <w:style w:type="paragraph" w:styleId="Piedepgina">
    <w:name w:val="footer"/>
    <w:basedOn w:val="Normal"/>
    <w:link w:val="PiedepginaCar"/>
    <w:uiPriority w:val="99"/>
    <w:unhideWhenUsed/>
    <w:rsid w:val="00EA36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36C3"/>
    <w:rPr>
      <w:rFonts w:ascii="Calibri" w:eastAsia="Calibri" w:hAnsi="Calibri" w:cs="Calibri"/>
      <w:color w:val="212121"/>
    </w:rPr>
  </w:style>
  <w:style w:type="paragraph" w:customStyle="1" w:styleId="TtuloCare">
    <w:name w:val="Título_Care+"/>
    <w:basedOn w:val="Normal"/>
    <w:link w:val="TtuloCareCar"/>
    <w:qFormat/>
    <w:rsid w:val="00EA3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Fira Sans" w:eastAsiaTheme="minorHAnsi" w:hAnsi="Fira Sans" w:cstheme="majorHAnsi"/>
      <w:b/>
      <w:color w:val="E36F1E"/>
      <w:sz w:val="32"/>
      <w:szCs w:val="32"/>
      <w:lang w:val="es-ES" w:eastAsia="en-US"/>
    </w:rPr>
  </w:style>
  <w:style w:type="character" w:customStyle="1" w:styleId="TtuloCareCar">
    <w:name w:val="Título_Care+ Car"/>
    <w:basedOn w:val="Fuentedeprrafopredeter"/>
    <w:link w:val="TtuloCare"/>
    <w:rsid w:val="00EA36C3"/>
    <w:rPr>
      <w:rFonts w:ascii="Fira Sans" w:eastAsiaTheme="minorHAnsi" w:hAnsi="Fira Sans" w:cstheme="majorHAnsi"/>
      <w:b/>
      <w:color w:val="E36F1E"/>
      <w:sz w:val="32"/>
      <w:szCs w:val="32"/>
      <w:lang w:val="es-ES" w:eastAsia="en-US"/>
    </w:rPr>
  </w:style>
  <w:style w:type="paragraph" w:customStyle="1" w:styleId="parrafo1">
    <w:name w:val="parrafo 1"/>
    <w:basedOn w:val="Normal"/>
    <w:link w:val="parrafo1Car"/>
    <w:qFormat/>
    <w:rsid w:val="00EA36C3"/>
    <w:pPr>
      <w:spacing w:after="0" w:line="240" w:lineRule="auto"/>
      <w:ind w:left="0" w:firstLine="0"/>
      <w:jc w:val="both"/>
    </w:pPr>
    <w:rPr>
      <w:rFonts w:ascii="Fira Sans Condensed" w:eastAsia="Times New Roman" w:hAnsi="Fira Sans Condensed" w:cstheme="majorHAnsi"/>
      <w:color w:val="5A5B5D"/>
      <w:lang w:val="es-ES" w:eastAsia="en-GB"/>
    </w:rPr>
  </w:style>
  <w:style w:type="paragraph" w:customStyle="1" w:styleId="Subttulo1">
    <w:name w:val="Subtítulo 1"/>
    <w:basedOn w:val="Normal"/>
    <w:link w:val="Subttulo1Car"/>
    <w:qFormat/>
    <w:rsid w:val="00EA36C3"/>
    <w:pPr>
      <w:spacing w:after="0" w:line="240" w:lineRule="auto"/>
      <w:ind w:left="0" w:firstLine="0"/>
    </w:pPr>
    <w:rPr>
      <w:rFonts w:ascii="Fira Sans" w:eastAsiaTheme="minorHAnsi" w:hAnsi="Fira Sans" w:cstheme="majorHAnsi"/>
      <w:b/>
      <w:color w:val="E36F1E"/>
      <w:lang w:val="es-ES" w:eastAsia="en-US"/>
    </w:rPr>
  </w:style>
  <w:style w:type="character" w:customStyle="1" w:styleId="parrafo1Car">
    <w:name w:val="parrafo 1 Car"/>
    <w:basedOn w:val="Fuentedeprrafopredeter"/>
    <w:link w:val="parrafo1"/>
    <w:rsid w:val="00EA36C3"/>
    <w:rPr>
      <w:rFonts w:ascii="Fira Sans Condensed" w:eastAsia="Times New Roman" w:hAnsi="Fira Sans Condensed" w:cstheme="majorHAnsi"/>
      <w:color w:val="5A5B5D"/>
      <w:lang w:val="es-ES" w:eastAsia="en-GB"/>
    </w:rPr>
  </w:style>
  <w:style w:type="character" w:customStyle="1" w:styleId="Subttulo1Car">
    <w:name w:val="Subtítulo 1 Car"/>
    <w:basedOn w:val="Fuentedeprrafopredeter"/>
    <w:link w:val="Subttulo1"/>
    <w:rsid w:val="00EA36C3"/>
    <w:rPr>
      <w:rFonts w:ascii="Fira Sans" w:eastAsiaTheme="minorHAnsi" w:hAnsi="Fira Sans" w:cstheme="majorHAnsi"/>
      <w:b/>
      <w:color w:val="E36F1E"/>
      <w:lang w:val="es-E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A36C3"/>
    <w:pPr>
      <w:spacing w:after="0" w:line="240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n-AU" w:eastAsia="en-US"/>
    </w:rPr>
  </w:style>
  <w:style w:type="paragraph" w:customStyle="1" w:styleId="Estilo1prrafo">
    <w:name w:val="Estilo1 párrafo"/>
    <w:basedOn w:val="Normal"/>
    <w:link w:val="Estilo1prrafoCar"/>
    <w:qFormat/>
    <w:rsid w:val="00EA36C3"/>
    <w:pPr>
      <w:spacing w:after="0" w:line="240" w:lineRule="auto"/>
      <w:ind w:left="0" w:firstLine="0"/>
      <w:jc w:val="both"/>
    </w:pPr>
    <w:rPr>
      <w:rFonts w:ascii="Fira Sans Condensed" w:eastAsia="Times New Roman" w:hAnsi="Fira Sans Condensed" w:cstheme="majorHAnsi"/>
      <w:color w:val="5A5B5D"/>
      <w:lang w:val="es-ES" w:eastAsia="en-GB"/>
    </w:rPr>
  </w:style>
  <w:style w:type="character" w:customStyle="1" w:styleId="Estilo1prrafoCar">
    <w:name w:val="Estilo1 párrafo Car"/>
    <w:basedOn w:val="Fuentedeprrafopredeter"/>
    <w:link w:val="Estilo1prrafo"/>
    <w:rsid w:val="00EA36C3"/>
    <w:rPr>
      <w:rFonts w:ascii="Fira Sans Condensed" w:eastAsia="Times New Roman" w:hAnsi="Fira Sans Condensed" w:cstheme="majorHAnsi"/>
      <w:color w:val="5A5B5D"/>
      <w:lang w:val="es-ES" w:eastAsia="en-GB"/>
    </w:rPr>
  </w:style>
  <w:style w:type="paragraph" w:customStyle="1" w:styleId="numeracionytexto">
    <w:name w:val="numeracion y texto"/>
    <w:basedOn w:val="Prrafodelista"/>
    <w:link w:val="numeracionytextoCar"/>
    <w:qFormat/>
    <w:rsid w:val="00EA36C3"/>
    <w:pPr>
      <w:numPr>
        <w:numId w:val="5"/>
      </w:numPr>
    </w:pPr>
    <w:rPr>
      <w:rFonts w:ascii="Fira Sans" w:hAnsi="Fira Sans" w:cstheme="majorHAnsi"/>
      <w:b/>
      <w:color w:val="E36F1E"/>
      <w:sz w:val="22"/>
      <w:szCs w:val="22"/>
      <w:lang w:val="es-ES"/>
    </w:rPr>
  </w:style>
  <w:style w:type="paragraph" w:customStyle="1" w:styleId="prrafo">
    <w:name w:val="párrafo"/>
    <w:basedOn w:val="Estilo1prrafo"/>
    <w:link w:val="prrafoCar"/>
    <w:qFormat/>
    <w:rsid w:val="00EA36C3"/>
  </w:style>
  <w:style w:type="character" w:customStyle="1" w:styleId="PrrafodelistaCar">
    <w:name w:val="Párrafo de lista Car"/>
    <w:basedOn w:val="Fuentedeprrafopredeter"/>
    <w:link w:val="Prrafodelista"/>
    <w:uiPriority w:val="34"/>
    <w:rsid w:val="00EA36C3"/>
    <w:rPr>
      <w:sz w:val="24"/>
      <w:szCs w:val="24"/>
      <w:lang w:val="en-AU" w:eastAsia="en-US"/>
    </w:rPr>
  </w:style>
  <w:style w:type="character" w:customStyle="1" w:styleId="numeracionytextoCar">
    <w:name w:val="numeracion y texto Car"/>
    <w:basedOn w:val="PrrafodelistaCar"/>
    <w:link w:val="numeracionytexto"/>
    <w:rsid w:val="00EA36C3"/>
    <w:rPr>
      <w:rFonts w:ascii="Fira Sans" w:hAnsi="Fira Sans" w:cstheme="majorHAnsi"/>
      <w:b/>
      <w:color w:val="E36F1E"/>
      <w:sz w:val="24"/>
      <w:szCs w:val="24"/>
      <w:lang w:val="es-ES" w:eastAsia="en-US"/>
    </w:rPr>
  </w:style>
  <w:style w:type="character" w:styleId="Nmerodepgina">
    <w:name w:val="page number"/>
    <w:basedOn w:val="Fuentedeprrafopredeter"/>
    <w:uiPriority w:val="99"/>
    <w:semiHidden/>
    <w:unhideWhenUsed/>
    <w:rsid w:val="001A4284"/>
  </w:style>
  <w:style w:type="character" w:customStyle="1" w:styleId="prrafoCar">
    <w:name w:val="párrafo Car"/>
    <w:basedOn w:val="Estilo1prrafoCar"/>
    <w:link w:val="prrafo"/>
    <w:rsid w:val="00EA36C3"/>
    <w:rPr>
      <w:rFonts w:ascii="Fira Sans Condensed" w:eastAsia="Times New Roman" w:hAnsi="Fira Sans Condensed" w:cstheme="majorHAnsi"/>
      <w:color w:val="5A5B5D"/>
      <w:lang w:val="es-E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2.ohchr.org/english/law/pdf/convention.pdf" TargetMode="External"/><Relationship Id="rId18" Type="http://schemas.openxmlformats.org/officeDocument/2006/relationships/hyperlink" Target="http://www.un.org/womenwatch/daw/cedaw/text/econvention.htm" TargetMode="External"/><Relationship Id="rId26" Type="http://schemas.openxmlformats.org/officeDocument/2006/relationships/hyperlink" Target="http://www.un.org/womenwatch/daw/beijing/platform/" TargetMode="External"/><Relationship Id="rId39" Type="http://schemas.openxmlformats.org/officeDocument/2006/relationships/hyperlink" Target="https://rm.coe.int/CoERMPublicCommonSearchServices/DisplayDCTMContent?documentId=090000168008482e" TargetMode="External"/><Relationship Id="rId21" Type="http://schemas.openxmlformats.org/officeDocument/2006/relationships/hyperlink" Target="http://www.un.org/womenwatch/daw/cedaw/text/econvention.htm" TargetMode="External"/><Relationship Id="rId34" Type="http://schemas.openxmlformats.org/officeDocument/2006/relationships/hyperlink" Target="http://www.achpr.org/files/instruments/women-protocol/achpr_instr_proto_women_eng.pdf" TargetMode="External"/><Relationship Id="rId42" Type="http://schemas.openxmlformats.org/officeDocument/2006/relationships/hyperlink" Target="https://rm.coe.int/CoERMPublicCommonSearchServices/DisplayDCTMContent?documentId=090000168008482e" TargetMode="External"/><Relationship Id="rId7" Type="http://schemas.openxmlformats.org/officeDocument/2006/relationships/hyperlink" Target="http://www.refworld.org/cgi-bin/texis/vtx/rwmain?page=type&amp;type=MULTILATERALTREATY&amp;publisher=UNGA&amp;coi=&amp;docid=3ae6b3b08&amp;skip=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2.ohchr.org/english/law/pdf/protectionwomen.pdf" TargetMode="External"/><Relationship Id="rId29" Type="http://schemas.openxmlformats.org/officeDocument/2006/relationships/hyperlink" Target="http://www.un.org/womenwatch/daw/beijing/platfor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2.ohchr.org/english/law/pdf/convention.pdf" TargetMode="External"/><Relationship Id="rId24" Type="http://schemas.openxmlformats.org/officeDocument/2006/relationships/hyperlink" Target="http://www.un.org/womenwatch/daw/beijing/platform/" TargetMode="External"/><Relationship Id="rId32" Type="http://schemas.openxmlformats.org/officeDocument/2006/relationships/hyperlink" Target="http://www.achpr.org/files/instruments/women-protocol/achpr_instr_proto_women_eng.pdf" TargetMode="External"/><Relationship Id="rId37" Type="http://schemas.openxmlformats.org/officeDocument/2006/relationships/hyperlink" Target="http://www.achpr.org/files/instruments/women-protocol/achpr_instr_proto_women_eng.pdf" TargetMode="External"/><Relationship Id="rId40" Type="http://schemas.openxmlformats.org/officeDocument/2006/relationships/hyperlink" Target="https://rm.coe.int/CoERMPublicCommonSearchServices/DisplayDCTMContent?documentId=090000168008482e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2.ohchr.org/english/law/pdf/protectionwomen.pdf" TargetMode="External"/><Relationship Id="rId23" Type="http://schemas.openxmlformats.org/officeDocument/2006/relationships/hyperlink" Target="http://www.un.org/documents/ga/res/48/a48r104.htm" TargetMode="External"/><Relationship Id="rId28" Type="http://schemas.openxmlformats.org/officeDocument/2006/relationships/hyperlink" Target="http://www.un.org/womenwatch/daw/beijing/platform/" TargetMode="External"/><Relationship Id="rId36" Type="http://schemas.openxmlformats.org/officeDocument/2006/relationships/hyperlink" Target="http://www.achpr.org/files/instruments/women-protocol/achpr_instr_proto_women_eng.pdf" TargetMode="External"/><Relationship Id="rId10" Type="http://schemas.openxmlformats.org/officeDocument/2006/relationships/hyperlink" Target="http://www.refworld.org/cgi-bin/texis/vtx/rwmain?page=type&amp;type=MULTILATERALTREATY&amp;publisher=UNGA&amp;coi=&amp;docid=3ae6b3b08&amp;skip=0" TargetMode="External"/><Relationship Id="rId19" Type="http://schemas.openxmlformats.org/officeDocument/2006/relationships/hyperlink" Target="http://www.un.org/womenwatch/daw/cedaw/text/econvention.htm" TargetMode="External"/><Relationship Id="rId31" Type="http://schemas.openxmlformats.org/officeDocument/2006/relationships/hyperlink" Target="http://www.un.org/womenwatch/daw/cedaw/protocol/text.htm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efworld.org/cgi-bin/texis/vtx/rwmain?page=type&amp;type=MULTILATERALTREATY&amp;publisher=UNGA&amp;coi=&amp;docid=3ae6b3b08&amp;skip=0" TargetMode="External"/><Relationship Id="rId14" Type="http://schemas.openxmlformats.org/officeDocument/2006/relationships/hyperlink" Target="http://www2.ohchr.org/english/law/pdf/protectionwomen.pdf" TargetMode="External"/><Relationship Id="rId22" Type="http://schemas.openxmlformats.org/officeDocument/2006/relationships/hyperlink" Target="http://www.un.org/documents/ga/res/48/a48r104.htm" TargetMode="External"/><Relationship Id="rId27" Type="http://schemas.openxmlformats.org/officeDocument/2006/relationships/hyperlink" Target="http://www.un.org/womenwatch/daw/beijing/platform/" TargetMode="External"/><Relationship Id="rId30" Type="http://schemas.openxmlformats.org/officeDocument/2006/relationships/hyperlink" Target="http://www.un.org/womenwatch/daw/cedaw/protocol/text.htm" TargetMode="External"/><Relationship Id="rId35" Type="http://schemas.openxmlformats.org/officeDocument/2006/relationships/hyperlink" Target="http://www.achpr.org/files/instruments/women-protocol/achpr_instr_proto_women_eng.pdf" TargetMode="External"/><Relationship Id="rId43" Type="http://schemas.openxmlformats.org/officeDocument/2006/relationships/header" Target="header1.xml"/><Relationship Id="rId8" Type="http://schemas.openxmlformats.org/officeDocument/2006/relationships/hyperlink" Target="http://www.refworld.org/cgi-bin/texis/vtx/rwmain?page=type&amp;type=MULTILATERALTREATY&amp;publisher=UNGA&amp;coi=&amp;docid=3ae6b3b08&amp;skip=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2.ohchr.org/english/law/pdf/convention.pdf" TargetMode="External"/><Relationship Id="rId17" Type="http://schemas.openxmlformats.org/officeDocument/2006/relationships/hyperlink" Target="http://www2.ohchr.org/english/law/pdf/protectionwomen.pdf" TargetMode="External"/><Relationship Id="rId25" Type="http://schemas.openxmlformats.org/officeDocument/2006/relationships/hyperlink" Target="http://www.un.org/womenwatch/daw/beijing/platform/" TargetMode="External"/><Relationship Id="rId33" Type="http://schemas.openxmlformats.org/officeDocument/2006/relationships/hyperlink" Target="http://www.achpr.org/files/instruments/women-protocol/achpr_instr_proto_women_eng.pdf" TargetMode="External"/><Relationship Id="rId38" Type="http://schemas.openxmlformats.org/officeDocument/2006/relationships/hyperlink" Target="https://rm.coe.int/CoERMPublicCommonSearchServices/DisplayDCTMContent?documentId=090000168008482e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un.org/womenwatch/daw/cedaw/text/econvention.htm" TargetMode="External"/><Relationship Id="rId41" Type="http://schemas.openxmlformats.org/officeDocument/2006/relationships/hyperlink" Target="https://rm.coe.int/CoERMPublicCommonSearchServices/DisplayDCTMContent?documentId=090000168008482e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gender.care2share.wikispaces.net/file/view/CARE+GBV+Strategy_2015final.pdf" TargetMode="External"/><Relationship Id="rId18" Type="http://schemas.openxmlformats.org/officeDocument/2006/relationships/hyperlink" Target="http://gender.care2share.wikispaces.net/GEWV%20Approach" TargetMode="External"/><Relationship Id="rId26" Type="http://schemas.openxmlformats.org/officeDocument/2006/relationships/hyperlink" Target="http://gender.care2share.wikispaces.net/GEWV%20Approach" TargetMode="External"/><Relationship Id="rId39" Type="http://schemas.openxmlformats.org/officeDocument/2006/relationships/hyperlink" Target="http://www.care.org/sites/default/files/documents/SII%20Women%27s%20Empowerment%20%20and%20Organizing%20Brief%202009.pdf" TargetMode="External"/><Relationship Id="rId21" Type="http://schemas.openxmlformats.org/officeDocument/2006/relationships/hyperlink" Target="http://gender.care2share.wikispaces.net/CARE+Rapid+Gender+Analysis+Toolkit" TargetMode="External"/><Relationship Id="rId34" Type="http://schemas.openxmlformats.org/officeDocument/2006/relationships/hyperlink" Target="https://www.care.org/sites/default/files/documents/CARE%20GBV%20M%26E%20Guidance_0.pdf" TargetMode="External"/><Relationship Id="rId42" Type="http://schemas.openxmlformats.org/officeDocument/2006/relationships/hyperlink" Target="http://careglobalmel.care2share.wikispaces.net/MEL%20Approach%2C%20Principles%20and%20Standards" TargetMode="External"/><Relationship Id="rId7" Type="http://schemas.openxmlformats.org/officeDocument/2006/relationships/hyperlink" Target="http://gender.care2share.wikispaces.net/file/view/CI+Gender+Equality+and+Womens+Voice+Guidance+Note+(1+april+16).pdf" TargetMode="External"/><Relationship Id="rId2" Type="http://schemas.openxmlformats.org/officeDocument/2006/relationships/hyperlink" Target="https://www.care.org/about/mission-vision" TargetMode="External"/><Relationship Id="rId16" Type="http://schemas.openxmlformats.org/officeDocument/2006/relationships/hyperlink" Target="http://gender.care2share.wikispaces.net/GEWV%20Approach" TargetMode="External"/><Relationship Id="rId29" Type="http://schemas.openxmlformats.org/officeDocument/2006/relationships/hyperlink" Target="http://gender.care2share.wikispaces.net/Engaging%20Men%20%26%20Boys" TargetMode="External"/><Relationship Id="rId1" Type="http://schemas.openxmlformats.org/officeDocument/2006/relationships/hyperlink" Target="https://www.care.org/about/mission-vision" TargetMode="External"/><Relationship Id="rId6" Type="http://schemas.openxmlformats.org/officeDocument/2006/relationships/hyperlink" Target="http://governance.care2share.wikispaces.net/Policies" TargetMode="External"/><Relationship Id="rId11" Type="http://schemas.openxmlformats.org/officeDocument/2006/relationships/hyperlink" Target="http://gender.care2share.wikispaces.net/file/view/CARE+GBV+Strategy_2015final.pdf" TargetMode="External"/><Relationship Id="rId24" Type="http://schemas.openxmlformats.org/officeDocument/2006/relationships/hyperlink" Target="http://gender.care2share.wikispaces.net/GEWV%20Approach" TargetMode="External"/><Relationship Id="rId32" Type="http://schemas.openxmlformats.org/officeDocument/2006/relationships/hyperlink" Target="https://www.care.org/sites/default/files/documents/CARE%20GBV%20M%26E%20Guidance_0.pdf" TargetMode="External"/><Relationship Id="rId37" Type="http://schemas.openxmlformats.org/officeDocument/2006/relationships/hyperlink" Target="https://www.care.org/sites/default/files/documents/CARE%20GBV%20M%26E%20Guidance_0.pdf" TargetMode="External"/><Relationship Id="rId40" Type="http://schemas.openxmlformats.org/officeDocument/2006/relationships/hyperlink" Target="http://www.care.org/sites/default/files/documents/SII%20Women%27s%20Empowerment%20%20and%20Organizing%20Brief%202009.pdf" TargetMode="External"/><Relationship Id="rId45" Type="http://schemas.openxmlformats.org/officeDocument/2006/relationships/hyperlink" Target="http://careglobalmel.care2share.wikispaces.net/CARE%202020%20Strategy%20-%20Global%20Indicators%20and%20Markers" TargetMode="External"/><Relationship Id="rId5" Type="http://schemas.openxmlformats.org/officeDocument/2006/relationships/hyperlink" Target="http://governance.care2share.wikispaces.net/Policies" TargetMode="External"/><Relationship Id="rId15" Type="http://schemas.openxmlformats.org/officeDocument/2006/relationships/hyperlink" Target="http://gender.care2share.wikispaces.net/file/view/CARE+GBV+Strategy_2015final.pdf" TargetMode="External"/><Relationship Id="rId23" Type="http://schemas.openxmlformats.org/officeDocument/2006/relationships/hyperlink" Target="http://gender.care2share.wikispaces.net/CARE+Rapid+Gender+Analysis+Toolkit" TargetMode="External"/><Relationship Id="rId28" Type="http://schemas.openxmlformats.org/officeDocument/2006/relationships/hyperlink" Target="http://gender.care2share.wikispaces.net/CARE+Gender+Marker+new+improved+version%21+%28June+2016%29" TargetMode="External"/><Relationship Id="rId36" Type="http://schemas.openxmlformats.org/officeDocument/2006/relationships/hyperlink" Target="https://www.care.org/sites/default/files/documents/CARE%20GBV%20M%26E%20Guidance_0.pdf" TargetMode="External"/><Relationship Id="rId10" Type="http://schemas.openxmlformats.org/officeDocument/2006/relationships/hyperlink" Target="http://gender.care2share.wikispaces.net/file/view/CARE+GBV+Strategy_2015final.pdf" TargetMode="External"/><Relationship Id="rId19" Type="http://schemas.openxmlformats.org/officeDocument/2006/relationships/hyperlink" Target="http://gender.care2share.wikispaces.net/CARE+Rapid+Gender+Analysis+Toolkit" TargetMode="External"/><Relationship Id="rId31" Type="http://schemas.openxmlformats.org/officeDocument/2006/relationships/hyperlink" Target="http://gender.care2share.wikispaces.net/Engaging%20Men%20%26%20Boys" TargetMode="External"/><Relationship Id="rId44" Type="http://schemas.openxmlformats.org/officeDocument/2006/relationships/hyperlink" Target="http://careglobalmel.care2share.wikispaces.net/CARE%202020%20Strategy%20-%20Global%20Indicators%20and%20Markers" TargetMode="External"/><Relationship Id="rId4" Type="http://schemas.openxmlformats.org/officeDocument/2006/relationships/hyperlink" Target="http://governance.care2share.wikispaces.net/Policies" TargetMode="External"/><Relationship Id="rId9" Type="http://schemas.openxmlformats.org/officeDocument/2006/relationships/hyperlink" Target="http://gender.care2share.wikispaces.net/file/view/CI+Gender+Equality+and+Womens+Voice+Guidance+Note+(1+april+16).pdf" TargetMode="External"/><Relationship Id="rId14" Type="http://schemas.openxmlformats.org/officeDocument/2006/relationships/hyperlink" Target="http://gender.care2share.wikispaces.net/file/view/CARE+GBV+Strategy_2015final.pdf" TargetMode="External"/><Relationship Id="rId22" Type="http://schemas.openxmlformats.org/officeDocument/2006/relationships/hyperlink" Target="http://gender.care2share.wikispaces.net/CARE+Rapid+Gender+Analysis+Toolkit" TargetMode="External"/><Relationship Id="rId27" Type="http://schemas.openxmlformats.org/officeDocument/2006/relationships/hyperlink" Target="http://gender.care2share.wikispaces.net/CARE+Gender+Marker+new+improved+version%21+%28June+2016%29" TargetMode="External"/><Relationship Id="rId30" Type="http://schemas.openxmlformats.org/officeDocument/2006/relationships/hyperlink" Target="http://gender.care2share.wikispaces.net/Engaging%20Men%20%26%20Boys" TargetMode="External"/><Relationship Id="rId35" Type="http://schemas.openxmlformats.org/officeDocument/2006/relationships/hyperlink" Target="https://www.care.org/sites/default/files/documents/CARE%20GBV%20M%26E%20Guidance_0.pdf" TargetMode="External"/><Relationship Id="rId43" Type="http://schemas.openxmlformats.org/officeDocument/2006/relationships/hyperlink" Target="http://careglobalmel.care2share.wikispaces.net/MEL%20Approach%2C%20Principles%20and%20Standards" TargetMode="External"/><Relationship Id="rId8" Type="http://schemas.openxmlformats.org/officeDocument/2006/relationships/hyperlink" Target="http://gender.care2share.wikispaces.net/file/view/CI+Gender+Equality+and+Womens+Voice+Guidance+Note+(1+april+16).pdf" TargetMode="External"/><Relationship Id="rId3" Type="http://schemas.openxmlformats.org/officeDocument/2006/relationships/hyperlink" Target="https://www.care.org/about/mission-vision" TargetMode="External"/><Relationship Id="rId12" Type="http://schemas.openxmlformats.org/officeDocument/2006/relationships/hyperlink" Target="http://gender.care2share.wikispaces.net/file/view/CARE+GBV+Strategy_2015final.pdf" TargetMode="External"/><Relationship Id="rId17" Type="http://schemas.openxmlformats.org/officeDocument/2006/relationships/hyperlink" Target="http://gender.care2share.wikispaces.net/GEWV%20Approach" TargetMode="External"/><Relationship Id="rId25" Type="http://schemas.openxmlformats.org/officeDocument/2006/relationships/hyperlink" Target="http://gender.care2share.wikispaces.net/GEWV%20Approach" TargetMode="External"/><Relationship Id="rId33" Type="http://schemas.openxmlformats.org/officeDocument/2006/relationships/hyperlink" Target="https://www.care.org/sites/default/files/documents/CARE%20GBV%20M%26E%20Guidance_0.pdf" TargetMode="External"/><Relationship Id="rId38" Type="http://schemas.openxmlformats.org/officeDocument/2006/relationships/hyperlink" Target="https://www.care.org/sites/default/files/documents/CARE%20GBV%20M%26E%20Guidance_0.pdf" TargetMode="External"/><Relationship Id="rId46" Type="http://schemas.openxmlformats.org/officeDocument/2006/relationships/hyperlink" Target="http://careglobalmel.care2share.wikispaces.net/CARE%202020%20Strategy%20-%20Global%20Indicators%20and%20Markers" TargetMode="External"/><Relationship Id="rId20" Type="http://schemas.openxmlformats.org/officeDocument/2006/relationships/hyperlink" Target="http://gender.care2share.wikispaces.net/CARE+Rapid+Gender+Analysis+Toolkit" TargetMode="External"/><Relationship Id="rId41" Type="http://schemas.openxmlformats.org/officeDocument/2006/relationships/hyperlink" Target="http://www.care.org/sites/default/files/documents/SII%20Women%27s%20Empowerment%20%20and%20Organizing%20Brief%202009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2393</Words>
  <Characters>13167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Sprechmann, Sofia</dc:creator>
  <cp:keywords/>
  <cp:lastModifiedBy>Vargas Caceres, Leticia Giovana</cp:lastModifiedBy>
  <cp:revision>2</cp:revision>
  <dcterms:created xsi:type="dcterms:W3CDTF">2021-10-06T20:50:00Z</dcterms:created>
  <dcterms:modified xsi:type="dcterms:W3CDTF">2021-10-06T20:50:00Z</dcterms:modified>
</cp:coreProperties>
</file>