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60"/>
      </w:pPr>
      <w:r>
        <w:rPr>
          <w:rFonts w:ascii="Georgia" w:hAnsi="Georgia"/>
          <w:b/>
          <w:color w:val="000000"/>
          <w:sz w:val="40"/>
        </w:rPr>
        <w:t>Evaluating MITRE ATT&amp;CK-Grounded RAG for Technique Attribution from Windows Endpoint Logs: A Replication-and-Extension Study</w:t>
      </w:r>
    </w:p>
    <w:p>
      <w:pPr>
        <w:keepLines/>
        <w:spacing w:before="80" w:after="40" w:line="276" w:lineRule="auto"/>
        <w:ind w:left="432" w:right="288"/>
        <w:pBdr>
          <w:left w:val="single" w:sz="24" w:space="8" w:color="D97706"/>
        </w:pBdr>
        <w:shd w:fill="FFFBEB"/>
      </w:pPr>
      <w:r>
        <w:rPr>
          <w:b/>
          <w:sz w:val="20"/>
        </w:rPr>
        <w:t>[CANONICAL CANDIDATE — PENDING ROOT FINAL REVIEW]</w:t>
      </w:r>
    </w:p>
    <w:p>
      <w:pPr>
        <w:keepLines/>
        <w:spacing w:before="0" w:after="40" w:line="276" w:lineRule="auto"/>
        <w:ind w:left="432" w:right="288"/>
        <w:pBdr>
          <w:left w:val="single" w:sz="24" w:space="8" w:color="D97706"/>
        </w:pBdr>
        <w:shd w:fill="FFFBEB"/>
      </w:pPr>
      <w:r>
        <w:rPr>
          <w:sz w:val="20"/>
        </w:rPr>
        <w:t>This scientific report document is a canonical candidate bound to the frozen canonical metric bundle v2 (</w:t>
      </w:r>
      <w:r>
        <w:rPr>
          <w:rFonts w:ascii="Consolas" w:hAnsi="Consolas"/>
          <w:color w:val="8A1F11"/>
          <w:sz w:val="20"/>
        </w:rPr>
        <w:t>442b5933858caafc9da3c06ee9398637213ed30d7a7db80195c0babb1195ef34</w:t>
      </w:r>
      <w:r>
        <w:rPr>
          <w:sz w:val="20"/>
        </w:rPr>
        <w:t>).</w:t>
      </w:r>
    </w:p>
    <w:p>
      <w:pPr>
        <w:keepLines/>
        <w:spacing w:before="0" w:after="80" w:line="276" w:lineRule="auto"/>
        <w:ind w:left="432" w:right="288"/>
        <w:pBdr>
          <w:left w:val="single" w:sz="24" w:space="8" w:color="D97706"/>
        </w:pBdr>
        <w:shd w:fill="FFFBEB"/>
      </w:pPr>
      <w:r>
        <w:rPr>
          <w:sz w:val="20"/>
        </w:rPr>
        <w:t>It does not constitute a final certified release until Root final review is completed.</w:t>
      </w:r>
    </w:p>
    <w:p>
      <w:r>
        <w:rPr>
          <w:b/>
        </w:rPr>
        <w:t>Author:</w:t>
      </w:r>
      <w:r>
        <w:t xml:space="preserve"> Hà Hoàng Bách</w:t>
      </w:r>
    </w:p>
    <w:p>
      <w:r>
        <w:rPr>
          <w:b/>
        </w:rPr>
        <w:t>Project:</w:t>
      </w:r>
      <w:r>
        <w:t xml:space="preserve"> RAG2ATT&amp;CK</w:t>
      </w:r>
    </w:p>
    <w:p>
      <w:r>
        <w:rPr>
          <w:b/>
        </w:rPr>
        <w:t>Date:</w:t>
      </w:r>
      <w:r>
        <w:t xml:space="preserve"> October 2026</w:t>
      </w:r>
    </w:p>
    <w:p>
      <w:r>
        <w:rPr>
          <w:b/>
        </w:rPr>
        <w:t>Status:</w:t>
      </w:r>
      <w:r>
        <w:t xml:space="preserve"> CANONICAL CANDIDATE — PENDING ROOT FINAL REVIEW (CORRECTED RELEASE CANDIDATE — PENDING OWNER CLOSEOUT SIGN-OFF)</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pPr>
        <w:spacing w:before="120" w:after="120"/>
        <w:pBdr>
          <w:bottom w:val="single" w:sz="6" w:space="1" w:color="D0D7DE"/>
        </w:pBdr>
      </w:pPr>
    </w:p>
    <w:p>
      <w:pPr>
        <w:keepLines/>
        <w:spacing w:before="80" w:after="40" w:line="276" w:lineRule="auto"/>
        <w:ind w:left="432" w:right="288"/>
        <w:pBdr>
          <w:left w:val="single" w:sz="24" w:space="8" w:color="0969DA"/>
        </w:pBdr>
        <w:shd w:fill="F0F4F8"/>
      </w:pPr>
      <w:r>
        <w:rPr>
          <w:b/>
          <w:sz w:val="20"/>
        </w:rPr>
        <w:t>CANONICAL CANDIDATE METRIC BUNDLE V2 BOUND</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Bundle Type: </w:t>
      </w:r>
      <w:r>
        <w:rPr>
          <w:rFonts w:ascii="Consolas" w:hAnsi="Consolas"/>
          <w:color w:val="8A1F11"/>
          <w:sz w:val="20"/>
        </w:rPr>
        <w:t>canonical-metric-bundle-v2</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Seal Status: </w:t>
      </w:r>
      <w:r>
        <w:rPr>
          <w:rFonts w:ascii="Consolas" w:hAnsi="Consolas"/>
          <w:color w:val="8A1F11"/>
          <w:sz w:val="20"/>
        </w:rPr>
        <w:t>ROOT_ACCEPTED_FROZEN_METRIC_BUNDLE</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Schema Version: </w:t>
      </w:r>
      <w:r>
        <w:rPr>
          <w:rFonts w:ascii="Consolas" w:hAnsi="Consolas"/>
          <w:color w:val="8A1F11"/>
          <w:sz w:val="20"/>
        </w:rPr>
        <w:t>2.0.0</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Experiment ID: </w:t>
      </w:r>
      <w:r>
        <w:rPr>
          <w:rFonts w:ascii="Consolas" w:hAnsi="Consolas"/>
          <w:color w:val="8A1F11"/>
          <w:sz w:val="20"/>
        </w:rPr>
        <w:t>synthetic-paired-test-1</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Run ID: </w:t>
      </w:r>
      <w:r>
        <w:rPr>
          <w:rFonts w:ascii="Consolas" w:hAnsi="Consolas"/>
          <w:color w:val="8A1F11"/>
          <w:sz w:val="20"/>
        </w:rPr>
        <w:t>live-66b94b1676bf46a9</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Protocol Version: </w:t>
      </w:r>
      <w:r>
        <w:rPr>
          <w:rFonts w:ascii="Consolas" w:hAnsi="Consolas"/>
          <w:color w:val="8A1F11"/>
          <w:sz w:val="20"/>
        </w:rPr>
        <w:t>experiment-protocol-v1.1</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Bundle Digest: </w:t>
      </w:r>
      <w:r>
        <w:rPr>
          <w:rFonts w:ascii="Consolas" w:hAnsi="Consolas"/>
          <w:color w:val="8A1F11"/>
          <w:sz w:val="20"/>
        </w:rPr>
        <w:t>442b5933858caafc9da3c06ee9398637213ed30d7a7db80195c0babb1195ef34</w:t>
      </w:r>
    </w:p>
    <w:p>
      <w:pPr>
        <w:keepLines/>
        <w:spacing w:before="0" w:after="80" w:line="276" w:lineRule="auto"/>
        <w:ind w:left="432" w:right="288"/>
        <w:pBdr>
          <w:left w:val="single" w:sz="24" w:space="8" w:color="0969DA"/>
        </w:pBdr>
        <w:shd w:fill="F0F4F8"/>
      </w:pPr>
      <w:r>
        <w:rPr>
          <w:rFonts w:ascii="Calibri" w:hAnsi="Calibri"/>
          <w:b/>
          <w:sz w:val="20"/>
        </w:rPr>
        <w:t xml:space="preserve">•  </w:t>
      </w:r>
      <w:r>
        <w:rPr>
          <w:sz w:val="20"/>
        </w:rPr>
        <w:t xml:space="preserve">Terminal Seal SHA-256: </w:t>
      </w:r>
      <w:r>
        <w:rPr>
          <w:rFonts w:ascii="Consolas" w:hAnsi="Consolas"/>
          <w:color w:val="8A1F11"/>
          <w:sz w:val="20"/>
        </w:rPr>
        <w:t>ae7a9ada86927a79e0c6916b44d3f0ba9e1f9756df55dd7b2fce712b35d48701</w:t>
      </w:r>
    </w:p>
    <w:p>
      <w:pPr>
        <w:pStyle w:val="Heading1"/>
        <w:keepNext/>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w:t>
      </w:r>
      <m:oMath>
        <m:r>
          <m:t>k</m:t>
        </m:r>
        <m:r>
          <m:t>∈</m:t>
        </m:r>
        <m:r>
          <m:t>{</m:t>
        </m:r>
        <m:r>
          <m:t>1</m:t>
        </m:r>
        <m:r>
          <m:t>,</m:t>
        </m:r>
        <m:r>
          <m:t>3</m:t>
        </m:r>
        <m:r>
          <m:t>,</m:t>
        </m:r>
        <m:r>
          <m:t>5</m:t>
        </m:r>
        <m:r>
          <m:t>,</m:t>
        </m:r>
        <m:r>
          <m:t>10</m:t>
        </m:r>
        <m:r>
          <m:t>}</m:t>
        </m:r>
      </m:oMath>
      <w:r>
        <w:t xml:space="preserve">)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52 template families, featuring matched single-event and contextual-event representations). Across the 5 experimental conditions, all 1,280 test samples are evaluated, producing exactly </w:t>
      </w:r>
      <w:r>
        <w:rPr>
          <w:b/>
        </w:rPr>
        <w:t>6,400 execution records</w:t>
      </w:r>
      <w:r>
        <w:t xml:space="preserve"> (</w:t>
      </w:r>
      <m:oMath>
        <m:r>
          <m:t>1</m:t>
        </m:r>
        <m:r>
          <m:t>,</m:t>
        </m:r>
        <m:r>
          <m:t>280</m:t>
        </m:r>
        <m:r>
          <m:t>×</m:t>
        </m:r>
        <m:r>
          <m:t>5</m:t>
        </m:r>
      </m:oMath>
      <w:r>
        <w:t xml:space="preserve">).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benchmark operates strictly on synthetic paired data (</w:t>
      </w:r>
      <w:r>
        <w:rPr>
          <w:rFonts w:ascii="Consolas" w:hAnsi="Consolas"/>
          <w:color w:val="8A1F11"/>
          <w:sz w:val="19"/>
        </w:rPr>
        <w:t>synthetic-paired-v1</w:t>
      </w:r>
      <w:r>
        <w:t>) and does NOT evaluate real-world telemetry, where ground-truth support in the TEST cohort is concentrated across 8 active techniques within the frozen 474-class taxonomy. Forensic analysis of historical public Windows-APT telemetry revealed unresolved cell discrepancies and precision inconsistencies during reconciliation, preventing independent verification of authoritative ground truth; consequently, our findings are strictly bounded to the synthetic benchmark, and generalization to real-world enterprise telemetry remains completely unproven.</w:t>
      </w:r>
    </w:p>
    <w:p>
      <w:r>
        <w:t xml:space="preserve">In our canonical live evaluation across the 718 scorable TEST views, No-RAG attains an end-to-end headline accuracy of 77.99% (560/718), while RAG at </w:t>
      </w:r>
      <m:oMath>
        <m:r>
          <m:t>k</m:t>
        </m:r>
        <m:r>
          <m:t>=</m:t>
        </m:r>
        <m:r>
          <m:t>10</m:t>
        </m:r>
      </m:oMath>
      <w:r>
        <w:t xml:space="preserve"> achieves 79.53% (571/718, </w:t>
      </w:r>
      <m:oMath>
        <m:r>
          <m:t>Δ</m:t>
        </m:r>
        <m:r>
          <m:t>=</m:t>
        </m:r>
        <m:r>
          <m:t>+</m:t>
        </m:r>
        <m:r>
          <m:t>1</m:t>
        </m:r>
        <m:r>
          <m:t>.</m:t>
        </m:r>
        <m:r>
          <m:t>532</m:t>
        </m:r>
        <m:r>
          <m:rPr>
            <m:nor/>
          </m:rPr>
          <m:t> pp</m:t>
        </m:r>
      </m:oMath>
      <w:r>
        <w:t xml:space="preserve">). A cluster bootstrap 95% confidence interval for </w:t>
      </w:r>
      <m:oMath>
        <m:r>
          <m:t>Δ</m:t>
        </m:r>
      </m:oMath>
      <w:r>
        <w:t xml:space="preserve"> yields </w:t>
      </w:r>
      <m:oMath>
        <m:r>
          <m:t>[</m:t>
        </m:r>
        <m:r>
          <m:t>-</m:t>
        </m:r>
        <m:r>
          <m:t>2</m:t>
        </m:r>
        <m:r>
          <m:t>.</m:t>
        </m:r>
        <m:r>
          <m:t>355</m:t>
        </m:r>
        <m:r>
          <m:rPr>
            <m:nor/>
          </m:rPr>
          <m:t> pp</m:t>
        </m:r>
        <m:r>
          <m:t>,</m:t>
        </m:r>
        <m:r>
          <m:t>+</m:t>
        </m:r>
        <m:r>
          <m:t>5</m:t>
        </m:r>
        <m:r>
          <m:t>.</m:t>
        </m:r>
        <m:r>
          <m:t>300</m:t>
        </m:r>
        <m:r>
          <m:rPr>
            <m:nor/>
          </m:rPr>
          <m:t> pp</m:t>
        </m:r>
        <m:r>
          <m:t>]</m:t>
        </m:r>
      </m:oMath>
      <w:r>
        <w:t xml:space="preserve"> and spans zero (exact two-sided McNemar </w:t>
      </w:r>
      <m:oMath>
        <m:r>
          <m:t>p</m:t>
        </m:r>
        <m:r>
          <m:t>=</m:t>
        </m:r>
        <m:r>
          <m:t>0</m:t>
        </m:r>
        <m:r>
          <m:t>.</m:t>
        </m:r>
        <m:r>
          <m:t>4219</m:t>
        </m:r>
      </m:oMath>
      <w:r>
        <w:t xml:space="preserve">), establishing no statistically significant accuracy difference on this benchmark. Decoupled error analysis reveals that 80.95% of classification errors at </w:t>
      </w:r>
      <m:oMath>
        <m:r>
          <m:t>k</m:t>
        </m:r>
        <m:r>
          <m:t>=</m:t>
        </m:r>
        <m:r>
          <m:t>10</m:t>
        </m:r>
      </m:oMath>
      <w:r>
        <w:t xml:space="preserve"> (119/147) occur in the retrieval miss branch, where conditional accuracy drops from </w:t>
      </w:r>
      <m:oMath>
        <m:r>
          <m:t>P</m:t>
        </m:r>
        <m:r>
          <m:t>(</m:t>
        </m:r>
        <m:r>
          <m:rPr>
            <m:nor/>
          </m:rPr>
          <m:t>Correct</m:t>
        </m:r>
        <m:r>
          <m:t>|</m:t>
        </m:r>
        <m:r>
          <m:rPr>
            <m:nor/>
          </m:rPr>
          <m:t>Retrieved</m:t>
        </m:r>
        <m:r>
          <m:t>)</m:t>
        </m:r>
        <m:r>
          <m:t>=</m:t>
        </m:r>
        <m:r>
          <m:t>91</m:t>
        </m:r>
        <m:r>
          <m:t>.</m:t>
        </m:r>
        <m:r>
          <m:t>28</m:t>
        </m:r>
        <m:r>
          <m:t>%</m:t>
        </m:r>
      </m:oMath>
      <w:r>
        <w:t xml:space="preserve"> (293/321) to </w:t>
      </w:r>
      <m:oMath>
        <m:r>
          <m:t>P</m:t>
        </m:r>
        <m:r>
          <m:t>(</m:t>
        </m:r>
        <m:r>
          <m:rPr>
            <m:nor/>
          </m:rPr>
          <m:t>Correct</m:t>
        </m:r>
        <m:r>
          <m:t>|</m:t>
        </m:r>
        <m:r>
          <m:rPr>
            <m:nor/>
          </m:rPr>
          <m:t>Absent</m:t>
        </m:r>
        <m:r>
          <m:t>)</m:t>
        </m:r>
        <m:r>
          <m:t>=</m:t>
        </m:r>
        <m:r>
          <m:t>70</m:t>
        </m:r>
        <m:r>
          <m:t>.</m:t>
        </m:r>
        <m:r>
          <m:t>03</m:t>
        </m:r>
        <m:r>
          <m:t>%</m:t>
        </m:r>
      </m:oMath>
      <w:r>
        <w:t xml:space="preserve"> (278/397). Canonical TEST retrieval diagnostics show </w:t>
      </w:r>
      <m:oMath>
        <m:r>
          <m:t>Hit</m:t>
        </m:r>
        <m:r>
          <m:t>@</m:t>
        </m:r>
        <m:r>
          <m:t>1</m:t>
        </m:r>
        <m:r>
          <m:t>=</m:t>
        </m:r>
        <m:r>
          <m:t>3</m:t>
        </m:r>
        <m:r>
          <m:t>.</m:t>
        </m:r>
        <m:r>
          <m:t>760</m:t>
        </m:r>
        <m:r>
          <m:t>%</m:t>
        </m:r>
      </m:oMath>
      <w:r>
        <w:t xml:space="preserve"> (27/718) and </w:t>
      </w:r>
      <m:oMath>
        <m:r>
          <m:t>Hit</m:t>
        </m:r>
        <m:r>
          <m:t>@</m:t>
        </m:r>
        <m:r>
          <m:t>10</m:t>
        </m:r>
        <m:r>
          <m:t>=</m:t>
        </m:r>
        <m:r>
          <m:t>44</m:t>
        </m:r>
        <m:r>
          <m:t>.</m:t>
        </m:r>
        <m:r>
          <m:t>708</m:t>
        </m:r>
        <m:r>
          <m:t>%</m:t>
        </m:r>
      </m:oMath>
      <w:r>
        <w:t xml:space="preserve"> (321/718), with no ground-truth technique retrieved within Top-10 in 55.2925% of scorable views (397/718); we frame these retrieval challenges as observational hypotheses related to command-line argument variation and contextual dilution rather than established causal mechanisms. The canonical campaign completed 6,400 dispatches with zero provider failures on the 718 scorable records (and 13 INCOMPLETE records reaching the 8,192 output token limit among 11 unmapped and 2 ambiguous views in the completed canonical matrix), settling at USD 6.57575890 (USD 6.62839900 total committed spend inclusive of USD 0.05264010 pilot hold) under the authorized USD 19.99 budget ceiling (USD 13.36160100 uncommitted budget remaining).</w:t>
      </w:r>
    </w:p>
    <w:p>
      <w:pPr>
        <w:spacing w:before="120" w:after="120"/>
        <w:pBdr>
          <w:bottom w:val="single" w:sz="6" w:space="1" w:color="D0D7DE"/>
        </w:pBdr>
      </w:pPr>
    </w:p>
    <w:p>
      <w:pPr>
        <w:pStyle w:val="Heading1"/>
        <w:keepNext/>
        <w:spacing w:before="280" w:after="120"/>
      </w:pPr>
      <w:r>
        <w:rPr>
          <w:rFonts w:ascii="Georgia" w:hAnsi="Georgia"/>
          <w:b/>
          <w:color w:val="0A2540"/>
          <w:sz w:val="28"/>
        </w:rPr>
        <w:t>1. Introduction</w:t>
      </w:r>
    </w:p>
    <w:p>
      <w:pPr>
        <w:pStyle w:val="Heading2"/>
        <w:keepNext/>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keepNext/>
        <w:spacing w:before="200" w:after="80"/>
      </w:pPr>
      <w:r>
        <w:rPr>
          <w:rFonts w:ascii="Calibri" w:hAnsi="Calibri"/>
          <w:b/>
          <w:color w:val="1F2328"/>
          <w:sz w:val="24"/>
        </w:rPr>
        <w:t>1.2 LLMs and the RAG Paradigm in Threat Attribution</w:t>
      </w:r>
    </w:p>
    <w:p>
      <w:r>
        <w:t xml:space="preserve">Commercial foundation models with extended internal reasoning capabilities (such as OpenAI's </w:t>
      </w:r>
      <w:r>
        <w:rPr>
          <w:rFonts w:ascii="Consolas" w:hAnsi="Consolas"/>
          <w:color w:val="8A1F11"/>
          <w:sz w:val="19"/>
        </w:rPr>
        <w:t>gpt-5.6-luna</w:t>
      </w:r>
      <w:r>
        <w:t>) provide architectural support for structured output schemas and multi-step reasoning over dense technical context, serving as motivation for automated threat attribution workflows [2, 3]. However, relying solely on an LLM's internal parametric memory poses operational risks in security-critical environments:</w:t>
      </w:r>
    </w:p>
    <w:p>
      <w:pPr>
        <w:spacing w:after="40" w:line="276" w:lineRule="auto"/>
        <w:ind w:left="432" w:hanging="288"/>
      </w:pPr>
      <w:r>
        <w:rPr>
          <w:rFonts w:ascii="Calibri" w:hAnsi="Calibri"/>
          <w:b/>
          <w:color w:val="24292F"/>
        </w:rPr>
        <w:t xml:space="preserve">1. </w:t>
      </w: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spacing w:after="40" w:line="276" w:lineRule="auto"/>
        <w:ind w:left="432" w:hanging="288"/>
      </w:pPr>
      <w:r>
        <w:rPr>
          <w:rFonts w:ascii="Calibri" w:hAnsi="Calibri"/>
          <w:b/>
          <w:color w:val="24292F"/>
        </w:rPr>
        <w:t xml:space="preserve">2. </w:t>
      </w:r>
      <w:r>
        <w:rPr>
          <w:b/>
        </w:rPr>
        <w:t>Knowledge Obsolescence:</w:t>
      </w:r>
      <w:r>
        <w:t xml:space="preserve"> Static model weights cannot reflect updates, deprecations, or newly introduced techniques in quarterly ATT&amp;CK releases.</w:t>
      </w:r>
    </w:p>
    <w:p>
      <w:pPr>
        <w:spacing w:after="40" w:line="276" w:lineRule="auto"/>
        <w:ind w:left="432" w:hanging="288"/>
      </w:pPr>
      <w:r>
        <w:rPr>
          <w:rFonts w:ascii="Calibri" w:hAnsi="Calibri"/>
          <w:b/>
          <w:color w:val="24292F"/>
        </w:rPr>
        <w:t xml:space="preserve">3. </w:t>
      </w: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keepNext/>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interpretation (investigated by Yang &amp; Hsu [7] and Landauer et al. [8]; we note Okuma et al. [9] addresses Sysmon log mapping to ATT&amp;CK, though its internal method and full text remain UNVERIFIED beyond the bibliographic record).</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w:t>
      </w:r>
      <m:oMath>
        <m:r>
          <m:t>k</m:t>
        </m:r>
      </m:oMath>
      <w:r>
        <w:t>)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spacing w:after="40" w:line="276" w:lineRule="auto"/>
        <w:ind w:left="432" w:hanging="288"/>
      </w:pPr>
      <w:r>
        <w:rPr>
          <w:rFonts w:ascii="Calibri" w:hAnsi="Calibri"/>
          <w:b/>
          <w:color w:val="24292F"/>
        </w:rPr>
        <w:t xml:space="preserve">1. </w:t>
      </w: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spacing w:after="40" w:line="276" w:lineRule="auto"/>
        <w:ind w:left="432" w:hanging="288"/>
      </w:pPr>
      <w:r>
        <w:rPr>
          <w:rFonts w:ascii="Calibri" w:hAnsi="Calibri"/>
          <w:b/>
          <w:color w:val="24292F"/>
        </w:rPr>
        <w:t xml:space="preserve">2. </w:t>
      </w:r>
      <w:r>
        <w:rPr>
          <w:b/>
        </w:rPr>
        <w:t>Pinned ATT&amp;CK Enterprise Matrix v19.2:</w:t>
      </w:r>
      <w:r>
        <w:t xml:space="preserve"> All retrieval and evaluation operations are bound to an immutable STIX snapshot of 474 active Windows techniques and sub-techniques, eliminating taxonomy drift.</w:t>
      </w:r>
    </w:p>
    <w:p>
      <w:pPr>
        <w:spacing w:after="40" w:line="276" w:lineRule="auto"/>
        <w:ind w:left="432" w:hanging="288"/>
      </w:pPr>
      <w:r>
        <w:rPr>
          <w:rFonts w:ascii="Calibri" w:hAnsi="Calibri"/>
          <w:b/>
          <w:color w:val="24292F"/>
        </w:rPr>
        <w:t xml:space="preserve">3. </w:t>
      </w:r>
      <w:r>
        <w:rPr>
          <w:b/>
        </w:rPr>
        <w:t>Independent Failure Measurement Axes:</w:t>
      </w:r>
      <w:r>
        <w:t xml:space="preserve"> We evaluate upstream retrieval misses (</w:t>
      </w:r>
      <m:oMath>
        <m:r>
          <m:t>GT</m:t>
        </m:r>
        <m:r>
          <m:t>∉</m:t>
        </m:r>
        <m:r>
          <m:rPr>
            <m:nor/>
          </m:rPr>
          <m:t>Top-</m:t>
        </m:r>
        <m:r>
          <m:t>k</m:t>
        </m:r>
      </m:oMath>
      <w:r>
        <w:t>) and downstream LLM selection discrepancies along independent measurement axes with overlaps, avoiding assumptions of mutually exclusive causal partitioning.</w:t>
      </w:r>
    </w:p>
    <w:p>
      <w:pPr>
        <w:spacing w:after="40" w:line="276" w:lineRule="auto"/>
        <w:ind w:left="432" w:hanging="288"/>
      </w:pPr>
      <w:r>
        <w:rPr>
          <w:rFonts w:ascii="Calibri" w:hAnsi="Calibri"/>
          <w:b/>
          <w:color w:val="24292F"/>
        </w:rPr>
        <w:t xml:space="preserve">4. </w:t>
      </w:r>
      <w:r>
        <w:rPr>
          <w:b/>
        </w:rPr>
        <w:t>Systematic Retrieval Depth Sweep:</w:t>
      </w:r>
      <w:r>
        <w:t xml:space="preserve"> We ablate retrieval depth across </w:t>
      </w:r>
      <m:oMath>
        <m:r>
          <m:t>k</m:t>
        </m:r>
        <m:r>
          <m:t>∈</m:t>
        </m:r>
        <m:r>
          <m:t>{</m:t>
        </m:r>
        <m:r>
          <m:t>1</m:t>
        </m:r>
        <m:r>
          <m:t>,</m:t>
        </m:r>
        <m:r>
          <m:t>3</m:t>
        </m:r>
        <m:r>
          <m:t>,</m:t>
        </m:r>
        <m:r>
          <m:t>5</m:t>
        </m:r>
        <m:r>
          <m:t>,</m:t>
        </m:r>
        <m:r>
          <m:t>10</m:t>
        </m:r>
        <m:r>
          <m:t>}</m:t>
        </m:r>
      </m:oMath>
      <w:r>
        <w:t xml:space="preserve"> to characterize observed depth trade-offs across candidate grounding, token overhead, and wall-clock latency.</w:t>
      </w:r>
    </w:p>
    <w:p>
      <w:pPr>
        <w:spacing w:after="40" w:line="276" w:lineRule="auto"/>
        <w:ind w:left="432" w:hanging="288"/>
      </w:pPr>
      <w:r>
        <w:rPr>
          <w:rFonts w:ascii="Calibri" w:hAnsi="Calibri"/>
          <w:b/>
          <w:color w:val="24292F"/>
        </w:rPr>
        <w:t xml:space="preserve">5. </w:t>
      </w: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spacing w:after="40" w:line="276" w:lineRule="auto"/>
        <w:ind w:left="432" w:hanging="288"/>
      </w:pPr>
      <w:r>
        <w:rPr>
          <w:rFonts w:ascii="Calibri" w:hAnsi="Calibri"/>
          <w:b/>
          <w:color w:val="24292F"/>
        </w:rPr>
        <w:t xml:space="preserve">6. </w:t>
      </w:r>
      <w:r>
        <w:rPr>
          <w:b/>
        </w:rPr>
        <w:t>Strict Disciplinary Claim Boundary:</w:t>
      </w:r>
      <w:r>
        <w:t xml:space="preserve"> All evaluations are conducted exclusively on </w:t>
      </w:r>
      <w:r>
        <w:rPr>
          <w:rFonts w:ascii="Consolas" w:hAnsi="Consolas"/>
          <w:color w:val="8A1F11"/>
          <w:sz w:val="19"/>
        </w:rPr>
        <w:t>synthetic-paired-v1</w:t>
      </w:r>
      <w:r>
        <w:t xml:space="preserve"> benchmark data and NOT on real-world telemetry. Generalization to production enterprise telemetry remains unproven.</w:t>
      </w:r>
    </w:p>
    <w:p>
      <w:pPr>
        <w:pStyle w:val="Heading2"/>
        <w:keepNext/>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Axes):</w:t>
      </w:r>
      <w:r>
        <w:t xml:space="preserve"> When attribution errors occur under RAG, how do upstream retrieval misses (</w:t>
      </w:r>
      <m:oMath>
        <m:r>
          <m:t>GT</m:t>
        </m:r>
        <m:r>
          <m:t>∉</m:t>
        </m:r>
        <m:r>
          <m:rPr>
            <m:nor/>
          </m:rPr>
          <m:t>Top-</m:t>
        </m:r>
        <m:r>
          <m:t>k</m:t>
        </m:r>
      </m:oMath>
      <w:r>
        <w:t>) and downstream model selection discrepancies manifest across independent measurement axes with overlaps? Furthermore, how do single-event versus multi-event contextual representations correlate with these diagnostic axes?</w:t>
      </w:r>
    </w:p>
    <w:p>
      <w:pPr>
        <w:pStyle w:val="ListBullet"/>
        <w:spacing w:after="40" w:line="276" w:lineRule="auto"/>
      </w:pPr>
      <w:r>
        <w:rPr>
          <w:b/>
        </w:rPr>
        <w:t>RQ3 (Retrieval Depth, API Cost, and Latency Trade-Offs):</w:t>
      </w:r>
      <w:r>
        <w:t xml:space="preserve"> How does varying retrieval candidate depth (</w:t>
      </w:r>
      <m:oMath>
        <m:r>
          <m:t>k</m:t>
        </m:r>
        <m:r>
          <m:t>∈</m:t>
        </m:r>
        <m:r>
          <m:t>{</m:t>
        </m:r>
        <m:r>
          <m:t>1</m:t>
        </m:r>
        <m:r>
          <m:t>,</m:t>
        </m:r>
        <m:r>
          <m:t>3</m:t>
        </m:r>
        <m:r>
          <m:t>,</m:t>
        </m:r>
        <m:r>
          <m:t>5</m:t>
        </m:r>
        <m:r>
          <m:t>,</m:t>
        </m:r>
        <m:r>
          <m:t>10</m:t>
        </m:r>
        <m:r>
          <m:t>}</m:t>
        </m:r>
      </m:oMath>
      <w:r>
        <w:t>) affect attribution performance, context distractor susceptibility, latency, and monetary API token costs?</w:t>
      </w:r>
    </w:p>
    <w:p>
      <w:pPr>
        <w:spacing w:before="120" w:after="120"/>
        <w:pBdr>
          <w:bottom w:val="single" w:sz="6" w:space="1" w:color="D0D7DE"/>
        </w:pBdr>
      </w:pPr>
    </w:p>
    <w:p>
      <w:pPr>
        <w:pStyle w:val="Heading1"/>
        <w:keepNext/>
        <w:spacing w:before="280" w:after="120"/>
      </w:pPr>
      <w:r>
        <w:rPr>
          <w:rFonts w:ascii="Georgia" w:hAnsi="Georgia"/>
          <w:b/>
          <w:color w:val="0A2540"/>
          <w:sz w:val="28"/>
        </w:rPr>
        <w:t>2. Related Work and Research Gap</w:t>
      </w:r>
    </w:p>
    <w:p>
      <w:pPr>
        <w:pStyle w:val="Heading2"/>
        <w:keepNext/>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 xml:space="preserve">, and </w:t>
      </w:r>
      <w:r>
        <w:rPr>
          <w:rFonts w:ascii="Consolas" w:hAnsi="Consolas"/>
          <w:color w:val="8A1F11"/>
          <w:sz w:val="19"/>
        </w:rPr>
        <w:t>reports/evidence/t33_lade_claim_verification_record.json</w:t>
      </w:r>
      <w:r>
        <w:t>):</w:t>
      </w:r>
    </w:p>
    <w:p>
      <w:pPr>
        <w:pStyle w:val="ListBullet"/>
        <w:spacing w:after="40" w:line="276" w:lineRule="auto"/>
      </w:pPr>
      <w:r>
        <w:rPr>
          <w:b/>
        </w:rPr>
        <w:t>Full-Text Content Audited (6/8):</w:t>
      </w:r>
      <w:r>
        <w:t xml:space="preserve"> Adediran et al. [10], Landauer et al. (CAM-LDS journal version) [8], Lekssays et al. (TechniqueRAG ACL version) [5], Morbiato et al. (H-TechniqueRAG) [6], Lupinacci et al. (Trace2ATT&amp;CK) [11], and Gwak et al. (LADE 28-page author manuscript PDF, SHA-256 </w:t>
      </w:r>
      <w:r>
        <w:rPr>
          <w:rFonts w:ascii="Consolas" w:hAnsi="Consolas"/>
          <w:color w:val="8A1F11"/>
          <w:sz w:val="19"/>
        </w:rPr>
        <w:t>6e8384569254bc4cf82dd4d0191746907ff40fa76016275946651cf47d6f4985</w:t>
      </w:r>
      <w:r>
        <w:t>) [12].</w:t>
      </w:r>
    </w:p>
    <w:p>
      <w:pPr>
        <w:pStyle w:val="ListBullet"/>
        <w:spacing w:after="40" w:line="276" w:lineRule="auto"/>
      </w:pPr>
      <w:r>
        <w:rPr>
          <w:b/>
        </w:rPr>
        <w:t>Partial / Metadata-Only / Access-Blocked (2/8):</w:t>
      </w:r>
      <w:r>
        <w:t xml:space="preserve"> Yang &amp; Hsu [7] is verified solely from the publisher abstract and bibliographic metadata (Springer SIST vol. 8767, pp. 235–251, published online 2 July 2026; full chapter is subscription-restricted). Okuma et al. [9] is verified solely from the IEEE conference bibliographic record (ICSPIS 2023, pp. 104–109; primary full text was inaccessible during the audit). Claims regarding these two works are strictly bounded to verified metadata (</w:t>
      </w:r>
      <w:r>
        <w:rPr>
          <w:rFonts w:ascii="Consolas" w:hAnsi="Consolas"/>
          <w:color w:val="8A1F11"/>
          <w:sz w:val="19"/>
        </w:rPr>
        <w:t>UNVERIFIED</w:t>
      </w:r>
      <w:r>
        <w:t>).</w:t>
      </w:r>
    </w:p>
    <w:p>
      <w:pPr>
        <w:pStyle w:val="Heading2"/>
        <w:keepNext/>
        <w:spacing w:before="200" w:after="80"/>
      </w:pPr>
      <w:r>
        <w:rPr>
          <w:rFonts w:ascii="Calibri" w:hAnsi="Calibri"/>
          <w:b/>
          <w:color w:val="1F2328"/>
          <w:sz w:val="24"/>
        </w:rPr>
        <w:t>2.2 Comparator Matrix</w:t>
      </w:r>
    </w:p>
    <w:p>
      <w:r>
        <w:t>Table 1a and Table 1b present a comprehensive 16-dimension comparison across the eight comparator works and RAG2ATTCK, partitioned into two complementary views to preserve granular legibility: Table 1a details Comparators 1–4, and Table 1b details Comparators 5–8 alongside RAG2ATTCK.</w:t>
      </w:r>
    </w:p>
    <w:p>
      <w:pPr>
        <w:keepNext/>
        <w:spacing w:before="160" w:after="60"/>
      </w:pPr>
      <w:r>
        <w:rPr>
          <w:i/>
          <w:color w:val="1F2328"/>
          <w:sz w:val="20"/>
        </w:rPr>
        <w:t>Table 1a: Multi-Dimensional Comparator Matrix Grounded in Primary Evidence (Part 1: Comparators 1–4).</w:t>
      </w:r>
    </w:p>
    <w:tbl>
      <w:tblPr>
        <w:tblW w:type="auto" w:w="0"/>
        <w:jc w:val="center"/>
        <w:tblLayout w:type="fixed"/>
        <w:tblLook w:firstColumn="1" w:firstRow="1" w:lastColumn="0" w:lastRow="0" w:noHBand="0" w:noVBand="1" w:val="04A0"/>
        <w:tblCaption w:val="Table 1a: Multi-Dimensional Comparator Matrix (Part 1)"/>
        <w:tblDescription w:val="table_1a"/>
      </w:tblPr>
      <w:tblGrid>
        <w:gridCol w:w="1872"/>
        <w:gridCol w:w="1872"/>
        <w:gridCol w:w="1872"/>
        <w:gridCol w:w="1872"/>
        <w:gridCol w:w="1872"/>
      </w:tblGrid>
      <w:tr>
        <w:trPr>
          <w:cantSplit/>
          <w:tblHeader/>
        </w:trPr>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0"/>
                <w:alias w:val="table_1a Row 0 Col 0"/>
              </w:sdtPr>
              <w:sdtContent>
                <w:r/>
                <w:r>
                  <w:rPr>
                    <w:b/>
                    <w:color w:val="FFFFFF"/>
                    <w:sz w:val="18"/>
                  </w:rPr>
                  <w:t>Dimension</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1"/>
                <w:alias w:val="table_1a Row 0 Col 1"/>
              </w:sdtPr>
              <w:sdtContent>
                <w:r/>
                <w:r>
                  <w:rPr>
                    <w:b/>
                    <w:color w:val="FFFFFF"/>
                    <w:sz w:val="18"/>
                  </w:rPr>
                  <w:t>Yang &amp; Hsu (2026) [7]</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2"/>
                <w:alias w:val="table_1a Row 0 Col 2"/>
              </w:sdtPr>
              <w:sdtContent>
                <w:r/>
                <w:r>
                  <w:rPr>
                    <w:b/>
                    <w:color w:val="FFFFFF"/>
                    <w:sz w:val="18"/>
                  </w:rPr>
                  <w:t>Adediran et al. (2026) [10]</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3"/>
                <w:alias w:val="table_1a Row 0 Col 3"/>
              </w:sdtPr>
              <w:sdtContent>
                <w:r/>
                <w:r>
                  <w:rPr>
                    <w:b/>
                    <w:color w:val="FFFFFF"/>
                    <w:sz w:val="18"/>
                  </w:rPr>
                  <w:t>CAM-LDS (Landauer et al., 2026) [8]</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4"/>
                <w:alias w:val="table_1a Row 0 Col 4"/>
              </w:sdtPr>
              <w:sdtContent>
                <w:r/>
                <w:r>
                  <w:rPr>
                    <w:b/>
                    <w:color w:val="FFFFFF"/>
                    <w:sz w:val="18"/>
                  </w:rPr>
                  <w:t>TechniqueRAG (Lekssays et al., 2025) [5]</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0"/>
                <w:alias w:val="table_1a Row 1 Col 0"/>
              </w:sdtPr>
              <w:sdtContent>
                <w:r/>
                <w:r>
                  <w:rPr>
                    <w:b/>
                    <w:color w:val="24292F"/>
                    <w:sz w:val="18"/>
                  </w:rPr>
                  <w:t>1. Primary Input</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1"/>
                <w:alias w:val="table_1a Row 1 Col 1"/>
              </w:sdtPr>
              <w:sdtContent>
                <w:r/>
                <w:r>
                  <w:rPr>
                    <w:color w:val="24292F"/>
                    <w:sz w:val="18"/>
                  </w:rPr>
                  <w:t>Windows Sysmon process trees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2"/>
                <w:alias w:val="table_1a Row 1 Col 2"/>
              </w:sdtPr>
              <w:sdtContent>
                <w:r/>
                <w:r>
                  <w:rPr>
                    <w:color w:val="24292F"/>
                    <w:sz w:val="18"/>
                  </w:rPr>
                  <w:t>AWS CloudTrail JSON events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3"/>
                <w:alias w:val="table_1a Row 1 Col 3"/>
              </w:sdtPr>
              <w:sdtContent>
                <w:r/>
                <w:r>
                  <w:rPr>
                    <w:color w:val="24292F"/>
                    <w:sz w:val="18"/>
                  </w:rPr>
                  <w:t>Linux system logs (auditd, syslog) + IDS alerts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4"/>
                <w:alias w:val="table_1a Row 1 Col 4"/>
              </w:sdtPr>
              <w:sdtContent>
                <w:r/>
                <w:r>
                  <w:rPr>
                    <w:color w:val="24292F"/>
                    <w:sz w:val="18"/>
                  </w:rPr>
                  <w:t>Unstructured CTI text reports</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0"/>
                <w:alias w:val="table_1a Row 2 Col 0"/>
              </w:sdtPr>
              <w:sdtContent>
                <w:r/>
                <w:r>
                  <w:rPr>
                    <w:b/>
                    <w:color w:val="24292F"/>
                    <w:sz w:val="18"/>
                  </w:rPr>
                  <w:t>2. Target Platform</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1"/>
                <w:alias w:val="table_1a Row 2 Col 1"/>
              </w:sdtPr>
              <w:sdtContent>
                <w:r/>
                <w:r>
                  <w:rPr>
                    <w:color w:val="24292F"/>
                    <w:sz w:val="18"/>
                  </w:rPr>
                  <w:t>Windows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2"/>
                <w:alias w:val="table_1a Row 2 Col 2"/>
              </w:sdtPr>
              <w:sdtContent>
                <w:r/>
                <w:r>
                  <w:rPr>
                    <w:color w:val="24292F"/>
                    <w:sz w:val="18"/>
                  </w:rPr>
                  <w:t>AWS Cloud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3"/>
                <w:alias w:val="table_1a Row 2 Col 3"/>
              </w:sdtPr>
              <w:sdtContent>
                <w:r/>
                <w:r>
                  <w:rPr>
                    <w:color w:val="24292F"/>
                    <w:sz w:val="18"/>
                  </w:rPr>
                  <w:t>Linux / Multi-source</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4"/>
                <w:alias w:val="table_1a Row 2 Col 4"/>
              </w:sdtPr>
              <w:sdtContent>
                <w:r/>
                <w:r>
                  <w:rPr>
                    <w:color w:val="24292F"/>
                    <w:sz w:val="18"/>
                  </w:rPr>
                  <w:t>Cross-platform (CTI text)</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0"/>
                <w:alias w:val="table_1a Row 3 Col 0"/>
              </w:sdtPr>
              <w:sdtContent>
                <w:r/>
                <w:r>
                  <w:rPr>
                    <w:b/>
                    <w:color w:val="24292F"/>
                    <w:sz w:val="18"/>
                  </w:rPr>
                  <w:t>3. Core Task</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1"/>
                <w:alias w:val="table_1a Row 3 Col 1"/>
              </w:sdtPr>
              <w:sdtContent>
                <w:r/>
                <w:r>
                  <w:rPr>
                    <w:color w:val="24292F"/>
                    <w:sz w:val="18"/>
                  </w:rPr>
                  <w:t>Malicious behavior detection &amp; explanation</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2"/>
                <w:alias w:val="table_1a Row 3 Col 2"/>
              </w:sdtPr>
              <w:sdtContent>
                <w:r/>
                <w:r>
                  <w:rPr>
                    <w:color w:val="24292F"/>
                    <w:sz w:val="18"/>
                  </w:rPr>
                  <w:t>Cloud threat detection &amp; ATT&amp;CK mapping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3"/>
                <w:alias w:val="table_1a Row 3 Col 3"/>
              </w:sdtPr>
              <w:sdtContent>
                <w:r/>
                <w:r>
                  <w:rPr>
                    <w:color w:val="24292F"/>
                    <w:sz w:val="18"/>
                  </w:rPr>
                  <w:t>Benchmark log interpretation</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4"/>
                <w:alias w:val="table_1a Row 3 Col 4"/>
              </w:sdtPr>
              <w:sdtContent>
                <w:r/>
                <w:r>
                  <w:rPr>
                    <w:color w:val="24292F"/>
                    <w:sz w:val="18"/>
                  </w:rPr>
                  <w:t>CTI technique &amp; sub-technique annotation</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0"/>
                <w:alias w:val="table_1a Row 4 Col 0"/>
              </w:sdtPr>
              <w:sdtContent>
                <w:r/>
                <w:r>
                  <w:rPr>
                    <w:b/>
                    <w:color w:val="24292F"/>
                    <w:sz w:val="18"/>
                  </w:rPr>
                  <w:t>4. ATT&amp;CK Target Granularity</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1"/>
                <w:alias w:val="table_1a Row 4 Col 1"/>
              </w:sdtPr>
              <w:sdtContent>
                <w:r/>
                <w:r>
                  <w:rPr>
                    <w:color w:val="24292F"/>
                    <w:sz w:val="18"/>
                  </w:rPr>
                  <w:t>Behavior explanation (Exact ID UNVERIFIED)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2"/>
                <w:alias w:val="table_1a Row 4 Col 2"/>
              </w:sdtPr>
              <w:sdtContent>
                <w:r/>
                <w:r>
                  <w:rPr>
                    <w:color w:val="24292F"/>
                    <w:sz w:val="18"/>
                  </w:rPr>
                  <w:t>Technique &amp; Sub-technique (</w:t>
                </w:r>
                <w:r>
                  <w:rPr>
                    <w:rFonts w:ascii="Consolas" w:hAnsi="Consolas"/>
                    <w:color w:val="8A1F11"/>
                    <w:sz w:val="18"/>
                  </w:rPr>
                  <w:t>Txxxx.yyy</w:t>
                </w:r>
                <w:r>
                  <w:rPr>
                    <w:color w:val="24292F"/>
                    <w:sz w:val="18"/>
                  </w:rPr>
                  <w:t>)</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3"/>
                <w:alias w:val="table_1a Row 4 Col 3"/>
              </w:sdtPr>
              <w:sdtContent>
                <w:r/>
                <w:r>
                  <w:rPr>
                    <w:color w:val="24292F"/>
                    <w:sz w:val="18"/>
                  </w:rPr>
                  <w:t>Collapses sub-techniques to parent (</w:t>
                </w:r>
                <w:r>
                  <w:rPr>
                    <w:rFonts w:ascii="Consolas" w:hAnsi="Consolas"/>
                    <w:color w:val="8A1F11"/>
                    <w:sz w:val="18"/>
                  </w:rPr>
                  <w:t>Txxxx</w:t>
                </w:r>
                <w:r>
                  <w:rPr>
                    <w:color w:val="24292F"/>
                    <w:sz w:val="18"/>
                  </w:rPr>
                  <w:t>); §5.2.2 parent-technique eval</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4"/>
                <w:alias w:val="table_1a Row 4 Col 4"/>
              </w:sdtPr>
              <w:sdtContent>
                <w:r/>
                <w:r>
                  <w:rPr>
                    <w:color w:val="24292F"/>
                    <w:sz w:val="18"/>
                  </w:rPr>
                  <w:t>Technique &amp; Sub-technique (</w:t>
                </w:r>
                <w:r>
                  <w:rPr>
                    <w:rFonts w:ascii="Consolas" w:hAnsi="Consolas"/>
                    <w:color w:val="8A1F11"/>
                    <w:sz w:val="18"/>
                  </w:rPr>
                  <w:t>Txxxx.yyy</w:t>
                </w:r>
                <w:r>
                  <w:rPr>
                    <w:color w:val="24292F"/>
                    <w:sz w:val="18"/>
                  </w:rPr>
                  <w:t>)</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0"/>
                <w:alias w:val="table_1a Row 5 Col 0"/>
              </w:sdtPr>
              <w:sdtContent>
                <w:r/>
                <w:r>
                  <w:rPr>
                    <w:b/>
                    <w:color w:val="24292F"/>
                    <w:sz w:val="18"/>
                  </w:rPr>
                  <w:t>5. RAG Architecture</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1"/>
                <w:alias w:val="table_1a Row 5 Col 1"/>
              </w:sdtPr>
              <w:sdtContent>
                <w:r/>
                <w:r>
                  <w:rPr>
                    <w:color w:val="24292F"/>
                    <w:sz w:val="18"/>
                  </w:rPr>
                  <w:t>Semantic matching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2"/>
                <w:alias w:val="table_1a Row 5 Col 2"/>
              </w:sdtPr>
              <w:sdtContent>
                <w:r/>
                <w:r>
                  <w:rPr>
                    <w:color w:val="24292F"/>
                    <w:sz w:val="18"/>
                  </w:rPr>
                  <w:t>Two-step query expansion RAG (Vertex AI)</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3"/>
                <w:alias w:val="table_1a Row 5 Col 3"/>
              </w:sdtPr>
              <w:sdtContent>
                <w:r/>
                <w:r>
                  <w:rPr>
                    <w:b/>
                    <w:color w:val="24292F"/>
                    <w:sz w:val="18"/>
                  </w:rPr>
                  <w:t>None</w:t>
                </w:r>
                <w:r>
                  <w:rPr>
                    <w:color w:val="24292F"/>
                    <w:sz w:val="18"/>
                  </w:rPr>
                  <w:t xml:space="preserve"> (Zero-shot prompting)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4"/>
                <w:alias w:val="table_1a Row 5 Col 4"/>
              </w:sdtPr>
              <w:sdtContent>
                <w:r/>
                <w:r>
                  <w:rPr>
                    <w:color w:val="24292F"/>
                    <w:sz w:val="18"/>
                  </w:rPr>
                  <w:t>Exemplar retrieval (BM25 + DeepSeek v3 rerank)</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0"/>
                <w:alias w:val="table_1a Row 6 Col 0"/>
              </w:sdtPr>
              <w:sdtContent>
                <w:r/>
                <w:r>
                  <w:rPr>
                    <w:b/>
                    <w:color w:val="24292F"/>
                    <w:sz w:val="18"/>
                  </w:rPr>
                  <w:t>6. Retrieval Corpus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1"/>
                <w:alias w:val="table_1a Row 6 Col 1"/>
              </w:sdtPr>
              <w:sdtContent>
                <w:r/>
                <w:r>
                  <w:rPr>
                    <w:color w:val="24292F"/>
                    <w:sz w:val="18"/>
                  </w:rPr>
                  <w:t>UNVERIFIED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2"/>
                <w:alias w:val="table_1a Row 6 Col 2"/>
              </w:sdtPr>
              <w:sdtContent>
                <w:r/>
                <w:r>
                  <w:rPr>
                    <w:color w:val="24292F"/>
                    <w:sz w:val="18"/>
                  </w:rPr>
                  <w:t>ATT&amp;CK Cloud, AWS catalogue, threat blogs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3"/>
                <w:alias w:val="table_1a Row 6 Col 3"/>
              </w:sdtPr>
              <w:sdtContent>
                <w:r/>
                <w:r>
                  <w:rPr>
                    <w:color w:val="24292F"/>
                    <w:sz w:val="18"/>
                  </w:rPr>
                  <w:t>N/A</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4"/>
                <w:alias w:val="table_1a Row 6 Col 4"/>
              </w:sdtPr>
              <w:sdtContent>
                <w:r/>
                <w:r>
                  <w:rPr>
                    <w:color w:val="24292F"/>
                    <w:sz w:val="18"/>
                  </w:rPr>
                  <w:t>Annotated text-label pairs (TRAM, Procedures)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0"/>
                <w:alias w:val="table_1a Row 7 Col 0"/>
              </w:sdtPr>
              <w:sdtContent>
                <w:r/>
                <w:r>
                  <w:rPr>
                    <w:b/>
                    <w:color w:val="24292F"/>
                    <w:sz w:val="18"/>
                  </w:rPr>
                  <w:t>7. Matched No-RAG Baseline?</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1"/>
                <w:alias w:val="table_1a Row 7 Col 1"/>
              </w:sdtPr>
              <w:sdtContent>
                <w:r/>
                <w:r>
                  <w:rPr>
                    <w:b/>
                    <w:color w:val="24292F"/>
                    <w:sz w:val="18"/>
                  </w:rPr>
                  <w:t>Yes</w:t>
                </w:r>
                <w:r>
                  <w:rPr>
                    <w:color w:val="24292F"/>
                    <w:sz w:val="18"/>
                  </w:rPr>
                  <w:t xml:space="preserve"> (Mistral, phi-2, TinyLlama w/o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2"/>
                <w:alias w:val="table_1a Row 7 Col 2"/>
              </w:sdtPr>
              <w:sdtContent>
                <w:r/>
                <w:r>
                  <w:rPr>
                    <w:b/>
                    <w:color w:val="24292F"/>
                    <w:sz w:val="18"/>
                  </w:rPr>
                  <w:t>Yes</w:t>
                </w:r>
                <w:r>
                  <w:rPr>
                    <w:color w:val="24292F"/>
                    <w:sz w:val="18"/>
                  </w:rPr>
                  <w:t xml:space="preserve"> (Gemini 2.5 Pro baseline w/o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3"/>
                <w:alias w:val="table_1a Row 7 Col 3"/>
              </w:sdtPr>
              <w:sdtContent>
                <w:r/>
                <w:r>
                  <w:rPr>
                    <w:color w:val="24292F"/>
                    <w:sz w:val="18"/>
                  </w:rPr>
                  <w:t xml:space="preserve">Evaluates </w:t>
                </w:r>
                <w:r>
                  <w:rPr>
                    <w:i/>
                    <w:color w:val="24292F"/>
                    <w:sz w:val="18"/>
                  </w:rPr>
                  <w:t>only</w:t>
                </w:r>
                <w:r>
                  <w:rPr>
                    <w:color w:val="24292F"/>
                    <w:sz w:val="18"/>
                  </w:rPr>
                  <w:t xml:space="preserve"> zero-shot (no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4"/>
                <w:alias w:val="table_1a Row 7 Col 4"/>
              </w:sdtPr>
              <w:sdtContent>
                <w:r/>
                <w:r>
                  <w:rPr>
                    <w:b/>
                    <w:color w:val="24292F"/>
                    <w:sz w:val="18"/>
                  </w:rPr>
                  <w:t>Yes</w:t>
                </w:r>
                <w:r>
                  <w:rPr>
                    <w:color w:val="24292F"/>
                    <w:sz w:val="18"/>
                  </w:rPr>
                  <w:t xml:space="preserve"> (Zero-shot and fine-tuned w/o RAG)</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0"/>
                <w:alias w:val="table_1a Row 8 Col 0"/>
              </w:sdtPr>
              <w:sdtContent>
                <w:r/>
                <w:r>
                  <w:rPr>
                    <w:b/>
                    <w:color w:val="24292F"/>
                    <w:sz w:val="18"/>
                  </w:rPr>
                  <w:t>8. Top-k Retrieval Ablation?</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1"/>
                <w:alias w:val="table_1a Row 8 Col 1"/>
              </w:sdtPr>
              <w:sdtContent>
                <w:r/>
                <w:r>
                  <w:rPr>
                    <w:color w:val="24292F"/>
                    <w:sz w:val="18"/>
                  </w:rPr>
                  <w:t>UNVERIFIED (full text unavailable)</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2"/>
                <w:alias w:val="table_1a Row 8 Col 2"/>
              </w:sdtPr>
              <w:sdtContent>
                <w:r/>
                <w:r>
                  <w:rPr>
                    <w:b/>
                    <w:color w:val="24292F"/>
                    <w:sz w:val="18"/>
                  </w:rPr>
                  <w:t>No</w:t>
                </w:r>
                <w:r>
                  <w:rPr>
                    <w:color w:val="24292F"/>
                    <w:sz w:val="18"/>
                  </w:rPr>
                  <w:t xml:space="preserve"> (Numeric k NOT REPORTED; ablation deferred)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3"/>
                <w:alias w:val="table_1a Row 8 Col 3"/>
              </w:sdtPr>
              <w:sdtContent>
                <w:r/>
                <w:r>
                  <w:rPr>
                    <w:color w:val="24292F"/>
                    <w:sz w:val="18"/>
                  </w:rPr>
                  <w:t>Evaluates output cutoff Top-</w:t>
                </w:r>
                <m:oMath>
                  <m:r>
                    <w:rPr>
                      <w:color w:val="24292F"/>
                      <w:sz w:val="18"/>
                    </w:rPr>
                    <m:t>k</m:t>
                  </m:r>
                </m:oMath>
                <w:r>
                  <w:rPr>
                    <w:color w:val="24292F"/>
                    <w:sz w:val="18"/>
                  </w:rPr>
                  <w:t xml:space="preserve"> (§5.2.2), not retriever depth</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4"/>
                <w:alias w:val="table_1a Row 8 Col 4"/>
              </w:sdtPr>
              <w:sdtContent>
                <w:r/>
                <w:r>
                  <w:rPr>
                    <w:color w:val="24292F"/>
                    <w:sz w:val="18"/>
                  </w:rPr>
                  <w:t xml:space="preserve">Evaluates pool size </w:t>
                </w:r>
                <m:oMath>
                  <m:r>
                    <w:rPr>
                      <w:color w:val="24292F"/>
                      <w:sz w:val="18"/>
                    </w:rPr>
                    <m:t>K</m:t>
                  </m:r>
                  <m:r>
                    <w:rPr>
                      <w:color w:val="24292F"/>
                      <w:sz w:val="18"/>
                    </w:rPr>
                    <m:t>=</m:t>
                  </m:r>
                  <m:r>
                    <w:rPr>
                      <w:color w:val="24292F"/>
                      <w:sz w:val="18"/>
                    </w:rPr>
                    <m:t>40</m:t>
                  </m:r>
                </m:oMath>
                <w:r>
                  <w:rPr>
                    <w:color w:val="24292F"/>
                    <w:sz w:val="18"/>
                  </w:rPr>
                  <w:t xml:space="preserve">, fixed </w:t>
                </w:r>
                <m:oMath>
                  <m:r>
                    <w:rPr>
                      <w:color w:val="24292F"/>
                      <w:sz w:val="18"/>
                    </w:rPr>
                    <m:t>k</m:t>
                  </m:r>
                  <m:r>
                    <w:rPr>
                      <w:color w:val="24292F"/>
                      <w:sz w:val="18"/>
                    </w:rPr>
                    <m:t>=</m:t>
                  </m:r>
                  <m:r>
                    <w:rPr>
                      <w:color w:val="24292F"/>
                      <w:sz w:val="18"/>
                    </w:rPr>
                    <m:t>3</m:t>
                  </m:r>
                </m:oMath>
                <w:r>
                  <w:rPr>
                    <w:color w:val="24292F"/>
                    <w:sz w:val="18"/>
                  </w:rPr>
                  <w:t xml:space="preserve"> exemplars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0"/>
                <w:alias w:val="table_1a Row 9 Col 0"/>
              </w:sdtPr>
              <w:sdtContent>
                <w:r/>
                <w:r>
                  <w:rPr>
                    <w:b/>
                    <w:color w:val="24292F"/>
                    <w:sz w:val="18"/>
                  </w:rPr>
                  <w:t>9. Standalone Retriever Metrics?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1"/>
                <w:alias w:val="table_1a Row 9 Col 1"/>
              </w:sdtPr>
              <w:sdtContent>
                <w:r/>
                <w:r>
                  <w:rPr>
                    <w:color w:val="24292F"/>
                    <w:sz w:val="18"/>
                  </w:rPr>
                  <w:t>UNVERIFIED</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2"/>
                <w:alias w:val="table_1a Row 9 Col 2"/>
              </w:sdtPr>
              <w:sdtContent>
                <w:r/>
                <w:r>
                  <w:rPr>
                    <w:b/>
                    <w:color w:val="24292F"/>
                    <w:sz w:val="18"/>
                  </w:rPr>
                  <w:t>NOT REPORTED</w:t>
                </w:r>
                <w:r>
                  <w:rPr>
                    <w:color w:val="24292F"/>
                    <w:sz w:val="18"/>
                  </w:rPr>
                  <w:t xml:space="preserve"> (Generation gap only)</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3"/>
                <w:alias w:val="table_1a Row 9 Col 3"/>
              </w:sdtPr>
              <w:sdtContent>
                <w:r/>
                <w:r>
                  <w:rPr>
                    <w:color w:val="24292F"/>
                    <w:sz w:val="18"/>
                  </w:rPr>
                  <w:t>N/A</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4"/>
                <w:alias w:val="table_1a Row 9 Col 4"/>
              </w:sdtPr>
              <w:sdtContent>
                <w:r/>
                <w:r>
                  <w:rPr>
                    <w:color w:val="24292F"/>
                    <w:sz w:val="18"/>
                  </w:rPr>
                  <w:t>P/R/F1 on ranking; standalone Hit@k NOT REPORTED</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0"/>
                <w:alias w:val="table_1a Row 10 Col 0"/>
              </w:sdtPr>
              <w:sdtContent>
                <w:r/>
                <w:r>
                  <w:rPr>
                    <w:b/>
                    <w:color w:val="24292F"/>
                    <w:sz w:val="18"/>
                  </w:rPr>
                  <w:t>10. Failure Decomposition?</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1"/>
                <w:alias w:val="table_1a Row 10 Col 1"/>
              </w:sdtPr>
              <w:sdtContent>
                <w:r/>
                <w:r>
                  <w:rPr>
                    <w:color w:val="24292F"/>
                    <w:sz w:val="18"/>
                  </w:rPr>
                  <w:t>UNVERIFIED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2"/>
                <w:alias w:val="table_1a Row 10 Col 2"/>
              </w:sdtPr>
              <w:sdtContent>
                <w:r/>
                <w:r>
                  <w:rPr>
                    <w:color w:val="24292F"/>
                    <w:sz w:val="18"/>
                  </w:rPr>
                  <w:t>Qualitative error categories (unresolved 26% vs 60% discrepancy)*</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3"/>
                <w:alias w:val="table_1a Row 10 Col 3"/>
              </w:sdtPr>
              <w:sdtContent>
                <w:r/>
                <w:r>
                  <w:rPr>
                    <w:color w:val="24292F"/>
                    <w:sz w:val="18"/>
                  </w:rPr>
                  <w:t>No</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4"/>
                <w:alias w:val="table_1a Row 10 Col 4"/>
              </w:sdtPr>
              <w:sdtContent>
                <w:r/>
                <w:r>
                  <w:rPr>
                    <w:color w:val="24292F"/>
                    <w:sz w:val="18"/>
                  </w:rPr>
                  <w:t>Analyzes generator vs retriever errors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0"/>
                <w:alias w:val="table_1a Row 11 Col 0"/>
              </w:sdtPr>
              <w:sdtContent>
                <w:r/>
                <w:r>
                  <w:rPr>
                    <w:b/>
                    <w:color w:val="24292F"/>
                    <w:sz w:val="18"/>
                  </w:rPr>
                  <w:t>11. Telemetry Leakage Controls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1"/>
                <w:alias w:val="table_1a Row 11 Col 1"/>
              </w:sdtPr>
              <w:sdtContent>
                <w:r/>
                <w:r>
                  <w:rPr>
                    <w:color w:val="24292F"/>
                    <w:sz w:val="18"/>
                  </w:rPr>
                  <w:t>UNVERIFIED</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2"/>
                <w:alias w:val="table_1a Row 11 Col 2"/>
              </w:sdtPr>
              <w:sdtContent>
                <w:r/>
                <w:r>
                  <w:rPr>
                    <w:color w:val="24292F"/>
                    <w:sz w:val="18"/>
                  </w:rPr>
                  <w:t xml:space="preserve">Notes </w:t>
                </w:r>
                <w:r>
                  <w:rPr>
                    <w:rFonts w:ascii="Consolas" w:hAnsi="Consolas"/>
                    <w:color w:val="8A1F11"/>
                    <w:sz w:val="18"/>
                  </w:rPr>
                  <w:t>stratus-red-team</w:t>
                </w:r>
                <w:r>
                  <w:rPr>
                    <w:color w:val="24292F"/>
                    <w:sz w:val="18"/>
                  </w:rPr>
                  <w:t xml:space="preserve"> agent in raw logs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3"/>
                <w:alias w:val="table_1a Row 11 Col 3"/>
              </w:sdtPr>
              <w:sdtContent>
                <w:r/>
                <w:r>
                  <w:rPr>
                    <w:color w:val="24292F"/>
                    <w:sz w:val="18"/>
                  </w:rPr>
                  <w:t>Strips explicit ATT&amp;CK labels/tactics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4"/>
                <w:alias w:val="table_1a Row 11 Col 4"/>
              </w:sdtPr>
              <w:sdtContent>
                <w:r/>
                <w:r>
                  <w:rPr>
                    <w:color w:val="24292F"/>
                    <w:sz w:val="18"/>
                  </w:rPr>
                  <w:t>CTI text; no detector rule metadata</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0"/>
                <w:alias w:val="table_1a Row 12 Col 0"/>
              </w:sdtPr>
              <w:sdtContent>
                <w:r/>
                <w:r>
                  <w:rPr>
                    <w:b/>
                    <w:color w:val="24292F"/>
                    <w:sz w:val="18"/>
                  </w:rPr>
                  <w:t>12. Primary Models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1"/>
                <w:alias w:val="table_1a Row 12 Col 1"/>
              </w:sdtPr>
              <w:sdtContent>
                <w:r/>
                <w:r>
                  <w:rPr>
                    <w:color w:val="24292F"/>
                    <w:sz w:val="18"/>
                  </w:rPr>
                  <w:t>Mistral-7B, phi-2, TinyLlama-1.1B</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2"/>
                <w:alias w:val="table_1a Row 12 Col 2"/>
              </w:sdtPr>
              <w:sdtContent>
                <w:r/>
                <w:r>
                  <w:rPr>
                    <w:color w:val="24292F"/>
                    <w:sz w:val="18"/>
                  </w:rPr>
                  <w:t>Gemini 2.5 Pro</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3"/>
                <w:alias w:val="table_1a Row 12 Col 3"/>
              </w:sdtPr>
              <w:sdtContent>
                <w:r/>
                <w:r>
                  <w:rPr>
                    <w:color w:val="24292F"/>
                    <w:sz w:val="18"/>
                  </w:rPr>
                  <w:t>GPT-5.5, GPT-5.2, Llama 4, Qwen 3, Ministral (Journal)</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4"/>
                <w:alias w:val="table_1a Row 12 Col 4"/>
              </w:sdtPr>
              <w:sdtContent>
                <w:r/>
                <w:r>
                  <w:rPr>
                    <w:color w:val="24292F"/>
                    <w:sz w:val="18"/>
                  </w:rPr>
                  <w:t>Ministral-8B (fine-tuned)</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0"/>
                <w:alias w:val="table_1a Row 13 Col 0"/>
              </w:sdtPr>
              <w:sdtContent>
                <w:r/>
                <w:r>
                  <w:rPr>
                    <w:b/>
                    <w:color w:val="24292F"/>
                    <w:sz w:val="18"/>
                  </w:rPr>
                  <w:t>13. Headline Metrics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1"/>
                <w:alias w:val="table_1a Row 13 Col 1"/>
              </w:sdtPr>
              <w:sdtContent>
                <w:r/>
                <w:r>
                  <w:rPr>
                    <w:color w:val="24292F"/>
                    <w:sz w:val="18"/>
                  </w:rPr>
                  <w:t>Precision, F1, False Positive Rate</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2"/>
                <w:alias w:val="table_1a Row 13 Col 2"/>
              </w:sdtPr>
              <w:sdtContent>
                <w:r/>
                <w:r>
                  <w:rPr>
                    <w:color w:val="24292F"/>
                    <w:sz w:val="18"/>
                  </w:rPr>
                  <w:t>Accuracy, Precision, Recall, F1, Latency, Cost</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3"/>
                <w:alias w:val="table_1a Row 13 Col 3"/>
              </w:sdtPr>
              <w:sdtContent>
                <w:r/>
                <w:r>
                  <w:rPr>
                    <w:color w:val="24292F"/>
                    <w:sz w:val="18"/>
                  </w:rPr>
                  <w:t>Technique Rank, P@k, Recall@k, MRR</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4"/>
                <w:alias w:val="table_1a Row 13 Col 4"/>
              </w:sdtPr>
              <w:sdtContent>
                <w:r/>
                <w:r>
                  <w:rPr>
                    <w:color w:val="24292F"/>
                    <w:sz w:val="18"/>
                  </w:rPr>
                  <w:t>Precision, Recall, Macro-F1, Micro-F1</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0"/>
                <w:alias w:val="table_1a Row 14 Col 0"/>
              </w:sdtPr>
              <w:sdtContent>
                <w:r/>
                <w:r>
                  <w:rPr>
                    <w:b/>
                    <w:color w:val="24292F"/>
                    <w:sz w:val="18"/>
                  </w:rPr>
                  <w:t>14. Primary Dataset</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1"/>
                <w:alias w:val="table_1a Row 14 Col 1"/>
              </w:sdtPr>
              <w:sdtContent>
                <w:r/>
                <w:r>
                  <w:rPr>
                    <w:color w:val="24292F"/>
                    <w:sz w:val="18"/>
                  </w:rPr>
                  <w:t>Attack samples + benign process trees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2"/>
                <w:alias w:val="table_1a Row 14 Col 2"/>
              </w:sdtPr>
              <w:sdtContent>
                <w:r/>
                <w:r>
                  <w:rPr>
                    <w:color w:val="24292F"/>
                    <w:sz w:val="18"/>
                  </w:rPr>
                  <w:t>200 AWS CloudTrail events (122 mal / 78 ben)</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3"/>
                <w:alias w:val="table_1a Row 14 Col 3"/>
              </w:sdtPr>
              <w:sdtContent>
                <w:r/>
                <w:r>
                  <w:rPr>
                    <w:color w:val="24292F"/>
                    <w:sz w:val="18"/>
                  </w:rPr>
                  <w:t>7 scenarios, 198 log steps, 18 sources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4"/>
                <w:alias w:val="table_1a Row 14 Col 4"/>
              </w:sdtPr>
              <w:sdtContent>
                <w:r/>
                <w:r>
                  <w:rPr>
                    <w:color w:val="24292F"/>
                    <w:sz w:val="18"/>
                  </w:rPr>
                  <w:t>TRAM, Procedures, Expert CTI datasets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0"/>
                <w:alias w:val="table_1a Row 15 Col 0"/>
              </w:sdtPr>
              <w:sdtContent>
                <w:r/>
                <w:r>
                  <w:rPr>
                    <w:b/>
                    <w:color w:val="24292F"/>
                    <w:sz w:val="18"/>
                  </w:rPr>
                  <w:t>15. Closest Similarity</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1"/>
                <w:alias w:val="table_1a Row 15 Col 1"/>
              </w:sdtPr>
              <w:sdtContent>
                <w:r/>
                <w:r>
                  <w:rPr>
                    <w:color w:val="24292F"/>
                    <w:sz w:val="18"/>
                  </w:rPr>
                  <w:t>Sysmon logs + matched No-RAG/RAG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2"/>
                <w:alias w:val="table_1a Row 15 Col 2"/>
              </w:sdtPr>
              <w:sdtContent>
                <w:r/>
                <w:r>
                  <w:rPr>
                    <w:color w:val="24292F"/>
                    <w:sz w:val="18"/>
                  </w:rPr>
                  <w:t>Controlled No-RAG vs RAG on telemetry</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3"/>
                <w:alias w:val="table_1a Row 15 Col 3"/>
              </w:sdtPr>
              <w:sdtContent>
                <w:r/>
                <w:r>
                  <w:rPr>
                    <w:color w:val="24292F"/>
                    <w:sz w:val="18"/>
                  </w:rPr>
                  <w:t>Exact technique prediction from command logs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4"/>
                <w:alias w:val="table_1a Row 15 Col 4"/>
              </w:sdtPr>
              <w:sdtContent>
                <w:r/>
                <w:r>
                  <w:rPr>
                    <w:color w:val="24292F"/>
                    <w:sz w:val="18"/>
                  </w:rPr>
                  <w:t>ATT&amp;CK RAG with retrieval quality analysis</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0"/>
                <w:alias w:val="table_1a Row 16 Col 0"/>
              </w:sdtPr>
              <w:sdtContent>
                <w:r/>
                <w:r>
                  <w:rPr>
                    <w:b/>
                    <w:color w:val="24292F"/>
                    <w:sz w:val="18"/>
                  </w:rPr>
                  <w:t>16. Key Difference</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1"/>
                <w:alias w:val="table_1a Row 16 Col 1"/>
              </w:sdtPr>
              <w:sdtContent>
                <w:r/>
                <w:r>
                  <w:rPr>
                    <w:color w:val="24292F"/>
                    <w:sz w:val="18"/>
                  </w:rPr>
                  <w:t>Binary detection; process tree heuristics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2"/>
                <w:alias w:val="table_1a Row 16 Col 2"/>
              </w:sdtPr>
              <w:sdtContent>
                <w:r/>
                <w:r>
                  <w:rPr>
                    <w:color w:val="24292F"/>
                    <w:sz w:val="18"/>
                  </w:rPr>
                  <w:t>AWS CloudTrail API; two-step Vertex RAG</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3"/>
                <w:alias w:val="table_1a Row 16 Col 3"/>
              </w:sdtPr>
              <w:sdtContent>
                <w:r/>
                <w:r>
                  <w:rPr>
                    <w:color w:val="24292F"/>
                    <w:sz w:val="18"/>
                  </w:rPr>
                  <w:t>Zero-shot only (no RAG); Linux focus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4"/>
                <w:alias w:val="table_1a Row 16 Col 4"/>
              </w:sdtPr>
              <w:sdtContent>
                <w:r/>
                <w:r>
                  <w:rPr>
                    <w:color w:val="24292F"/>
                    <w:sz w:val="18"/>
                  </w:rPr>
                  <w:t>Unstructured CTI text; fine-tunes generator</w:t>
                </w:r>
              </w:sdtContent>
            </w:sdt>
          </w:p>
        </w:tc>
      </w:tr>
    </w:tbl>
    <w:p>
      <w:pPr>
        <w:spacing w:after="120"/>
      </w:pPr>
    </w:p>
    <w:p>
      <w:pPr>
        <w:keepNext/>
        <w:spacing w:before="160" w:after="60"/>
      </w:pPr>
      <w:r>
        <w:rPr>
          <w:i/>
          <w:color w:val="1F2328"/>
          <w:sz w:val="20"/>
        </w:rPr>
        <w:t>Table 1b: Multi-Dimensional Comparator Matrix Grounded in Primary Evidence (Part 2: Comparators 5–8 and RAG2ATTCK).</w:t>
      </w:r>
    </w:p>
    <w:tbl>
      <w:tblPr>
        <w:tblW w:type="auto" w:w="0"/>
        <w:jc w:val="center"/>
        <w:tblLayout w:type="fixed"/>
        <w:tblLook w:firstColumn="1" w:firstRow="1" w:lastColumn="0" w:lastRow="0" w:noHBand="0" w:noVBand="1" w:val="04A0"/>
        <w:tblCaption w:val="Table 1b: Multi-Dimensional Comparator Matrix (Part 2)"/>
        <w:tblDescription w:val="table_1b"/>
      </w:tblPr>
      <w:tblGrid>
        <w:gridCol w:w="1800"/>
        <w:gridCol w:w="1512"/>
        <w:gridCol w:w="1512"/>
        <w:gridCol w:w="1512"/>
        <w:gridCol w:w="1512"/>
        <w:gridCol w:w="1512"/>
      </w:tblGrid>
      <w:tr>
        <w:trPr>
          <w:cantSplit/>
          <w:tblHeader/>
        </w:trPr>
        <w:tc>
          <w:tcPr>
            <w:tcW w:type="dxa" w:w="180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0"/>
                <w:alias w:val="table_1b Row 0 Col 0"/>
              </w:sdtPr>
              <w:sdtContent>
                <w:r/>
                <w:r>
                  <w:rPr>
                    <w:b/>
                    <w:color w:val="FFFFFF"/>
                    <w:sz w:val="18"/>
                  </w:rPr>
                  <w:t>Dimension</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1"/>
                <w:alias w:val="table_1b Row 0 Col 1"/>
              </w:sdtPr>
              <w:sdtContent>
                <w:r/>
                <w:r>
                  <w:rPr>
                    <w:b/>
                    <w:color w:val="FFFFFF"/>
                    <w:sz w:val="18"/>
                  </w:rPr>
                  <w:t>H-TechniqueRAG (Morbiato et al., 2026) [6]</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2"/>
                <w:alias w:val="table_1b Row 0 Col 2"/>
              </w:sdtPr>
              <w:sdtContent>
                <w:r/>
                <w:r>
                  <w:rPr>
                    <w:b/>
                    <w:color w:val="FFFFFF"/>
                    <w:sz w:val="18"/>
                  </w:rPr>
                  <w:t>Trace2ATT&amp;CK (Lupinacci et al., 2026) [11]</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3"/>
                <w:alias w:val="table_1b Row 0 Col 3"/>
              </w:sdtPr>
              <w:sdtContent>
                <w:r/>
                <w:r>
                  <w:rPr>
                    <w:b/>
                    <w:color w:val="FFFFFF"/>
                    <w:sz w:val="18"/>
                  </w:rPr>
                  <w:t>Okuma et al. (2023) [9]</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4"/>
                <w:alias w:val="table_1b Row 0 Col 4"/>
              </w:sdtPr>
              <w:sdtContent>
                <w:r/>
                <w:r>
                  <w:rPr>
                    <w:b/>
                    <w:color w:val="FFFFFF"/>
                    <w:sz w:val="18"/>
                  </w:rPr>
                  <w:t>LADE (Gwak et al., 2026/2027) [12]</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5"/>
                <w:alias w:val="table_1b Row 0 Col 5"/>
              </w:sdtPr>
              <w:sdtContent>
                <w:r/>
                <w:r>
                  <w:rPr>
                    <w:b/>
                    <w:color w:val="FFFFFF"/>
                    <w:sz w:val="18"/>
                  </w:rPr>
                  <w:t>RAG2ATTCK (This Work)</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0"/>
                <w:alias w:val="table_1b Row 1 Col 0"/>
              </w:sdtPr>
              <w:sdtContent>
                <w:r/>
                <w:r>
                  <w:rPr>
                    <w:b/>
                    <w:color w:val="24292F"/>
                    <w:sz w:val="18"/>
                  </w:rPr>
                  <w:t>1. Primary Input</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1"/>
                <w:alias w:val="table_1b Row 1 Col 1"/>
              </w:sdtPr>
              <w:sdtContent>
                <w:r/>
                <w:r>
                  <w:rPr>
                    <w:color w:val="24292F"/>
                    <w:sz w:val="18"/>
                  </w:rPr>
                  <w:t>Unstructured CTI text reports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2"/>
                <w:alias w:val="table_1b Row 1 Col 2"/>
              </w:sdtPr>
              <w:sdtContent>
                <w:r/>
                <w:r>
                  <w:rPr>
                    <w:color w:val="24292F"/>
                    <w:sz w:val="18"/>
                  </w:rPr>
                  <w:t>Linux eBPF provenance graphs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3"/>
                <w:alias w:val="table_1b Row 1 Col 3"/>
              </w:sdtPr>
              <w:sdtContent>
                <w:r/>
                <w:r>
                  <w:rPr>
                    <w:color w:val="24292F"/>
                    <w:sz w:val="18"/>
                  </w:rPr>
                  <w:t>Windows Sysmon event logs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4"/>
                <w:alias w:val="table_1b Row 1 Col 4"/>
              </w:sdtPr>
              <w:sdtContent>
                <w:r/>
                <w:r>
                  <w:rPr>
                    <w:color w:val="24292F"/>
                    <w:sz w:val="18"/>
                  </w:rPr>
                  <w:t>Chronological command/script traces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5"/>
                <w:alias w:val="table_1b Row 1 Col 5"/>
              </w:sdtPr>
              <w:sdtContent>
                <w:r/>
                <w:r>
                  <w:rPr>
                    <w:b/>
                    <w:color w:val="24292F"/>
                    <w:sz w:val="18"/>
                  </w:rPr>
                  <w:t>Windows endpoint telemetry (Sysmon / Security logs)</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0"/>
                <w:alias w:val="table_1b Row 2 Col 0"/>
              </w:sdtPr>
              <w:sdtContent>
                <w:r/>
                <w:r>
                  <w:rPr>
                    <w:b/>
                    <w:color w:val="24292F"/>
                    <w:sz w:val="18"/>
                  </w:rPr>
                  <w:t>2. Target Platform</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1"/>
                <w:alias w:val="table_1b Row 2 Col 1"/>
              </w:sdtPr>
              <w:sdtContent>
                <w:r/>
                <w:r>
                  <w:rPr>
                    <w:color w:val="24292F"/>
                    <w:sz w:val="18"/>
                  </w:rPr>
                  <w:t>Cross-platform (CTI text)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2"/>
                <w:alias w:val="table_1b Row 2 Col 2"/>
              </w:sdtPr>
              <w:sdtContent>
                <w:r/>
                <w:r>
                  <w:rPr>
                    <w:color w:val="24292F"/>
                    <w:sz w:val="18"/>
                  </w:rPr>
                  <w:t>Linux</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3"/>
                <w:alias w:val="table_1b Row 2 Col 3"/>
              </w:sdtPr>
              <w:sdtContent>
                <w:r/>
                <w:r>
                  <w:rPr>
                    <w:color w:val="24292F"/>
                    <w:sz w:val="18"/>
                  </w:rPr>
                  <w:t>Windows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4"/>
                <w:alias w:val="table_1b Row 2 Col 4"/>
              </w:sdtPr>
              <w:sdtContent>
                <w:r/>
                <w:r>
                  <w:rPr>
                    <w:color w:val="24292F"/>
                    <w:sz w:val="18"/>
                  </w:rPr>
                  <w:t>Cross-platform host OS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5"/>
                <w:alias w:val="table_1b Row 2 Col 5"/>
              </w:sdtPr>
              <w:sdtContent>
                <w:r/>
                <w:r>
                  <w:rPr>
                    <w:b/>
                    <w:color w:val="24292F"/>
                    <w:sz w:val="18"/>
                  </w:rPr>
                  <w:t>Windows Enterprise</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0"/>
                <w:alias w:val="table_1b Row 3 Col 0"/>
              </w:sdtPr>
              <w:sdtContent>
                <w:r/>
                <w:r>
                  <w:rPr>
                    <w:b/>
                    <w:color w:val="24292F"/>
                    <w:sz w:val="18"/>
                  </w:rPr>
                  <w:t>3. Core Task</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1"/>
                <w:alias w:val="table_1b Row 3 Col 1"/>
              </w:sdtPr>
              <w:sdtContent>
                <w:r/>
                <w:r>
                  <w:rPr>
                    <w:color w:val="24292F"/>
                    <w:sz w:val="18"/>
                  </w:rPr>
                  <w:t>CTI technique annotation &amp; context routing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2"/>
                <w:alias w:val="table_1b Row 3 Col 2"/>
              </w:sdtPr>
              <w:sdtContent>
                <w:r/>
                <w:r>
                  <w:rPr>
                    <w:color w:val="24292F"/>
                    <w:sz w:val="18"/>
                  </w:rPr>
                  <w:t>Kernel telemetry to ATT&amp;CK mapping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3"/>
                <w:alias w:val="table_1b Row 3 Col 3"/>
              </w:sdtPr>
              <w:sdtContent>
                <w:r/>
                <w:r>
                  <w:rPr>
                    <w:color w:val="24292F"/>
                    <w:sz w:val="18"/>
                  </w:rPr>
                  <w:t>UNVERIFIED (bibliographic record only)</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4"/>
                <w:alias w:val="table_1b Row 3 Col 4"/>
              </w:sdtPr>
              <w:sdtContent>
                <w:r/>
                <w:r>
                  <w:rPr>
                    <w:color w:val="24292F"/>
                    <w:sz w:val="18"/>
                  </w:rPr>
                  <w:t>APT detection &amp; TTP mapping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5"/>
                <w:alias w:val="table_1b Row 3 Col 5"/>
              </w:sdtPr>
              <w:sdtContent>
                <w:r/>
                <w:r>
                  <w:rPr>
                    <w:b/>
                    <w:color w:val="24292F"/>
                    <w:sz w:val="18"/>
                  </w:rPr>
                  <w:t>Exact ATT&amp;CK Technique / Sub-technique attribution</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0"/>
                <w:alias w:val="table_1b Row 4 Col 0"/>
              </w:sdtPr>
              <w:sdtContent>
                <w:r/>
                <w:r>
                  <w:rPr>
                    <w:b/>
                    <w:color w:val="24292F"/>
                    <w:sz w:val="18"/>
                  </w:rPr>
                  <w:t>4. ATT&amp;CK Target Granularity</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1"/>
                <w:alias w:val="table_1b Row 4 Col 1"/>
              </w:sdtPr>
              <w:sdtContent>
                <w:r/>
                <w:r>
                  <w:rPr>
                    <w:color w:val="24292F"/>
                    <w:sz w:val="18"/>
                  </w:rPr>
                  <w:t xml:space="preserve">Tactic </w:t>
                </w:r>
                <m:oMath>
                  <m:r>
                    <w:rPr>
                      <w:color w:val="24292F"/>
                      <w:sz w:val="18"/>
                    </w:rPr>
                    <m:t>→</m:t>
                  </m:r>
                </m:oMath>
                <w:r>
                  <w:rPr>
                    <w:color w:val="24292F"/>
                    <w:sz w:val="18"/>
                  </w:rPr>
                  <w:t xml:space="preserve"> Technique hierarchy</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2"/>
                <w:alias w:val="table_1b Row 4 Col 2"/>
              </w:sdtPr>
              <w:sdtContent>
                <w:r/>
                <w:r>
                  <w:rPr>
                    <w:color w:val="24292F"/>
                    <w:sz w:val="18"/>
                  </w:rPr>
                  <w:t>Ranked Technique &amp; Sub-technique candidates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3"/>
                <w:alias w:val="table_1b Row 4 Col 3"/>
              </w:sdtPr>
              <w:sdtContent>
                <w:r/>
                <w:r>
                  <w:rPr>
                    <w:color w:val="24292F"/>
                    <w:sz w:val="18"/>
                  </w:rPr>
                  <w:t>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4"/>
                <w:alias w:val="table_1b Row 4 Col 4"/>
              </w:sdtPr>
              <w:sdtContent>
                <w:r/>
                <w:r>
                  <w:rPr>
                    <w:color w:val="24292F"/>
                    <w:sz w:val="18"/>
                  </w:rPr>
                  <w:t>Ranked Technique candidates (Top-3/10)</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5"/>
                <w:alias w:val="table_1b Row 4 Col 5"/>
              </w:sdtPr>
              <w:sdtContent>
                <w:r/>
                <w:r>
                  <w:rPr>
                    <w:b/>
                    <w:color w:val="24292F"/>
                    <w:sz w:val="18"/>
                  </w:rPr>
                  <w:t>Exact Technique &amp; Sub-technique (</w:t>
                </w:r>
                <w:r>
                  <w:rPr>
                    <w:rFonts w:ascii="Consolas" w:hAnsi="Consolas"/>
                    <w:color w:val="8A1F11"/>
                    <w:sz w:val="18"/>
                  </w:rPr>
                  <w:t>Txxxx.yyy</w:t>
                </w:r>
                <w:r>
                  <w:rPr>
                    <w:b/>
                    <w:color w:val="24292F"/>
                    <w:sz w:val="18"/>
                  </w:rPr>
                  <w:t>)</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0"/>
                <w:alias w:val="table_1b Row 5 Col 0"/>
              </w:sdtPr>
              <w:sdtContent>
                <w:r/>
                <w:r>
                  <w:rPr>
                    <w:b/>
                    <w:color w:val="24292F"/>
                    <w:sz w:val="18"/>
                  </w:rPr>
                  <w:t>5. RAG Architecture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1"/>
                <w:alias w:val="table_1b Row 5 Col 1"/>
              </w:sdtPr>
              <w:sdtContent>
                <w:r/>
                <w:r>
                  <w:rPr>
                    <w:color w:val="24292F"/>
                    <w:sz w:val="18"/>
                  </w:rPr>
                  <w:t>Hierarchical dense RAG (FAISS IVF)</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2"/>
                <w:alias w:val="table_1b Row 5 Col 2"/>
              </w:sdtPr>
              <w:sdtContent>
                <w:r/>
                <w:r>
                  <w:rPr>
                    <w:color w:val="24292F"/>
                    <w:sz w:val="18"/>
                  </w:rPr>
                  <w:t>Dense chunk retrieval (Chroma + MMR)</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3"/>
                <w:alias w:val="table_1b Row 5 Col 3"/>
              </w:sdtPr>
              <w:sdtContent>
                <w:r/>
                <w:r>
                  <w:rPr>
                    <w:color w:val="24292F"/>
                    <w:sz w:val="18"/>
                  </w:rPr>
                  <w:t>UNVERIFIED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4"/>
                <w:alias w:val="table_1b Row 5 Col 4"/>
              </w:sdtPr>
              <w:sdtContent>
                <w:r/>
                <w:r>
                  <w:rPr>
                    <w:b/>
                    <w:color w:val="24292F"/>
                    <w:sz w:val="18"/>
                  </w:rPr>
                  <w:t>None</w:t>
                </w:r>
                <w:r>
                  <w:rPr>
                    <w:color w:val="24292F"/>
                    <w:sz w:val="18"/>
                  </w:rPr>
                  <w:t xml:space="preserve"> (Rubric prompting with static ATT&amp;CK text)</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5"/>
                <w:alias w:val="table_1b Row 5 Col 5"/>
              </w:sdtPr>
              <w:sdtContent>
                <w:r/>
                <w:r>
                  <w:rPr>
                    <w:b/>
                    <w:color w:val="24292F"/>
                    <w:sz w:val="18"/>
                  </w:rPr>
                  <w:t>Dense semantic RAG (FAISS IndexFlatIP cosine)</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0"/>
                <w:alias w:val="table_1b Row 6 Col 0"/>
              </w:sdtPr>
              <w:sdtContent>
                <w:r/>
                <w:r>
                  <w:rPr>
                    <w:b/>
                    <w:color w:val="24292F"/>
                    <w:sz w:val="18"/>
                  </w:rPr>
                  <w:t>6. Retrieval Corpus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1"/>
                <w:alias w:val="table_1b Row 6 Col 1"/>
              </w:sdtPr>
              <w:sdtContent>
                <w:r/>
                <w:r>
                  <w:rPr>
                    <w:color w:val="24292F"/>
                    <w:sz w:val="18"/>
                  </w:rPr>
                  <w:t>ATT&amp;CK Enterprise (CTI-RCM, TRAM, MITRE)</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2"/>
                <w:alias w:val="table_1b Row 6 Col 2"/>
              </w:sdtPr>
              <w:sdtContent>
                <w:r/>
                <w:r>
                  <w:rPr>
                    <w:color w:val="24292F"/>
                    <w:sz w:val="18"/>
                  </w:rPr>
                  <w:t>ATT&amp;CK Enterprise KB (800-word chunks)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3"/>
                <w:alias w:val="table_1b Row 6 Col 3"/>
              </w:sdtPr>
              <w:sdtContent>
                <w:r/>
                <w:r>
                  <w:rPr>
                    <w:color w:val="24292F"/>
                    <w:sz w:val="18"/>
                  </w:rPr>
                  <w:t>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4"/>
                <w:alias w:val="table_1b Row 6 Col 4"/>
              </w:sdtPr>
              <w:sdtContent>
                <w:r/>
                <w:r>
                  <w:rPr>
                    <w:color w:val="24292F"/>
                    <w:sz w:val="18"/>
                  </w:rPr>
                  <w:t>N/A</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5"/>
                <w:alias w:val="table_1b Row 6 Col 5"/>
              </w:sdtPr>
              <w:sdtContent>
                <w:r/>
                <w:r>
                  <w:rPr>
                    <w:b/>
                    <w:color w:val="24292F"/>
                    <w:sz w:val="18"/>
                  </w:rPr>
                  <w:t>Official ATT&amp;CK Enterprise v19.2 (474 active Windows docs)</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0"/>
                <w:alias w:val="table_1b Row 7 Col 0"/>
              </w:sdtPr>
              <w:sdtContent>
                <w:r/>
                <w:r>
                  <w:rPr>
                    <w:b/>
                    <w:color w:val="24292F"/>
                    <w:sz w:val="18"/>
                  </w:rPr>
                  <w:t>7. Matched No-RAG Baseline?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1"/>
                <w:alias w:val="table_1b Row 7 Col 1"/>
              </w:sdtPr>
              <w:sdtContent>
                <w:r/>
                <w:r>
                  <w:rPr>
                    <w:b/>
                    <w:color w:val="24292F"/>
                    <w:sz w:val="18"/>
                  </w:rPr>
                  <w:t>Yes</w:t>
                </w:r>
                <w:r>
                  <w:rPr>
                    <w:color w:val="24292F"/>
                    <w:sz w:val="18"/>
                  </w:rPr>
                  <w:t xml:space="preserve"> (Zero-shot Llama 3 direct-prompt baseline)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2"/>
                <w:alias w:val="table_1b Row 7 Col 2"/>
              </w:sdtPr>
              <w:sdtContent>
                <w:r/>
                <w:r>
                  <w:rPr>
                    <w:b/>
                    <w:color w:val="24292F"/>
                    <w:sz w:val="18"/>
                  </w:rPr>
                  <w:t>Yes</w:t>
                </w:r>
                <w:r>
                  <w:rPr>
                    <w:color w:val="24292F"/>
                    <w:sz w:val="18"/>
                  </w:rPr>
                  <w:t xml:space="preserve"> (Prompting baseline w/o RAG)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3"/>
                <w:alias w:val="table_1b Row 7 Col 3"/>
              </w:sdtPr>
              <w:sdtContent>
                <w:r/>
                <w:r>
                  <w:rPr>
                    <w:b/>
                    <w:color w:val="24292F"/>
                    <w:sz w:val="18"/>
                  </w:rPr>
                  <w:t>UNVERIFIED</w:t>
                </w:r>
                <w:r>
                  <w:rPr>
                    <w:color w:val="24292F"/>
                    <w:sz w:val="18"/>
                  </w:rPr>
                  <w:t xml:space="preserve"> (full text access blocked)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4"/>
                <w:alias w:val="table_1b Row 7 Col 4"/>
              </w:sdtPr>
              <w:sdtContent>
                <w:r/>
                <w:r>
                  <w:rPr>
                    <w:color w:val="24292F"/>
                    <w:sz w:val="18"/>
                  </w:rPr>
                  <w:t>Prompting only (no RAG ablation)</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5"/>
                <w:alias w:val="table_1b Row 7 Col 5"/>
              </w:sdtPr>
              <w:sdtContent>
                <w:r/>
                <w:r>
                  <w:rPr>
                    <w:b/>
                    <w:color w:val="24292F"/>
                    <w:sz w:val="18"/>
                  </w:rPr>
                  <w:t>Yes (Strictly matched gpt-5.6-luna w/o RAG)</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0"/>
                <w:alias w:val="table_1b Row 8 Col 0"/>
              </w:sdtPr>
              <w:sdtContent>
                <w:r/>
                <w:r>
                  <w:rPr>
                    <w:b/>
                    <w:color w:val="24292F"/>
                    <w:sz w:val="18"/>
                  </w:rPr>
                  <w:t>8. Top-k Retrieval Ablation?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1"/>
                <w:alias w:val="table_1b Row 8 Col 1"/>
              </w:sdtPr>
              <w:sdtContent>
                <w:r/>
                <w:r>
                  <w:rPr>
                    <w:color w:val="24292F"/>
                    <w:sz w:val="18"/>
                  </w:rPr>
                  <w:t xml:space="preserve">Tactic count </w:t>
                </w:r>
                <m:oMath>
                  <m:r>
                    <w:rPr>
                      <w:color w:val="24292F"/>
                      <w:sz w:val="18"/>
                    </w:rPr>
                    <m:t>M</m:t>
                  </m:r>
                </m:oMath>
                <w:r>
                  <w:rPr>
                    <w:color w:val="24292F"/>
                    <w:sz w:val="18"/>
                  </w:rPr>
                  <w:t xml:space="preserve"> sensitivity (peak </w:t>
                </w:r>
                <m:oMath>
                  <m:r>
                    <w:rPr>
                      <w:color w:val="24292F"/>
                      <w:sz w:val="18"/>
                    </w:rPr>
                    <m:t>M</m:t>
                  </m:r>
                  <m:r>
                    <w:rPr>
                      <w:color w:val="24292F"/>
                      <w:sz w:val="18"/>
                    </w:rPr>
                    <m:t>=</m:t>
                  </m:r>
                  <m:r>
                    <w:rPr>
                      <w:color w:val="24292F"/>
                      <w:sz w:val="18"/>
                    </w:rPr>
                    <m:t>3</m:t>
                  </m:r>
                </m:oMath>
                <w:r>
                  <w:rPr>
                    <w:color w:val="24292F"/>
                    <w:sz w:val="18"/>
                  </w:rPr>
                  <w:t xml:space="preserve">, quota </w:t>
                </w:r>
                <m:oMath>
                  <m:sSub>
                    <m:e>
                      <m:r>
                        <w:rPr>
                          <w:color w:val="24292F"/>
                          <w:sz w:val="18"/>
                        </w:rPr>
                        <m:t>K</m:t>
                      </m:r>
                    </m:e>
                    <m:sub>
                      <m:r>
                        <w:rPr>
                          <w:color w:val="24292F"/>
                          <w:sz w:val="18"/>
                        </w:rPr>
                        <m:t>A</m:t>
                      </m:r>
                    </m:sub>
                  </m:sSub>
                  <m:r>
                    <w:rPr>
                      <w:color w:val="24292F"/>
                      <w:sz w:val="18"/>
                    </w:rPr>
                    <m:t>=</m:t>
                  </m:r>
                  <m:r>
                    <w:rPr>
                      <w:color w:val="24292F"/>
                      <w:sz w:val="18"/>
                    </w:rPr>
                    <m:t>15</m:t>
                  </m:r>
                </m:oMath>
                <w:r>
                  <w:rPr>
                    <w:color w:val="24292F"/>
                    <w:sz w:val="18"/>
                  </w:rPr>
                  <w:t xml:space="preserve">); not flat </w:t>
                </w:r>
                <m:oMath>
                  <m:r>
                    <w:rPr>
                      <w:color w:val="24292F"/>
                      <w:sz w:val="18"/>
                    </w:rPr>
                    <m:t>k</m:t>
                  </m:r>
                </m:oMath>
                <w:r>
                  <w:rPr>
                    <w:color w:val="24292F"/>
                    <w:sz w:val="18"/>
                  </w:rPr>
                  <w:t xml:space="preserve"> sweep</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2"/>
                <w:alias w:val="table_1b Row 8 Col 2"/>
              </w:sdtPr>
              <w:sdtContent>
                <w:r/>
                <w:r>
                  <w:rPr>
                    <w:color w:val="24292F"/>
                    <w:sz w:val="18"/>
                  </w:rPr>
                  <w:t>Fixed retriever depth (5 chunks), output cutoff 5</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3"/>
                <w:alias w:val="table_1b Row 8 Col 3"/>
              </w:sdtPr>
              <w:sdtContent>
                <w:r/>
                <w:r>
                  <w:rPr>
                    <w:color w:val="24292F"/>
                    <w:sz w:val="18"/>
                  </w:rPr>
                  <w:t>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4"/>
                <w:alias w:val="table_1b Row 8 Col 4"/>
              </w:sdtPr>
              <w:sdtContent>
                <w:r/>
                <w:r>
                  <w:rPr>
                    <w:color w:val="24292F"/>
                    <w:sz w:val="18"/>
                  </w:rPr>
                  <w:t xml:space="preserve">Output cutoff </w:t>
                </w:r>
                <m:oMath>
                  <m:r>
                    <w:rPr>
                      <w:color w:val="24292F"/>
                      <w:sz w:val="18"/>
                    </w:rPr>
                    <m:t>k</m:t>
                  </m:r>
                  <m:r>
                    <w:rPr>
                      <w:color w:val="24292F"/>
                      <w:sz w:val="18"/>
                    </w:rPr>
                    <m:t>∈</m:t>
                  </m:r>
                  <m:r>
                    <w:rPr>
                      <w:color w:val="24292F"/>
                      <w:sz w:val="18"/>
                    </w:rPr>
                    <m:t>{</m:t>
                  </m:r>
                  <m:r>
                    <w:rPr>
                      <w:color w:val="24292F"/>
                      <w:sz w:val="18"/>
                    </w:rPr>
                    <m:t>3</m:t>
                  </m:r>
                  <m:r>
                    <w:rPr>
                      <w:color w:val="24292F"/>
                      <w:sz w:val="18"/>
                    </w:rPr>
                    <m:t>,</m:t>
                  </m:r>
                  <m:r>
                    <w:rPr>
                      <w:color w:val="24292F"/>
                      <w:sz w:val="18"/>
                    </w:rPr>
                    <m:t>10</m:t>
                  </m:r>
                  <m:r>
                    <w:rPr>
                      <w:color w:val="24292F"/>
                      <w:sz w:val="18"/>
                    </w:rPr>
                    <m:t>}</m:t>
                  </m:r>
                </m:oMath>
                <w:r>
                  <w:rPr>
                    <w:color w:val="24292F"/>
                    <w:sz w:val="18"/>
                  </w:rPr>
                  <w:t>, not retriever depth</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5"/>
                <w:alias w:val="table_1b Row 8 Col 5"/>
              </w:sdtPr>
              <w:sdtContent>
                <w:r/>
                <w:r>
                  <w:rPr>
                    <w:b/>
                    <w:color w:val="24292F"/>
                    <w:sz w:val="18"/>
                  </w:rPr>
                  <w:t>Yes (</w:t>
                </w:r>
                <m:oMath>
                  <m:r>
                    <w:rPr>
                      <w:color w:val="24292F"/>
                      <w:sz w:val="18"/>
                      <w:b/>
                    </w:rPr>
                    <m:t>k</m:t>
                  </m:r>
                  <m:r>
                    <w:rPr>
                      <w:color w:val="24292F"/>
                      <w:sz w:val="18"/>
                      <w:b/>
                    </w:rPr>
                    <m:t>∈</m:t>
                  </m:r>
                  <m:r>
                    <w:rPr>
                      <w:color w:val="24292F"/>
                      <w:sz w:val="18"/>
                      <w:b/>
                    </w:rPr>
                    <m:t>{</m:t>
                  </m:r>
                  <m:r>
                    <w:rPr>
                      <w:color w:val="24292F"/>
                      <w:sz w:val="18"/>
                      <w:b/>
                    </w:rPr>
                    <m:t>1</m:t>
                  </m:r>
                  <m:r>
                    <w:rPr>
                      <w:color w:val="24292F"/>
                      <w:sz w:val="18"/>
                      <w:b/>
                    </w:rPr>
                    <m:t>,</m:t>
                  </m:r>
                  <m:r>
                    <w:rPr>
                      <w:color w:val="24292F"/>
                      <w:sz w:val="18"/>
                      <w:b/>
                    </w:rPr>
                    <m:t>3</m:t>
                  </m:r>
                  <m:r>
                    <w:rPr>
                      <w:color w:val="24292F"/>
                      <w:sz w:val="18"/>
                      <w:b/>
                    </w:rPr>
                    <m:t>,</m:t>
                  </m:r>
                  <m:r>
                    <w:rPr>
                      <w:color w:val="24292F"/>
                      <w:sz w:val="18"/>
                      <w:b/>
                    </w:rPr>
                    <m:t>5</m:t>
                  </m:r>
                  <m:r>
                    <w:rPr>
                      <w:color w:val="24292F"/>
                      <w:sz w:val="18"/>
                      <w:b/>
                    </w:rPr>
                    <m:t>,</m:t>
                  </m:r>
                  <m:r>
                    <w:rPr>
                      <w:color w:val="24292F"/>
                      <w:sz w:val="18"/>
                      <w:b/>
                    </w:rPr>
                    <m:t>10</m:t>
                  </m:r>
                  <m:r>
                    <w:rPr>
                      <w:color w:val="24292F"/>
                      <w:sz w:val="18"/>
                      <w:b/>
                    </w:rPr>
                    <m:t>}</m:t>
                  </m:r>
                </m:oMath>
                <w:r>
                  <w:rPr>
                    <w:b/>
                    <w:color w:val="24292F"/>
                    <w:sz w:val="18"/>
                  </w:rPr>
                  <w:t xml:space="preserve"> systematically ablated)</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0"/>
                <w:alias w:val="table_1b Row 9 Col 0"/>
              </w:sdtPr>
              <w:sdtContent>
                <w:r/>
                <w:r>
                  <w:rPr>
                    <w:b/>
                    <w:color w:val="24292F"/>
                    <w:sz w:val="18"/>
                  </w:rPr>
                  <w:t>9. Standalone Retriever Metrics?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1"/>
                <w:alias w:val="table_1b Row 9 Col 1"/>
              </w:sdtPr>
              <w:sdtContent>
                <w:r/>
                <w:r>
                  <w:rPr>
                    <w:color w:val="24292F"/>
                    <w:sz w:val="18"/>
                  </w:rPr>
                  <w:t>Micro P/R/F1, MAP@10; standalone Recall@k NOT REPORTED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2"/>
                <w:alias w:val="table_1b Row 9 Col 2"/>
              </w:sdtPr>
              <w:sdtContent>
                <w:r/>
                <w:r>
                  <w:rPr>
                    <w:b/>
                    <w:color w:val="24292F"/>
                    <w:sz w:val="18"/>
                  </w:rPr>
                  <w:t>NOT REPORTED</w:t>
                </w:r>
                <w:r>
                  <w:rPr>
                    <w:color w:val="24292F"/>
                    <w:sz w:val="18"/>
                  </w:rPr>
                  <w:t xml:space="preserve"> (Fixed 5 chunks; standalone Recall@k not separable from downstream scores)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3"/>
                <w:alias w:val="table_1b Row 9 Col 3"/>
              </w:sdtPr>
              <w:sdtContent>
                <w:r/>
                <w:r>
                  <w:rPr>
                    <w:color w:val="24292F"/>
                    <w:sz w:val="18"/>
                  </w:rPr>
                  <w:t>UNVERIFIED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4"/>
                <w:alias w:val="table_1b Row 9 Col 4"/>
              </w:sdtPr>
              <w:sdtContent>
                <w:r/>
                <w:r>
                  <w:rPr>
                    <w:color w:val="24292F"/>
                    <w:sz w:val="18"/>
                  </w:rPr>
                  <w:t>N/A</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5"/>
                <w:alias w:val="table_1b Row 9 Col 5"/>
              </w:sdtPr>
              <w:sdtContent>
                <w:r/>
                <w:r>
                  <w:rPr>
                    <w:b/>
                    <w:color w:val="24292F"/>
                    <w:sz w:val="18"/>
                  </w:rPr>
                  <w:t>Yes (Hit@k, Recall@k, Median Rank explicitly reported)</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0"/>
                <w:alias w:val="table_1b Row 10 Col 0"/>
              </w:sdtPr>
              <w:sdtContent>
                <w:r/>
                <w:r>
                  <w:rPr>
                    <w:b/>
                    <w:color w:val="24292F"/>
                    <w:sz w:val="18"/>
                  </w:rPr>
                  <w:t>10. Failure Decomposition?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1"/>
                <w:alias w:val="table_1b Row 10 Col 1"/>
              </w:sdtPr>
              <w:sdtContent>
                <w:r/>
                <w:r>
                  <w:rPr>
                    <w:color w:val="24292F"/>
                    <w:sz w:val="18"/>
                  </w:rPr>
                  <w:t>Analyzes distractor impact in flat vs hierarchical</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2"/>
                <w:alias w:val="table_1b Row 10 Col 2"/>
              </w:sdtPr>
              <w:sdtContent>
                <w:r/>
                <w:r>
                  <w:rPr>
                    <w:color w:val="24292F"/>
                    <w:sz w:val="18"/>
                  </w:rPr>
                  <w:t>No (End-to-end system evaluation)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3"/>
                <w:alias w:val="table_1b Row 10 Col 3"/>
              </w:sdtPr>
              <w:sdtContent>
                <w:r/>
                <w:r>
                  <w:rPr>
                    <w:color w:val="24292F"/>
                    <w:sz w:val="18"/>
                  </w:rPr>
                  <w:t>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4"/>
                <w:alias w:val="table_1b Row 10 Col 4"/>
              </w:sdtPr>
              <w:sdtContent>
                <w:r/>
                <w:r>
                  <w:rPr>
                    <w:color w:val="24292F"/>
                    <w:sz w:val="18"/>
                  </w:rPr>
                  <w:t>No</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5"/>
                <w:alias w:val="table_1b Row 10 Col 5"/>
              </w:sdtPr>
              <w:sdtContent>
                <w:r/>
                <w:r>
                  <w:rPr>
                    <w:b/>
                    <w:color w:val="24292F"/>
                    <w:sz w:val="18"/>
                  </w:rPr>
                  <w:t>Independent axes with overlaps</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0"/>
                <w:alias w:val="table_1b Row 11 Col 0"/>
              </w:sdtPr>
              <w:sdtContent>
                <w:r/>
                <w:r>
                  <w:rPr>
                    <w:b/>
                    <w:color w:val="24292F"/>
                    <w:sz w:val="18"/>
                  </w:rPr>
                  <w:t>11. Telemetry Leakage Controls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1"/>
                <w:alias w:val="table_1b Row 11 Col 1"/>
              </w:sdtPr>
              <w:sdtContent>
                <w:r/>
                <w:r>
                  <w:rPr>
                    <w:color w:val="24292F"/>
                    <w:sz w:val="18"/>
                  </w:rPr>
                  <w:t>CTI text; curated benchmarks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2"/>
                <w:alias w:val="table_1b Row 11 Col 2"/>
              </w:sdtPr>
              <w:sdtContent>
                <w:r/>
                <w:r>
                  <w:rPr>
                    <w:color w:val="24292F"/>
                    <w:sz w:val="18"/>
                  </w:rPr>
                  <w:t>Kernel syscalls; no detector rule metadata</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3"/>
                <w:alias w:val="table_1b Row 11 Col 3"/>
              </w:sdtPr>
              <w:sdtContent>
                <w:r/>
                <w:r>
                  <w:rPr>
                    <w:b/>
                    <w:color w:val="24292F"/>
                    <w:sz w:val="18"/>
                  </w:rPr>
                  <w:t>UNVERIFIED</w:t>
                </w:r>
                <w:r>
                  <w:rPr>
                    <w:color w:val="24292F"/>
                    <w:sz w:val="18"/>
                  </w:rPr>
                  <w:t xml:space="preserve"> (full text access blocked)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4"/>
                <w:alias w:val="table_1b Row 11 Col 4"/>
              </w:sdtPr>
              <w:sdtContent>
                <w:r/>
                <w:r>
                  <w:rPr>
                    <w:color w:val="24292F"/>
                    <w:sz w:val="18"/>
                  </w:rPr>
                  <w:t>Script command lines analyzed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5"/>
                <w:alias w:val="table_1b Row 11 Col 5"/>
              </w:sdtPr>
              <w:sdtContent>
                <w:r/>
                <w:r>
                  <w:rPr>
                    <w:b/>
                    <w:color w:val="24292F"/>
                    <w:sz w:val="18"/>
                  </w:rPr>
                  <w:t>Strict field whitelist; detector rules/labels purged</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0"/>
                <w:alias w:val="table_1b Row 12 Col 0"/>
              </w:sdtPr>
              <w:sdtContent>
                <w:r/>
                <w:r>
                  <w:rPr>
                    <w:b/>
                    <w:color w:val="24292F"/>
                    <w:sz w:val="18"/>
                  </w:rPr>
                  <w:t>12. Primary Models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1"/>
                <w:alias w:val="table_1b Row 12 Col 1"/>
              </w:sdtPr>
              <w:sdtContent>
                <w:r/>
                <w:r>
                  <w:rPr>
                    <w:color w:val="24292F"/>
                    <w:sz w:val="18"/>
                  </w:rPr>
                  <w:t>Llama-3-8B-Instruct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2"/>
                <w:alias w:val="table_1b Row 12 Col 2"/>
              </w:sdtPr>
              <w:sdtContent>
                <w:r/>
                <w:r>
                  <w:rPr>
                    <w:color w:val="24292F"/>
                    <w:sz w:val="18"/>
                  </w:rPr>
                  <w:t>foundation-sec-8b, qwen3.5-9b, gpt-oss, gemma4-31b-it, deepseek-r1-qwen32b, llama3.3-70b</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3"/>
                <w:alias w:val="table_1b Row 12 Col 3"/>
              </w:sdtPr>
              <w:sdtContent>
                <w:r/>
                <w:r>
                  <w:rPr>
                    <w:b/>
                    <w:color w:val="24292F"/>
                    <w:sz w:val="18"/>
                  </w:rPr>
                  <w:t>NOT REPORTED / 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4"/>
                <w:alias w:val="table_1b Row 12 Col 4"/>
              </w:sdtPr>
              <w:sdtContent>
                <w:r/>
                <w:r>
                  <w:rPr>
                    <w:color w:val="24292F"/>
                    <w:sz w:val="18"/>
                  </w:rPr>
                  <w:t>gpt-oss-120B, Llama-3.3-70B, Mistral-Small-3.2-24B, Gemini-2.5-Pro</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5"/>
                <w:alias w:val="table_1b Row 12 Col 5"/>
              </w:sdtPr>
              <w:sdtContent>
                <w:r/>
                <w:r>
                  <w:rPr>
                    <w:b/>
                    <w:color w:val="24292F"/>
                    <w:sz w:val="18"/>
                  </w:rPr>
                  <w:t>OpenAI gpt-5.6-luna (xhigh reasoning effort)</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0"/>
                <w:alias w:val="table_1b Row 13 Col 0"/>
              </w:sdtPr>
              <w:sdtContent>
                <w:r/>
                <w:r>
                  <w:rPr>
                    <w:b/>
                    <w:color w:val="24292F"/>
                    <w:sz w:val="18"/>
                  </w:rPr>
                  <w:t>13. Headline Metrics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1"/>
                <w:alias w:val="table_1b Row 13 Col 1"/>
              </w:sdtPr>
              <w:sdtContent>
                <w:r/>
                <w:r>
                  <w:rPr>
                    <w:color w:val="24292F"/>
                    <w:sz w:val="18"/>
                  </w:rPr>
                  <w:t>Micro P/R/F1, MAP@10, Latency, API calls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2"/>
                <w:alias w:val="table_1b Row 13 Col 2"/>
              </w:sdtPr>
              <w:sdtContent>
                <w:r/>
                <w:r>
                  <w:rPr>
                    <w:color w:val="24292F"/>
                    <w:sz w:val="18"/>
                  </w:rPr>
                  <w:t>HR@5, MRR@5, NDCG@5</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3"/>
                <w:alias w:val="table_1b Row 13 Col 3"/>
              </w:sdtPr>
              <w:sdtContent>
                <w:r/>
                <w:r>
                  <w:rPr>
                    <w:b/>
                    <w:color w:val="24292F"/>
                    <w:sz w:val="18"/>
                  </w:rPr>
                  <w:t>NOT REPORTED / UNVERIFIED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4"/>
                <w:alias w:val="table_1b Row 13 Col 4"/>
              </w:sdtPr>
              <w:sdtContent>
                <w:r/>
                <w:r>
                  <w:rPr>
                    <w:color w:val="24292F"/>
                    <w:sz w:val="18"/>
                  </w:rPr>
                  <w:t>Precision, Recall, F1, HR/MRR/NDCG @ 3, 10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5"/>
                <w:alias w:val="table_1b Row 13 Col 5"/>
              </w:sdtPr>
              <w:sdtContent>
                <w:r/>
                <w:r>
                  <w:rPr>
                    <w:b/>
                    <w:color w:val="24292F"/>
                    <w:sz w:val="18"/>
                  </w:rPr>
                  <w:t>End-to-End Accuracy, 474-class Macro-F1, Recall@k</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0"/>
                <w:alias w:val="table_1b Row 14 Col 0"/>
              </w:sdtPr>
              <w:sdtContent>
                <w:r/>
                <w:r>
                  <w:rPr>
                    <w:b/>
                    <w:color w:val="24292F"/>
                    <w:sz w:val="18"/>
                  </w:rPr>
                  <w:t>14. Primary Dataset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1"/>
                <w:alias w:val="table_1b Row 14 Col 1"/>
              </w:sdtPr>
              <w:sdtContent>
                <w:r/>
                <w:r>
                  <w:rPr>
                    <w:color w:val="24292F"/>
                    <w:sz w:val="18"/>
                  </w:rPr>
                  <w:t>1,200 CTI-RCM + 2,800 MITRE + 450 TRAM</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2"/>
                <w:alias w:val="table_1b Row 14 Col 2"/>
              </w:sdtPr>
              <w:sdtContent>
                <w:r/>
                <w:r>
                  <w:rPr>
                    <w:color w:val="24292F"/>
                    <w:sz w:val="18"/>
                  </w:rPr>
                  <w:t>347 Linux Atomic Red Team executions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3"/>
                <w:alias w:val="table_1b Row 14 Col 3"/>
              </w:sdtPr>
              <w:sdtContent>
                <w:r/>
                <w:r>
                  <w:rPr>
                    <w:color w:val="24292F"/>
                    <w:sz w:val="18"/>
                  </w:rPr>
                  <w:t>Atomic Red Team Sysmon logs (metadata only)</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4"/>
                <w:alias w:val="table_1b Row 14 Col 4"/>
              </w:sdtPr>
              <w:sdtContent>
                <w:r/>
                <w:r>
                  <w:rPr>
                    <w:color w:val="24292F"/>
                    <w:sz w:val="18"/>
                  </w:rPr>
                  <w:t>AVIATOR (35/32 seqs) &amp; Caldera-derived (33 seqs per 2:1 setting + 5 lateral + 8 multi-stage)</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5"/>
                <w:alias w:val="table_1b Row 14 Col 5"/>
              </w:sdtPr>
              <w:sdtContent>
                <w:r/>
                <w:r>
                  <w:rPr>
                    <w:b/>
                    <w:color w:val="24292F"/>
                    <w:sz w:val="18"/>
                  </w:rPr>
                  <w:t>1,280 paired synthetic views (640 scenario pairs)</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0"/>
                <w:alias w:val="table_1b Row 15 Col 0"/>
              </w:sdtPr>
              <w:sdtContent>
                <w:r/>
                <w:r>
                  <w:rPr>
                    <w:b/>
                    <w:color w:val="24292F"/>
                    <w:sz w:val="18"/>
                  </w:rPr>
                  <w:t>15. Closest Similarity</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1"/>
                <w:alias w:val="table_1b Row 15 Col 1"/>
              </w:sdtPr>
              <w:sdtContent>
                <w:r/>
                <w:r>
                  <w:rPr>
                    <w:color w:val="24292F"/>
                    <w:sz w:val="18"/>
                  </w:rPr>
                  <w:t>Investigating retrieval depth &amp; distractor noise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2"/>
                <w:alias w:val="table_1b Row 15 Col 2"/>
              </w:sdtPr>
              <w:sdtContent>
                <w:r/>
                <w:r>
                  <w:rPr>
                    <w:color w:val="24292F"/>
                    <w:sz w:val="18"/>
                  </w:rPr>
                  <w:t>Telemetry-to-ATT&amp;CK mapping comparing RAG/prompt</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3"/>
                <w:alias w:val="table_1b Row 15 Col 3"/>
              </w:sdtPr>
              <w:sdtContent>
                <w:r/>
                <w:r>
                  <w:rPr>
                    <w:color w:val="24292F"/>
                    <w:sz w:val="18"/>
                  </w:rPr>
                  <w:t>Windows Sysmon mapped to ATT&amp;CK</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4"/>
                <w:alias w:val="table_1b Row 15 Col 4"/>
              </w:sdtPr>
              <w:sdtContent>
                <w:r/>
                <w:r>
                  <w:rPr>
                    <w:color w:val="24292F"/>
                    <w:sz w:val="18"/>
                  </w:rPr>
                  <w:t>Host command execution traces mapped to ATT&amp;CK</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5"/>
                <w:alias w:val="table_1b Row 15 Col 5"/>
              </w:sdtPr>
              <w:sdtContent>
                <w:r/>
                <w:r>
                  <w:rPr>
                    <w:b/>
                    <w:color w:val="24292F"/>
                    <w:sz w:val="18"/>
                  </w:rPr>
                  <w:t>Integrates telemetry, exact attribution, depth ablation</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0"/>
                <w:alias w:val="table_1b Row 16 Col 0"/>
              </w:sdtPr>
              <w:sdtContent>
                <w:r/>
                <w:r>
                  <w:rPr>
                    <w:b/>
                    <w:color w:val="24292F"/>
                    <w:sz w:val="18"/>
                  </w:rPr>
                  <w:t>16. Key Difference</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1"/>
                <w:alias w:val="table_1b Row 16 Col 1"/>
              </w:sdtPr>
              <w:sdtContent>
                <w:r/>
                <w:r>
                  <w:rPr>
                    <w:color w:val="24292F"/>
                    <w:sz w:val="18"/>
                  </w:rPr>
                  <w:t>Unstructured CTI text; hierarchical routing</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2"/>
                <w:alias w:val="table_1b Row 16 Col 2"/>
              </w:sdtPr>
              <w:sdtContent>
                <w:r/>
                <w:r>
                  <w:rPr>
                    <w:color w:val="24292F"/>
                    <w:sz w:val="18"/>
                  </w:rPr>
                  <w:t>Linux eBPF provenance graphs; no depth ablation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3"/>
                <w:alias w:val="table_1b Row 16 Col 3"/>
              </w:sdtPr>
              <w:sdtContent>
                <w:r/>
                <w:r>
                  <w:rPr>
                    <w:color w:val="24292F"/>
                    <w:sz w:val="18"/>
                  </w:rPr>
                  <w:t>UNVERIFIED (IEEE record only; full text inaccessible)</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4"/>
                <w:alias w:val="table_1b Row 16 Col 4"/>
              </w:sdtPr>
              <w:sdtContent>
                <w:r/>
                <w:r>
                  <w:rPr>
                    <w:color w:val="24292F"/>
                    <w:sz w:val="18"/>
                  </w:rPr>
                  <w:t>Prompting only (no RAG); AVIATOR (35/32 seqs) &amp; Caldera-derived (33 seqs per 2:1 setting)</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5"/>
                <w:alias w:val="table_1b Row 16 Col 5"/>
              </w:sdtPr>
              <w:sdtContent>
                <w:r/>
                <w:r>
                  <w:rPr>
                    <w:b/>
                    <w:color w:val="24292F"/>
                    <w:sz w:val="18"/>
                  </w:rPr>
                  <w:t>Windows endpoint logs + exact ID + depth ablation + error split</w:t>
                </w:r>
              </w:sdtContent>
            </w:sdt>
          </w:p>
        </w:tc>
      </w:tr>
    </w:tbl>
    <w:p>
      <w:pPr>
        <w:spacing w:after="120"/>
      </w:pPr>
    </w:p>
    <w:p>
      <w:r>
        <w:rPr>
          <w:i/>
        </w:rPr>
        <w:t>Note on Adediran et al. [10]: The published primary text contains an unresolved internal discrepancy without authorial resolution, stating in Section 2 and conclusion that retrieval-generation gaps account for 60% of errors, while Section 6.4.1 heading reports 26%. We refrain from imputing derived fractions (such as 5/19 or 26.3%) to the authors.</w:t>
      </w:r>
    </w:p>
    <w:p>
      <w:pPr>
        <w:pStyle w:val="Heading2"/>
        <w:keepNext/>
        <w:spacing w:before="200" w:after="80"/>
      </w:pPr>
      <w:r>
        <w:rPr>
          <w:rFonts w:ascii="Calibri" w:hAnsi="Calibri"/>
          <w:b/>
          <w:color w:val="1F2328"/>
          <w:sz w:val="24"/>
        </w:rPr>
        <w:t>2.3 Detailed Comparative Synthesis</w:t>
      </w:r>
    </w:p>
    <w:p>
      <w:pPr>
        <w:spacing w:after="40" w:line="276" w:lineRule="auto"/>
        <w:ind w:left="432" w:hanging="288"/>
      </w:pPr>
      <w:r>
        <w:rPr>
          <w:rFonts w:ascii="Calibri" w:hAnsi="Calibri"/>
          <w:b/>
          <w:color w:val="24292F"/>
        </w:rPr>
        <w:t xml:space="preserve">1. </w:t>
      </w: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xml:space="preserve">, registry paths, hex codes). H-TechniqueRAG explores sensitivity to tactic count </w:t>
      </w:r>
      <m:oMath>
        <m:r>
          <m:t>M</m:t>
        </m:r>
      </m:oMath>
      <w:r>
        <w:t xml:space="preserve"> (with peak at </w:t>
      </w:r>
      <m:oMath>
        <m:r>
          <m:t>M</m:t>
        </m:r>
        <m:r>
          <m:t>=</m:t>
        </m:r>
        <m:r>
          <m:t>3</m:t>
        </m:r>
      </m:oMath>
      <w:r>
        <w:t xml:space="preserve"> and per-tactic quota </w:t>
      </w:r>
      <m:oMath>
        <m:sSub>
          <m:e>
            <m:r>
              <m:t>K</m:t>
            </m:r>
          </m:e>
          <m:sub>
            <m:r>
              <m:t>A</m:t>
            </m:r>
          </m:sub>
        </m:sSub>
        <m:r>
          <m:t>=</m:t>
        </m:r>
        <m:r>
          <m:t>15</m:t>
        </m:r>
      </m:oMath>
      <w:r>
        <w:t xml:space="preserve">) alongside a zero-shot direct Llama 3 baseline, but does not ablate flat retriever depth </w:t>
      </w:r>
      <m:oMath>
        <m:r>
          <m:t>k</m:t>
        </m:r>
      </m:oMath>
      <w:r>
        <w:t>. Findings from CTI-based RAG cannot be assumed to transfer directly to telemetry.</w:t>
      </w:r>
    </w:p>
    <w:p>
      <w:pPr>
        <w:spacing w:after="40" w:line="276" w:lineRule="auto"/>
        <w:ind w:left="432" w:hanging="288"/>
      </w:pPr>
      <w:r>
        <w:rPr>
          <w:rFonts w:ascii="Calibri" w:hAnsi="Calibri"/>
          <w:b/>
          <w:color w:val="24292F"/>
        </w:rPr>
        <w:t xml:space="preserve">2. </w:t>
      </w:r>
      <w:r>
        <w:rPr>
          <w:b/>
        </w:rPr>
        <w:t>Telemetry Attribution Approaches:</w:t>
      </w:r>
      <w:r>
        <w:t xml:space="preserve"> Trace2ATT&amp;CK [11] evaluates RAG for mapping kernel telemetry to ATT&amp;CK across foundation-sec-8b-reasoning, qwen3.5-9b, gpt-oss20b/120b, gemma4-31b-it, deepseek-r1-distill-qwen32b, and llama3.3-70b-instruct, but restricts its scope to Linux eBPF execution graphs across 347 Atomic Red Team tests, maintaining a fixed retriever depth (5 chunks) and output cutoff (5 candidates) where standalone retriever Recall@k cannot be separated from downstream mapping scores. Adediran et al. [10] evaluate Gemini 2.5 Pro on AWS CloudTrail logs across 200 events, demonstrating that RAG improves cloud threat detection, but employs a two-step query expansion pipeline without isolating retrieval depth </w:t>
      </w:r>
      <m:oMath>
        <m:r>
          <m:t>k</m:t>
        </m:r>
      </m:oMath>
      <w:r>
        <w:t xml:space="preserve"> and exhibits an unresolved reporting discrepancy (60% vs 26%). CAM-LDS [8] evaluates zero-shot LLM log interpretation across multiple Linux and network sources with frontier models (GPT-5.5, GPT-5.2, Llama 4, Qwen 3, Ministral per §5.1), supporting output candidate ranking (Top-</w:t>
      </w:r>
      <m:oMath>
        <m:r>
          <m:t>k</m:t>
        </m:r>
      </m:oMath>
      <w:r>
        <w:t>) and parent-technique evaluation (§5.2.2), but deliberately excludes RAG.</w:t>
      </w:r>
    </w:p>
    <w:p>
      <w:pPr>
        <w:spacing w:after="40" w:line="276" w:lineRule="auto"/>
        <w:ind w:left="432" w:hanging="288"/>
      </w:pPr>
      <w:r>
        <w:rPr>
          <w:rFonts w:ascii="Calibri" w:hAnsi="Calibri"/>
          <w:b/>
          <w:color w:val="24292F"/>
        </w:rPr>
        <w:t xml:space="preserve">3. </w:t>
      </w:r>
      <w:r>
        <w:rPr>
          <w:b/>
        </w:rPr>
        <w:t>The Conflation of Output Cutoff and Retriever Depth:</w:t>
      </w:r>
      <w:r>
        <w:t xml:space="preserve"> Multiple prior works (CAM-LDS [8], LADE [12], Trace2ATT&amp;CK [11]) report metrics like Top-</w:t>
      </w:r>
      <m:oMath>
        <m:r>
          <m:t>k</m:t>
        </m:r>
      </m:oMath>
      <w:r>
        <w:t xml:space="preserve"> Hit Rate, P@</w:t>
      </w:r>
      <m:oMath>
        <m:r>
          <m:t>k</m:t>
        </m:r>
      </m:oMath>
      <w:r>
        <w:t>, or NDCG@</w:t>
      </w:r>
      <m:oMath>
        <m:r>
          <m:t>k</m:t>
        </m:r>
      </m:oMath>
      <w:r>
        <w:t xml:space="preserve">. In CAM-LDS and LADE, </w:t>
      </w:r>
      <m:oMath>
        <m:r>
          <m:t>k</m:t>
        </m:r>
      </m:oMath>
      <w:r>
        <w:t xml:space="preserve">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xml:space="preserve">), while the retriever depth </w:t>
      </w:r>
      <m:oMath>
        <m:r>
          <m:t>k</m:t>
        </m:r>
        <m:r>
          <m:t>∈</m:t>
        </m:r>
        <m:r>
          <m:t>{</m:t>
        </m:r>
        <m:r>
          <m:t>1</m:t>
        </m:r>
        <m:r>
          <m:t>,</m:t>
        </m:r>
        <m:r>
          <m:t>3</m:t>
        </m:r>
        <m:r>
          <m:t>,</m:t>
        </m:r>
        <m:r>
          <m:t>5</m:t>
        </m:r>
        <m:r>
          <m:t>,</m:t>
        </m:r>
        <m:r>
          <m:t>10</m:t>
        </m:r>
        <m:r>
          <m:t>}</m:t>
        </m:r>
      </m:oMath>
      <w:r>
        <w:t xml:space="preserve"> is systematically ablated.</w:t>
      </w:r>
    </w:p>
    <w:p>
      <w:pPr>
        <w:spacing w:after="40" w:line="276" w:lineRule="auto"/>
        <w:ind w:left="432" w:hanging="288"/>
      </w:pPr>
      <w:r>
        <w:rPr>
          <w:rFonts w:ascii="Calibri" w:hAnsi="Calibri"/>
          <w:b/>
          <w:color w:val="24292F"/>
        </w:rPr>
        <w:t xml:space="preserve">4. </w:t>
      </w: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evaluating retrieval misses alongside downstream generation discrepancies along independent measurement axes with overlaps, RAG2ATTCK establishes a rigorous benchmark for knowledge-grounded security reasoning.</w:t>
      </w:r>
    </w:p>
    <w:p>
      <w:pPr>
        <w:spacing w:before="120" w:after="120"/>
        <w:pBdr>
          <w:bottom w:val="single" w:sz="6" w:space="1" w:color="D0D7DE"/>
        </w:pBdr>
      </w:pPr>
    </w:p>
    <w:p>
      <w:pPr>
        <w:pStyle w:val="Heading1"/>
        <w:keepNext/>
        <w:spacing w:before="280" w:after="120"/>
      </w:pPr>
      <w:r>
        <w:rPr>
          <w:rFonts w:ascii="Georgia" w:hAnsi="Georgia"/>
          <w:b/>
          <w:color w:val="0A2540"/>
          <w:sz w:val="28"/>
        </w:rPr>
        <w:t>3. Threat Model, Benchmark Scope, and Telemetry Boundaries</w:t>
      </w:r>
    </w:p>
    <w:p>
      <w:pPr>
        <w:pStyle w:val="Heading2"/>
        <w:keepNext/>
        <w:spacing w:before="200" w:after="80"/>
      </w:pPr>
      <w:r>
        <w:rPr>
          <w:rFonts w:ascii="Calibri" w:hAnsi="Calibri"/>
          <w:b/>
          <w:color w:val="1F2328"/>
          <w:sz w:val="24"/>
        </w:rPr>
        <w:t>3.1 MITRE ATT&amp;CK Enterprise Matrix v19.2</w:t>
      </w:r>
    </w:p>
    <w:p>
      <w:r>
        <w:t xml:space="preserve">All retrieval, ground truth, and evaluation components in RAG2ATTCK are cryptographically bound to the official MITRE ATT&amp;CK Enterprise Matrix release v19.2 [1] (published 05 August 2026; pinned STIX repository release: </w:t>
      </w:r>
      <w:r>
        <w:rPr>
          <w:rFonts w:ascii="Consolas" w:hAnsi="Consolas"/>
          <w:color w:val="8A1F11"/>
          <w:sz w:val="19"/>
        </w:rPr>
        <w:t>https://github.com/mitre-attack/attack-stix-data/releases/tag/v19.2</w:t>
      </w:r>
      <w:r>
        <w:t xml:space="preserve">, with version history horizon beginning 28 April 2026 at </w:t>
      </w:r>
      <w:r>
        <w:rPr>
          <w:rFonts w:ascii="Consolas" w:hAnsi="Consolas"/>
          <w:color w:val="8A1F11"/>
          <w:sz w:val="19"/>
        </w:rPr>
        <w:t>https://attack.mitre.org/resources/versions/</w:t>
      </w:r>
      <w:r>
        <w:t>):</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The raw STIX v19.2 catalog contains exactly </w:t>
      </w:r>
      <w:r>
        <w:rPr>
          <w:b/>
        </w:rPr>
        <w:t>858</w:t>
      </w:r>
      <w:r>
        <w:t xml:space="preserve"> </w:t>
      </w:r>
      <w:r>
        <w:rPr>
          <w:rFonts w:ascii="Consolas" w:hAnsi="Consolas"/>
          <w:color w:val="8A1F11"/>
          <w:sz w:val="19"/>
        </w:rPr>
        <w:t>attack-pattern</w:t>
      </w:r>
      <w:r>
        <w:t xml:space="preserve"> objects. We identify </w:t>
      </w:r>
      <w:r>
        <w:rPr>
          <w:b/>
        </w:rPr>
        <w:t>161 unique inactive</w:t>
      </w:r>
      <w:r>
        <w:t xml:space="preserve"> technique objects, comprising </w:t>
      </w:r>
      <w:r>
        <w:rPr>
          <w:b/>
        </w:rPr>
        <w:t>149 revoked</w:t>
      </w:r>
      <w:r>
        <w:t xml:space="preserve"> (</w:t>
      </w:r>
      <w:r>
        <w:rPr>
          <w:rFonts w:ascii="Consolas" w:hAnsi="Consolas"/>
          <w:color w:val="8A1F11"/>
          <w:sz w:val="19"/>
        </w:rPr>
        <w:t>revoked: true</w:t>
      </w:r>
      <w:r>
        <w:t xml:space="preserve">) and </w:t>
      </w:r>
      <w:r>
        <w:rPr>
          <w:b/>
        </w:rPr>
        <w:t>12 deprecated</w:t>
      </w:r>
      <w:r>
        <w:t xml:space="preserve"> (</w:t>
      </w:r>
      <w:r>
        <w:rPr>
          <w:rFonts w:ascii="Consolas" w:hAnsi="Consolas"/>
          <w:color w:val="8A1F11"/>
          <w:sz w:val="19"/>
        </w:rPr>
        <w:t>x_mitre_deprecated: true</w:t>
      </w:r>
      <w:r>
        <w:t>) objects with zero overlap between sets (</w:t>
      </w:r>
      <m:oMath>
        <m:r>
          <m:t>149</m:t>
        </m:r>
        <m:r>
          <m:t>+</m:t>
        </m:r>
        <m:r>
          <m:t>12</m:t>
        </m:r>
        <m:r>
          <m:t>=</m:t>
        </m:r>
        <m:r>
          <m:t>161</m:t>
        </m:r>
      </m:oMath>
      <w:r>
        <w:t xml:space="preserve">). Filtering inactive objects yields </w:t>
      </w:r>
      <w:r>
        <w:rPr>
          <w:b/>
        </w:rPr>
        <w:t>697 active enterprise techniques</w:t>
      </w:r>
      <w:r>
        <w:t>. Filtering for host Windows execution (</w:t>
      </w:r>
      <w:r>
        <w:rPr>
          <w:rFonts w:ascii="Consolas" w:hAnsi="Consolas"/>
          <w:color w:val="8A1F11"/>
          <w:sz w:val="19"/>
        </w:rPr>
        <w:t>"Windows" in x_mitre_platforms</w:t>
      </w:r>
      <w:r>
        <w:t xml:space="preserve">) yields an active Windows corpus of exactly </w:t>
      </w:r>
      <w:r>
        <w:rPr>
          <w:b/>
        </w:rPr>
        <w:t>474 techniques and sub-techniques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keepNext/>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d6aa89831dec75362b4fd48de0fd6e7082290f2be0cb7bd0afc6bc518148db8b</w:t>
      </w:r>
      <w:r>
        <w:t>):</w:t>
      </w:r>
    </w:p>
    <w:p>
      <w:pPr>
        <w:spacing w:after="40" w:line="276" w:lineRule="auto"/>
        <w:ind w:left="432" w:hanging="288"/>
      </w:pPr>
      <w:r>
        <w:rPr>
          <w:rFonts w:ascii="Calibri" w:hAnsi="Calibri"/>
          <w:b/>
          <w:color w:val="24292F"/>
        </w:rPr>
        <w:t xml:space="preserve">1. </w:t>
      </w:r>
      <w:r>
        <w:rPr>
          <w:rFonts w:ascii="Consolas" w:hAnsi="Consolas"/>
          <w:color w:val="8A1F11"/>
          <w:sz w:val="19"/>
        </w:rPr>
        <w:t>T1059.001</w:t>
      </w:r>
      <w:r>
        <w:t>: Command and Scripting Interpreter: PowerShell</w:t>
      </w:r>
    </w:p>
    <w:p>
      <w:pPr>
        <w:spacing w:after="40" w:line="276" w:lineRule="auto"/>
        <w:ind w:left="432" w:hanging="288"/>
      </w:pPr>
      <w:r>
        <w:rPr>
          <w:rFonts w:ascii="Calibri" w:hAnsi="Calibri"/>
          <w:b/>
          <w:color w:val="24292F"/>
        </w:rPr>
        <w:t xml:space="preserve">2. </w:t>
      </w:r>
      <w:r>
        <w:rPr>
          <w:rFonts w:ascii="Consolas" w:hAnsi="Consolas"/>
          <w:color w:val="8A1F11"/>
          <w:sz w:val="19"/>
        </w:rPr>
        <w:t>T1059.003</w:t>
      </w:r>
      <w:r>
        <w:t>: Command and Scripting Interpreter: Windows Command Shell</w:t>
      </w:r>
    </w:p>
    <w:p>
      <w:pPr>
        <w:spacing w:after="40" w:line="276" w:lineRule="auto"/>
        <w:ind w:left="432" w:hanging="288"/>
      </w:pPr>
      <w:r>
        <w:rPr>
          <w:rFonts w:ascii="Calibri" w:hAnsi="Calibri"/>
          <w:b/>
          <w:color w:val="24292F"/>
        </w:rPr>
        <w:t xml:space="preserve">3. </w:t>
      </w:r>
      <w:r>
        <w:rPr>
          <w:rFonts w:ascii="Consolas" w:hAnsi="Consolas"/>
          <w:color w:val="8A1F11"/>
          <w:sz w:val="19"/>
        </w:rPr>
        <w:t>T1053.005</w:t>
      </w:r>
      <w:r>
        <w:t>: Scheduled Task/Job: Scheduled Task</w:t>
      </w:r>
    </w:p>
    <w:p>
      <w:pPr>
        <w:spacing w:after="40" w:line="276" w:lineRule="auto"/>
        <w:ind w:left="432" w:hanging="288"/>
      </w:pPr>
      <w:r>
        <w:rPr>
          <w:rFonts w:ascii="Calibri" w:hAnsi="Calibri"/>
          <w:b/>
          <w:color w:val="24292F"/>
        </w:rPr>
        <w:t xml:space="preserve">4. </w:t>
      </w:r>
      <w:r>
        <w:rPr>
          <w:rFonts w:ascii="Consolas" w:hAnsi="Consolas"/>
          <w:color w:val="8A1F11"/>
          <w:sz w:val="19"/>
        </w:rPr>
        <w:t>T1543.003</w:t>
      </w:r>
      <w:r>
        <w:t>: Create or Modify System Process: Windows Service</w:t>
      </w:r>
    </w:p>
    <w:p>
      <w:pPr>
        <w:spacing w:after="40" w:line="276" w:lineRule="auto"/>
        <w:ind w:left="432" w:hanging="288"/>
      </w:pPr>
      <w:r>
        <w:rPr>
          <w:rFonts w:ascii="Calibri" w:hAnsi="Calibri"/>
          <w:b/>
          <w:color w:val="24292F"/>
        </w:rPr>
        <w:t xml:space="preserve">5. </w:t>
      </w:r>
      <w:r>
        <w:rPr>
          <w:rFonts w:ascii="Consolas" w:hAnsi="Consolas"/>
          <w:color w:val="8A1F11"/>
          <w:sz w:val="19"/>
        </w:rPr>
        <w:t>T1136.001</w:t>
      </w:r>
      <w:r>
        <w:t>: Create Account: Local Account</w:t>
      </w:r>
    </w:p>
    <w:p>
      <w:pPr>
        <w:spacing w:after="40" w:line="276" w:lineRule="auto"/>
        <w:ind w:left="432" w:hanging="288"/>
      </w:pPr>
      <w:r>
        <w:rPr>
          <w:rFonts w:ascii="Calibri" w:hAnsi="Calibri"/>
          <w:b/>
          <w:color w:val="24292F"/>
        </w:rPr>
        <w:t xml:space="preserve">6. </w:t>
      </w:r>
      <w:r>
        <w:rPr>
          <w:rFonts w:ascii="Consolas" w:hAnsi="Consolas"/>
          <w:color w:val="8A1F11"/>
          <w:sz w:val="19"/>
        </w:rPr>
        <w:t>T1547.001</w:t>
      </w:r>
      <w:r>
        <w:t>: Boot or Logon Autostart Execution: Registry Run Keys / Startup Folder</w:t>
      </w:r>
    </w:p>
    <w:p>
      <w:pPr>
        <w:spacing w:after="40" w:line="276" w:lineRule="auto"/>
        <w:ind w:left="432" w:hanging="288"/>
      </w:pPr>
      <w:r>
        <w:rPr>
          <w:rFonts w:ascii="Calibri" w:hAnsi="Calibri"/>
          <w:b/>
          <w:color w:val="24292F"/>
        </w:rPr>
        <w:t xml:space="preserve">7. </w:t>
      </w:r>
      <w:r>
        <w:rPr>
          <w:rFonts w:ascii="Consolas" w:hAnsi="Consolas"/>
          <w:color w:val="8A1F11"/>
          <w:sz w:val="19"/>
        </w:rPr>
        <w:t>T1685.005</w:t>
      </w:r>
      <w:r>
        <w:t>: Impair Defenses: Clear Windows Event Logs</w:t>
      </w:r>
    </w:p>
    <w:p>
      <w:pPr>
        <w:spacing w:after="40" w:line="276" w:lineRule="auto"/>
        <w:ind w:left="432" w:hanging="288"/>
      </w:pPr>
      <w:r>
        <w:rPr>
          <w:rFonts w:ascii="Calibri" w:hAnsi="Calibri"/>
          <w:b/>
          <w:color w:val="24292F"/>
        </w:rPr>
        <w:t xml:space="preserve">8. </w:t>
      </w: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keepNext/>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w:t>
      </w:r>
      <m:oMath>
        <m:sSub>
          <m:e>
            <m:r>
              <m:t>Family</m:t>
            </m:r>
          </m:e>
          <m:sub>
            <m:r>
              <m:rPr>
                <m:nor/>
              </m:rPr>
              <m:t>TEST</m:t>
            </m:r>
          </m:sub>
        </m:sSub>
        <m:r>
          <m:t>∩</m:t>
        </m:r>
        <m:sSub>
          <m:e>
            <m:r>
              <m:t>Family</m:t>
            </m:r>
          </m:e>
          <m:sub>
            <m:r>
              <m:rPr>
                <m:nor/>
              </m:rPr>
              <m:t>DEV</m:t>
            </m:r>
          </m:sub>
        </m:sSub>
        <m:r>
          <m:t>=</m:t>
        </m:r>
        <m:r>
          <m:t>∅</m:t>
        </m:r>
      </m:oMath>
      <w:r>
        <w: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w:t>
      </w:r>
      <m:oMath>
        <m:r>
          <m:t>→</m:t>
        </m:r>
      </m:oMath>
      <w:r>
        <w:t xml:space="preserve">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 across the 640 scenario pairs: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w:t>
      </w:r>
      <m:oMath>
        <m:r>
          <m:t>278</m:t>
        </m:r>
        <m:r>
          <m:t>+</m:t>
        </m:r>
        <m:r>
          <m:t>440</m:t>
        </m:r>
        <m:r>
          <m:t>=</m:t>
        </m:r>
        <m:r>
          <m:t>718</m:t>
        </m:r>
      </m:oMath>
      <w:r>
        <w:t>).</w:t>
      </w:r>
    </w:p>
    <w:p>
      <w:pPr>
        <w:pStyle w:val="ListBullet"/>
        <w:spacing w:after="40" w:line="276" w:lineRule="auto"/>
      </w:pPr>
      <w:r>
        <w:rPr>
          <w:b/>
        </w:rPr>
        <w:t>Complete Scorable Pairs Census:</w:t>
      </w:r>
      <w:r>
        <w:t xml:space="preserve"> Across the 640 TEST scenario pairs, exactly </w:t>
      </w:r>
      <w:r>
        <w:rPr>
          <w:b/>
        </w:rPr>
        <w:t>278 complete scorable pairs</w:t>
      </w:r>
      <w:r>
        <w:t xml:space="preserve"> possess valid ground-truth mapping on </w:t>
      </w:r>
      <w:r>
        <w:rPr>
          <w:i/>
        </w:rPr>
        <w:t>both</w:t>
      </w:r>
      <w:r>
        <w:t xml:space="preserve"> single and contextual views (</w:t>
      </w:r>
      <m:oMath>
        <m:r>
          <m:t>278</m:t>
        </m:r>
        <m:r>
          <m:t>×</m:t>
        </m:r>
        <m:r>
          <m:t>2</m:t>
        </m:r>
        <m:r>
          <m:t>=</m:t>
        </m:r>
        <m:r>
          <m:t>556</m:t>
        </m:r>
      </m:oMath>
      <w:r>
        <w:t xml:space="preserve"> views); exactly </w:t>
      </w:r>
      <w:r>
        <w:rPr>
          <w:b/>
        </w:rPr>
        <w:t>162 pairs</w:t>
      </w:r>
      <w:r>
        <w:t xml:space="preserve"> possess valid ground truth on </w:t>
      </w:r>
      <w:r>
        <w:rPr>
          <w:i/>
        </w:rPr>
        <w:t>only</w:t>
      </w:r>
      <w:r>
        <w:t xml:space="preserve"> the contextual view (</w:t>
      </w:r>
      <m:oMath>
        <m:r>
          <m:t>162</m:t>
        </m:r>
        <m:r>
          <m:t>×</m:t>
        </m:r>
        <m:r>
          <m:t>1</m:t>
        </m:r>
        <m:r>
          <m:t>=</m:t>
        </m:r>
        <m:r>
          <m:t>162</m:t>
        </m:r>
      </m:oMath>
      <w:r>
        <w:t xml:space="preserve"> views; single view unmapped/ambiguous); and exactly </w:t>
      </w:r>
      <w:r>
        <w:rPr>
          <w:b/>
        </w:rPr>
        <w:t>200 pairs</w:t>
      </w:r>
      <w:r>
        <w:t xml:space="preserve"> possess valid ground truth on </w:t>
      </w:r>
      <w:r>
        <w:rPr>
          <w:i/>
        </w:rPr>
        <w:t>neither</w:t>
      </w:r>
      <w:r>
        <w:t xml:space="preserve"> view (</w:t>
      </w:r>
      <m:oMath>
        <m:r>
          <m:t>200</m:t>
        </m:r>
        <m:r>
          <m:t>×</m:t>
        </m:r>
        <m:r>
          <m:t>2</m:t>
        </m:r>
        <m:r>
          <m:t>=</m:t>
        </m:r>
        <m:r>
          <m:t>400</m:t>
        </m:r>
      </m:oMath>
      <w:r>
        <w:t xml:space="preserve"> views). Together, </w:t>
      </w:r>
      <m:oMath>
        <m:r>
          <m:t>556</m:t>
        </m:r>
        <m:r>
          <m:t>+</m:t>
        </m:r>
        <m:r>
          <m:t>162</m:t>
        </m:r>
        <m:r>
          <m:t>=</m:t>
        </m:r>
        <m:r>
          <m:t>718</m:t>
        </m:r>
      </m:oMath>
      <w:r>
        <w:t xml:space="preserve"> mapped positive views.</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keepNext/>
        <w:spacing w:before="200" w:after="80"/>
      </w:pPr>
      <w:r>
        <w:rPr>
          <w:rFonts w:ascii="Calibri" w:hAnsi="Calibri"/>
          <w:b/>
          <w:color w:val="1F2328"/>
          <w:sz w:val="24"/>
        </w:rPr>
        <w:t>3.4 CRITICAL CLAIM SCOPE: Strict Disciplinary Claim Boundary and Real Telemetry Blocker</w:t>
      </w:r>
    </w:p>
    <w:p>
      <w:r>
        <w:t>To uphold strict scientific integrity and disciplinary rigor, we explicitly declare the empirical boundaries of this study:</w:t>
      </w:r>
    </w:p>
    <w:p>
      <w:pPr>
        <w:keepLines/>
        <w:spacing w:before="80" w:after="80" w:line="276" w:lineRule="auto"/>
        <w:ind w:left="432" w:right="288"/>
        <w:pBdr>
          <w:left w:val="single" w:sz="24" w:space="8" w:color="0969DA"/>
        </w:pBdr>
        <w:shd w:fill="F0F4F8"/>
      </w:pPr>
      <w:r>
        <w:rPr>
          <w:b/>
          <w:sz w:val="20"/>
        </w:rPr>
        <w:t>CRITICAL DISCIPLINARY CLAIM BOUNDARY:</w:t>
      </w:r>
      <w:r>
        <w:rPr>
          <w:sz w:val="20"/>
        </w:rPr>
        <w:t xml:space="preserve"> All experimental evaluations, diagnostic analyses, and performance claims in this study are strictly bounded to the </w:t>
      </w:r>
      <w:r>
        <w:rPr>
          <w:rFonts w:ascii="Consolas" w:hAnsi="Consolas"/>
          <w:color w:val="8A1F11"/>
          <w:sz w:val="20"/>
        </w:rPr>
        <w:t>synthetic-paired-v1</w:t>
      </w:r>
      <w:r>
        <w:rPr>
          <w:sz w:val="20"/>
        </w:rPr>
        <w:t xml:space="preserve"> benchmark. This dataset consists exclusively of synthetic and template-derived Windows endpoint logs and does NOT utilize real-world enterprise telemetry. </w:t>
      </w:r>
      <w:r>
        <w:rPr>
          <w:b/>
          <w:sz w:val="20"/>
        </w:rPr>
        <w:t>Under no circumstances should these results be interpreted as demonstrating real-world operational generalization or efficacy on production enterprise telemetry. Generalization to enterprise telemetry remains completely unproven.</w:t>
      </w:r>
    </w:p>
    <w:p>
      <w:pPr>
        <w:pStyle w:val="Heading3"/>
        <w:keepNext/>
        <w:spacing w:before="160" w:after="40"/>
      </w:pPr>
      <w:r>
        <w:rPr>
          <w:rFonts w:ascii="Calibri" w:hAnsi="Calibri"/>
          <w:b/>
          <w:i/>
          <w:color w:val="333344"/>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internal forensic audit of the raw data files conducted during Task 2 of this project (</w:t>
      </w:r>
      <w:r>
        <w:rPr>
          <w:rFonts w:ascii="Consolas" w:hAnsi="Consolas"/>
          <w:color w:val="8A1F11"/>
          <w:sz w:val="19"/>
        </w:rPr>
        <w:t>reports/final_repair_validation.md</w:t>
      </w:r>
      <w:r>
        <w:t>) identified 15,713 unresolved cell discrepancies between individual scenario CSVs and the combined dataset (representing internal project audit findings rather than claims made by the original dataset authors):</w:t>
      </w:r>
    </w:p>
    <w:p>
      <w:pPr>
        <w:spacing w:after="40" w:line="276" w:lineRule="auto"/>
        <w:ind w:left="432" w:hanging="288"/>
      </w:pPr>
      <w:r>
        <w:rPr>
          <w:rFonts w:ascii="Calibri" w:hAnsi="Calibri"/>
          <w:b/>
          <w:color w:val="24292F"/>
        </w:rPr>
        <w:t xml:space="preserve">1. </w:t>
      </w: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spacing w:after="40" w:line="276" w:lineRule="auto"/>
        <w:ind w:left="432" w:hanging="288"/>
      </w:pPr>
      <w:r>
        <w:rPr>
          <w:rFonts w:ascii="Calibri" w:hAnsi="Calibri"/>
          <w:b/>
          <w:color w:val="24292F"/>
        </w:rPr>
        <w:t xml:space="preserve">2. </w:t>
      </w: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spacing w:after="40" w:line="276" w:lineRule="auto"/>
        <w:ind w:left="432" w:hanging="288"/>
      </w:pPr>
      <w:r>
        <w:rPr>
          <w:rFonts w:ascii="Calibri" w:hAnsi="Calibri"/>
          <w:b/>
          <w:color w:val="24292F"/>
        </w:rPr>
        <w:t xml:space="preserve">3. </w:t>
      </w: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keepNext/>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keepNext/>
        <w:spacing w:before="280" w:after="120"/>
      </w:pPr>
      <w:r>
        <w:rPr>
          <w:rFonts w:ascii="Georgia" w:hAnsi="Georgia"/>
          <w:b/>
          <w:color w:val="0A2540"/>
          <w:sz w:val="28"/>
        </w:rPr>
        <w:t>4. Methods: Experimental Framework &amp; Study Design</w:t>
      </w:r>
    </w:p>
    <w:p>
      <w:pPr>
        <w:keepNext/>
        <w:spacing w:before="200" w:after="60"/>
        <w:jc w:val="center"/>
      </w:pPr>
      <w:sdt>
        <w:sdtPr>
          <w:tag w:val="fig_1"/>
          <w:alias w:val="Figure 1"/>
        </w:sdtPr>
        <w:sdtContent>
          <w:r>
            <w:drawing>
              <wp:inline xmlns:a="http://schemas.openxmlformats.org/drawingml/2006/main" xmlns:pic="http://schemas.openxmlformats.org/drawingml/2006/picture">
                <wp:extent cx="5943600" cy="3426311"/>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0"/>
                        <a:stretch>
                          <a:fillRect/>
                        </a:stretch>
                      </pic:blipFill>
                      <pic:spPr>
                        <a:xfrm>
                          <a:off x="0" y="0"/>
                          <a:ext cx="5943600" cy="3426311"/>
                        </a:xfrm>
                        <a:prstGeom prst="rect"/>
                      </pic:spPr>
                    </pic:pic>
                  </a:graphicData>
                </a:graphic>
              </wp:inline>
            </w:drawing>
          </w:r>
        </w:sdtContent>
      </w:sdt>
    </w:p>
    <w:p>
      <w:pPr>
        <w:spacing w:before="40" w:after="200"/>
        <w:jc w:val="center"/>
      </w:pPr>
      <w:r>
        <w:rPr>
          <w:i/>
          <w:color w:val="57606A"/>
          <w:sz w:val="19"/>
        </w:rPr>
        <w:t>Figure 1: Dual-View Attribution Architecture (CTI Log -&gt; all-MiniLM-L6-v2 -&gt; FAISS -&gt; gpt-5.6-luna xhigh).</w:t>
      </w:r>
    </w:p>
    <w:p>
      <w:pPr>
        <w:pStyle w:val="Heading2"/>
        <w:keepNext/>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defines the D1–D7 policy groups, including the D2a–D2j scoring subdecisions:</w:t>
      </w:r>
    </w:p>
    <w:p>
      <w:pPr>
        <w:pStyle w:val="ListBullet"/>
        <w:spacing w:after="40" w:line="276" w:lineRule="auto"/>
      </w:pPr>
      <w:r>
        <w:rPr>
          <w:b/>
        </w:rPr>
        <w:t xml:space="preserve">D1 (Raw Response Policy: </w:t>
      </w:r>
      <w:r>
        <w:rPr>
          <w:rFonts w:ascii="Consolas" w:hAnsi="Consolas"/>
          <w:color w:val="8A1F11"/>
          <w:sz w:val="19"/>
        </w:rPr>
        <w:t>RECORD_ONLY</w:t>
      </w:r>
      <w:r>
        <w:rPr>
          <w:b/>
        </w:rPr>
        <w:t>):</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 xml:space="preserve">D2a (Multi-Label Ground Truth Semantics: </w:t>
      </w:r>
      <w:r>
        <w:rPr>
          <w:rFonts w:ascii="Consolas" w:hAnsi="Consolas"/>
          <w:color w:val="8A1F11"/>
          <w:sz w:val="19"/>
        </w:rPr>
        <w:t>ANY_MATCH</w:t>
      </w:r>
      <w:r>
        <w:rPr>
          <w:b/>
        </w:rPr>
        <w:t>):</w:t>
      </w:r>
      <w:r>
        <w:t xml:space="preserve"> For samples with multi-label ground truth (</w:t>
      </w:r>
      <m:oMath>
        <m:sSub>
          <m:e>
            <m:r>
              <m:t>Y</m:t>
            </m:r>
          </m:e>
          <m:sub>
            <m:r>
              <m:rPr>
                <m:nor/>
              </m:rPr>
              <m:t>GT</m:t>
            </m:r>
          </m:sub>
        </m:sSub>
      </m:oMath>
      <w:r>
        <w:t xml:space="preserve">), a single predicted technique </w:t>
      </w:r>
      <m:oMath>
        <m:acc>
          <m:accPr>
            <m:chr m:val="̂"/>
          </m:accPr>
          <m:e>
            <m:r>
              <m:t>y</m:t>
            </m:r>
          </m:e>
        </m:acc>
      </m:oMath>
      <w:r>
        <w:t xml:space="preserve"> is scored as correct if </w:t>
      </w:r>
      <m:oMath>
        <m:acc>
          <m:accPr>
            <m:chr m:val="̂"/>
          </m:accPr>
          <m:e>
            <m:r>
              <m:t>y</m:t>
            </m:r>
          </m:e>
        </m:acc>
        <m:r>
          <m:t>∈</m:t>
        </m:r>
        <m:sSub>
          <m:e>
            <m:r>
              <m:t>Y</m:t>
            </m:r>
          </m:e>
          <m:sub>
            <m:r>
              <m:rPr>
                <m:nor/>
              </m:rPr>
              <m:t>GT</m:t>
            </m:r>
          </m:sub>
        </m:sSub>
      </m:oMath>
      <w:r>
        <w:t>.</w:t>
      </w:r>
    </w:p>
    <w:p>
      <w:pPr>
        <w:pStyle w:val="ListBullet"/>
        <w:spacing w:after="40" w:line="276" w:lineRule="auto"/>
      </w:pPr>
      <w:r>
        <w:rPr>
          <w:b/>
        </w:rPr>
        <w:t xml:space="preserve">D2b (Empty Ground Truth: </w:t>
      </w:r>
      <w:r>
        <w:rPr>
          <w:rFonts w:ascii="Consolas" w:hAnsi="Consolas"/>
          <w:color w:val="8A1F11"/>
          <w:sz w:val="19"/>
        </w:rPr>
        <w:t>EXCLUDE</w:t>
      </w:r>
      <w:r>
        <w:rPr>
          <w:b/>
        </w:rPr>
        <w:t>):</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 xml:space="preserve">D2c (Ambiguous Ground Truth: </w:t>
      </w:r>
      <w:r>
        <w:rPr>
          <w:rFonts w:ascii="Consolas" w:hAnsi="Consolas"/>
          <w:color w:val="8A1F11"/>
          <w:sz w:val="19"/>
        </w:rPr>
        <w:t>EXCLUDE</w:t>
      </w:r>
      <w:r>
        <w:rPr>
          <w:b/>
        </w:rPr>
        <w:t>):</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 xml:space="preserve">D2d (Macro-F1 Universe: </w:t>
      </w:r>
      <w:r>
        <w:rPr>
          <w:rFonts w:ascii="Consolas" w:hAnsi="Consolas"/>
          <w:color w:val="8A1F11"/>
          <w:sz w:val="19"/>
        </w:rPr>
        <w:t>FROZEN_BENCHMARK_UNIVERSE</w:t>
      </w:r>
      <w:r>
        <w:rPr>
          <w:b/>
        </w:rPr>
        <w:t>):</w:t>
      </w:r>
      <w:r>
        <w:t xml:space="preserve"> Macro-averaging is computed over the entire fixed 474-technique active Windows universe (</w:t>
      </w:r>
      <m:oMath>
        <m:r>
          <m:t>N</m:t>
        </m:r>
        <m:r>
          <m:t>=</m:t>
        </m:r>
        <m:r>
          <m:t>474</m:t>
        </m:r>
      </m:oMath>
      <w:r>
        <w:t>), ensuring constant denominators across all conditions.</w:t>
      </w:r>
    </w:p>
    <w:p>
      <w:pPr>
        <w:pStyle w:val="ListBullet"/>
        <w:spacing w:after="40" w:line="276" w:lineRule="auto"/>
      </w:pPr>
      <w:r>
        <w:rPr>
          <w:b/>
        </w:rPr>
        <w:t xml:space="preserve">D2e (Invalid ID Treatment: </w:t>
      </w:r>
      <w:r>
        <w:rPr>
          <w:rFonts w:ascii="Consolas" w:hAnsi="Consolas"/>
          <w:color w:val="8A1F11"/>
          <w:sz w:val="19"/>
        </w:rPr>
        <w:t>INCLUDE_IN_DENOMINATOR</w:t>
      </w:r>
      <w:r>
        <w:rPr>
          <w:b/>
        </w:rPr>
        <w:t>):</w:t>
      </w:r>
      <w:r>
        <w:t xml:space="preserve"> Hallucinated or non-existent ATT&amp;CK IDs are penalized and retained in all metric denominators.</w:t>
      </w:r>
    </w:p>
    <w:p>
      <w:pPr>
        <w:pStyle w:val="ListBullet"/>
        <w:spacing w:after="40" w:line="276" w:lineRule="auto"/>
      </w:pPr>
      <w:r>
        <w:rPr>
          <w:b/>
        </w:rPr>
        <w:t xml:space="preserve">D2f (Provider &amp; Parser Failure Accounting: </w:t>
      </w:r>
      <w:r>
        <w:rPr>
          <w:rFonts w:ascii="Consolas" w:hAnsi="Consolas"/>
          <w:color w:val="8A1F11"/>
          <w:sz w:val="19"/>
        </w:rPr>
        <w:t>INCLUDE_IN_DENOMINATOR</w:t>
      </w:r>
      <w:r>
        <w:rPr>
          <w:b/>
        </w:rPr>
        <w:t>):</w:t>
      </w:r>
      <w:r>
        <w:t xml:space="preserve"> Headline end-to-end accuracy counts provider timeouts, HTTP errors, and JSON parse failures as incorrect samples.</w:t>
      </w:r>
    </w:p>
    <w:p>
      <w:pPr>
        <w:pStyle w:val="ListBullet"/>
        <w:spacing w:after="40" w:line="276" w:lineRule="auto"/>
      </w:pPr>
      <w:r>
        <w:rPr>
          <w:b/>
        </w:rPr>
        <w:t xml:space="preserve">D2g (Retired ATT&amp;CK IDs: </w:t>
      </w:r>
      <w:r>
        <w:rPr>
          <w:rFonts w:ascii="Consolas" w:hAnsi="Consolas"/>
          <w:color w:val="8A1F11"/>
          <w:sz w:val="19"/>
        </w:rPr>
        <w:t>ALLOW_HISTORICAL</w:t>
      </w:r>
      <w:r>
        <w:rPr>
          <w:b/>
        </w:rPr>
        <w:t>):</w:t>
      </w:r>
      <w:r>
        <w:t xml:space="preserve"> Predictions matching deprecated or revoked STIX IDs are tracked distinctly without silent remapping.</w:t>
      </w:r>
    </w:p>
    <w:p>
      <w:pPr>
        <w:pStyle w:val="ListBullet"/>
        <w:spacing w:after="40" w:line="276" w:lineRule="auto"/>
      </w:pPr>
      <w:r>
        <w:rPr>
          <w:b/>
        </w:rPr>
        <w:t xml:space="preserve">D2h (Retrieval Success Definition: </w:t>
      </w:r>
      <w:r>
        <w:rPr>
          <w:rFonts w:ascii="Consolas" w:hAnsi="Consolas"/>
          <w:color w:val="8A1F11"/>
          <w:sz w:val="19"/>
        </w:rPr>
        <w:t>ANY_GT_RETRIEVED</w:t>
      </w:r>
      <w:r>
        <w:rPr>
          <w:b/>
        </w:rPr>
        <w:t>):</w:t>
      </w:r>
      <w:r>
        <w:t xml:space="preserve"> Retrieval is successful if </w:t>
      </w:r>
      <m:oMath>
        <m:r>
          <m:rPr>
            <m:nor/>
          </m:rPr>
          <m:t>Top-</m:t>
        </m:r>
        <m:r>
          <m:t>k</m:t>
        </m:r>
        <m:r>
          <m:t>∩</m:t>
        </m:r>
        <m:sSub>
          <m:e>
            <m:r>
              <m:t>Y</m:t>
            </m:r>
          </m:e>
          <m:sub>
            <m:r>
              <m:rPr>
                <m:nor/>
              </m:rPr>
              <m:t>GT</m:t>
            </m:r>
          </m:sub>
        </m:sSub>
        <m:r>
          <m:t>≠</m:t>
        </m:r>
        <m:r>
          <m:t>∅</m:t>
        </m:r>
      </m:oMath>
      <w:r>
        <w:t>.</w:t>
      </w:r>
    </w:p>
    <w:p>
      <w:pPr>
        <w:pStyle w:val="ListBullet"/>
        <w:spacing w:after="40" w:line="276" w:lineRule="auto"/>
      </w:pPr>
      <w:r>
        <w:rPr>
          <w:b/>
        </w:rPr>
        <w:t xml:space="preserve">D2i (Failure Decomposition: </w:t>
      </w:r>
      <w:r>
        <w:rPr>
          <w:rFonts w:ascii="Consolas" w:hAnsi="Consolas"/>
          <w:color w:val="8A1F11"/>
          <w:sz w:val="19"/>
        </w:rPr>
        <w:t>INDEPENDENT_AXES</w:t>
      </w:r>
      <w:r>
        <w:rPr>
          <w:b/>
        </w:rPr>
        <w:t>):</w:t>
      </w:r>
      <w:r>
        <w:t xml:space="preserve"> Errors are analyzed along independent diagnostic axes without forced artificial precedence.</w:t>
      </w:r>
    </w:p>
    <w:p>
      <w:pPr>
        <w:pStyle w:val="ListBullet"/>
        <w:spacing w:after="40" w:line="276" w:lineRule="auto"/>
      </w:pPr>
      <w:r>
        <w:rPr>
          <w:b/>
        </w:rPr>
        <w:t xml:space="preserve">D2j (Zero Denominator Convention: </w:t>
      </w:r>
      <w:r>
        <w:rPr>
          <w:rFonts w:ascii="Consolas" w:hAnsi="Consolas"/>
          <w:color w:val="8A1F11"/>
          <w:sz w:val="19"/>
        </w:rPr>
        <w:t>NULL</w:t>
      </w:r>
      <w:r>
        <w:rPr>
          <w:b/>
        </w:rPr>
        <w:t>):</w:t>
      </w:r>
      <w:r>
        <w:t xml:space="preserve"> Undefined metric fractions evaluate to </w:t>
      </w:r>
      <w:r>
        <w:rPr>
          <w:rFonts w:ascii="Consolas" w:hAnsi="Consolas"/>
          <w:color w:val="8A1F11"/>
          <w:sz w:val="19"/>
        </w:rPr>
        <w:t>null</w:t>
      </w:r>
      <w:r>
        <w:t xml:space="preserve"> (never coerced to </w:t>
      </w:r>
      <m:oMath>
        <m:r>
          <m:t>0</m:t>
        </m:r>
        <m:r>
          <m:t>.</m:t>
        </m:r>
        <m:r>
          <m:t>0</m:t>
        </m:r>
      </m:oMath>
      <w:r>
        <w:t xml:space="preserve"> or </w:t>
      </w:r>
      <m:oMath>
        <m:r>
          <m:t>1</m:t>
        </m:r>
        <m:r>
          <m:t>.</m:t>
        </m:r>
        <m:r>
          <m:t>0</m:t>
        </m:r>
      </m:oMath>
      <w:r>
        <w:t>).</w:t>
      </w:r>
    </w:p>
    <w:p>
      <w:pPr>
        <w:pStyle w:val="ListBullet"/>
        <w:spacing w:after="40" w:line="276" w:lineRule="auto"/>
      </w:pPr>
      <w:r>
        <w:rPr>
          <w:b/>
        </w:rPr>
        <w:t xml:space="preserve">D3 (Model Version &amp; Provenance: </w:t>
      </w:r>
      <w:r>
        <w:rPr>
          <w:rFonts w:ascii="Consolas" w:hAnsi="Consolas"/>
          <w:color w:val="8A1F11"/>
          <w:sz w:val="19"/>
        </w:rPr>
        <w:t>ALLOW_LATEST_WITH_TIMESTAMP_BINDING</w:t>
      </w:r>
      <w:r>
        <w:rPr>
          <w:b/>
        </w:rPr>
        <w:t>):</w:t>
      </w:r>
      <w:r>
        <w:t xml:space="preserve"> Models without immutable snapshot IDs are pinned via timestamped metadata, fingerprints, and cryptographic configuration hashes.</w:t>
      </w:r>
    </w:p>
    <w:p>
      <w:pPr>
        <w:pStyle w:val="ListBullet"/>
        <w:spacing w:after="40" w:line="276" w:lineRule="auto"/>
      </w:pPr>
      <w:r>
        <w:rPr>
          <w:b/>
        </w:rPr>
        <w:t xml:space="preserve">D4 (Execution Concurrency: </w:t>
      </w:r>
      <w:r>
        <w:rPr>
          <w:rFonts w:ascii="Consolas" w:hAnsi="Consolas"/>
          <w:color w:val="8A1F11"/>
          <w:sz w:val="19"/>
        </w:rPr>
        <w:t>SEQUENTIAL_ONLY</w:t>
      </w:r>
      <w:r>
        <w:rPr>
          <w:b/>
        </w:rPr>
        <w:t>):</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 xml:space="preserve">D5 (Finite Budget Enforcement: </w:t>
      </w:r>
      <w:r>
        <w:rPr>
          <w:rFonts w:ascii="Consolas" w:hAnsi="Consolas"/>
          <w:color w:val="8A1F11"/>
          <w:sz w:val="19"/>
        </w:rPr>
        <w:t>HARD_CAP_WORST_CASE_ATTEMPTS</w:t>
      </w:r>
      <w:r>
        <w:rPr>
          <w:b/>
        </w:rPr>
        <w:t>):</w:t>
      </w:r>
      <w:r>
        <w:t xml:space="preserve"> Execution requires an immutable attempt cap covering worst-case retries, enforced by an in-memory and journaled budget ledger.</w:t>
      </w:r>
    </w:p>
    <w:p>
      <w:pPr>
        <w:pStyle w:val="ListBullet"/>
        <w:spacing w:after="40" w:line="276" w:lineRule="auto"/>
      </w:pPr>
      <w:r>
        <w:rPr>
          <w:b/>
        </w:rPr>
        <w:t xml:space="preserve">D6 (Real Telemetry Prerequisite: </w:t>
      </w:r>
      <w:r>
        <w:rPr>
          <w:rFonts w:ascii="Consolas" w:hAnsi="Consolas"/>
          <w:color w:val="8A1F11"/>
          <w:sz w:val="19"/>
        </w:rPr>
        <w:t>NOT_REQUIRED_FOR_SYNTHETIC_BENCHMARK</w:t>
      </w:r>
      <w:r>
        <w:rPr>
          <w:b/>
        </w:rPr>
        <w:t>):</w:t>
      </w:r>
      <w:r>
        <w:t xml:space="preserve"> Synthetic benchmark execution proceeds independently of blocked real telemetry data.</w:t>
      </w:r>
    </w:p>
    <w:p>
      <w:pPr>
        <w:pStyle w:val="ListBullet"/>
        <w:spacing w:after="40" w:line="276" w:lineRule="auto"/>
      </w:pPr>
      <w:r>
        <w:rPr>
          <w:b/>
        </w:rPr>
        <w:t xml:space="preserve">D7 (Dataset Scope: </w:t>
      </w:r>
      <w:r>
        <w:rPr>
          <w:rFonts w:ascii="Consolas" w:hAnsi="Consolas"/>
          <w:color w:val="8A1F11"/>
          <w:sz w:val="19"/>
        </w:rPr>
        <w:t>PAIRED_TEST</w:t>
      </w:r>
      <w:r>
        <w:rPr>
          <w:b/>
        </w:rPr>
        <w:t>):</w:t>
      </w:r>
      <w:r>
        <w:t xml:space="preserve"> Canonical experiments evaluate the complete 1,280 TEST views.</w:t>
      </w:r>
    </w:p>
    <w:p>
      <w:pPr>
        <w:pStyle w:val="Heading2"/>
        <w:keepNext/>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(1,050,000 context window, 128,000 max output tokens capacity).</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w:t>
      </w:r>
      <w:r>
        <w:rPr>
          <w:rFonts w:ascii="Consolas" w:hAnsi="Consolas"/>
          <w:color w:val="8A1F11"/>
          <w:sz w:val="19"/>
        </w:rPr>
        <w:t>max_output_tokens</w:t>
      </w:r>
      <w:r>
        <w:rPr>
          <w:b/>
        </w:rPr>
        <w:t>):</w:t>
      </w:r>
      <w:r>
        <w:t xml:space="preserve"> </w:t>
      </w:r>
      <w:r>
        <w:rPr>
          <w:rFonts w:ascii="Consolas" w:hAnsi="Consolas"/>
          <w:color w:val="8A1F11"/>
          <w:sz w:val="19"/>
        </w:rPr>
        <w:t>8192</w:t>
      </w:r>
      <w:r>
        <w:t xml:space="preserve"> tokens. Under OpenAI reasoning models, </w:t>
      </w:r>
      <w:r>
        <w:rPr>
          <w:rFonts w:ascii="Consolas" w:hAnsi="Consolas"/>
          <w:color w:val="8A1F11"/>
          <w:sz w:val="19"/>
        </w:rPr>
        <w:t>max_output_tokens</w:t>
      </w:r>
      <w:r>
        <w:t xml:space="preserve"> represents an upper budget bound governing a unified allocation pool covering both internal reasoning tokens and visible completion tokens. While empirical DEV pilot runs observed mean output consumption of ~657 tokens, this parameter acts as a finite budget ceiling rather than an absolute guarantee against truncation: if the model's internal chain-of-thought and completion combined exhaust the 8,192 token allocation, the API emits an incomplete response (</w:t>
      </w:r>
      <w:r>
        <w:rPr>
          <w:rFonts w:ascii="Consolas" w:hAnsi="Consolas"/>
          <w:color w:val="8A1F11"/>
          <w:sz w:val="19"/>
        </w:rPr>
        <w:t>status="incomplete"</w:t>
      </w:r>
      <w:r>
        <w:t xml:space="preserve"> with </w:t>
      </w:r>
      <w:r>
        <w:rPr>
          <w:rFonts w:ascii="Consolas" w:hAnsi="Consolas"/>
          <w:color w:val="8A1F11"/>
          <w:sz w:val="19"/>
        </w:rPr>
        <w:t>incomplete_details.reason="max_output_tokens"</w:t>
      </w:r>
      <w:r>
        <w:t>), which the evaluation harness flags as an incomplete provider failure.</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xml:space="preserve">) targeting the Pydantic contract derived from </w:t>
      </w:r>
      <w:r>
        <w:rPr>
          <w:rFonts w:ascii="Consolas" w:hAnsi="Consolas"/>
          <w:color w:val="8A1F11"/>
          <w:sz w:val="19"/>
        </w:rPr>
        <w:t>TechniquePrediction.model_json_schema()</w:t>
      </w:r>
      <w:r>
        <w:t>:</w:t>
      </w:r>
    </w:p>
    <w:p>
      <w:pPr>
        <w:keepLines/>
        <w:spacing w:before="80" w:after="120" w:line="240" w:lineRule="auto"/>
        <w:ind w:left="360" w:right="360"/>
        <w:shd w:fill="F6F8FA"/>
      </w:pPr>
      <w:r>
        <w:rPr>
          <w:rFonts w:ascii="Consolas" w:hAnsi="Consolas"/>
          <w:color w:val="1F2328"/>
          <w:sz w:val="18"/>
        </w:rPr>
        <w:t xml:space="preserve">  {</w:t>
        <w:br/>
        <w:t xml:space="preserve">    "title": "TechniquePrediction",</w:t>
        <w:br/>
        <w:t xml:space="preserve">    "description": "Minimal structured prediction payload returned by LLM:\n{\"technique_id\": \"T1059.001\"}\n\nNote: Strict format validation is deliberately omitted from the Pydantic schema\nso that syntactically invalid or non-registry IDs successfully pass JSON/schema parsing\nand are subsequently categorized as INVALID_ID by post-hoc validation (rather than MALFORMED_RESPONSE).",</w:t>
        <w:br/>
        <w:t xml:space="preserve">    "type": "object",</w:t>
        <w:br/>
        <w:t xml:space="preserve">    "properties": {</w:t>
        <w:br/>
        <w:t xml:space="preserve">      "technique_id": {</w:t>
        <w:br/>
        <w:t xml:space="preserve">        "title": "Technique Id",</w:t>
        <w:br/>
        <w:t xml:space="preserve">        "description": "The predicted MITRE ATT&amp;CK Technique or Sub-technique ID.",</w:t>
        <w:br/>
        <w:t xml:space="preserve">        "type": "string"</w:t>
        <w:br/>
        <w:t xml:space="preserve">      }</w:t>
        <w:br/>
        <w:t xml:space="preserve">    },</w:t>
        <w:br/>
        <w:t xml:space="preserve">    "required": [</w:t>
        <w:br/>
        <w:t xml:space="preserve">      "technique_id"</w:t>
        <w:br/>
        <w:t xml:space="preserve">    ],</w:t>
        <w:br/>
        <w:t xml:space="preserve">    "additionalProperties": false</w:t>
        <w:br/>
        <w:t xml:space="preserve">  }</w:t>
      </w:r>
    </w:p>
    <w:p>
      <w:r>
        <w:t xml:space="preserve">Crucially, format-level regex validation (such as </w:t>
      </w:r>
      <w:r>
        <w:rPr>
          <w:rFonts w:ascii="Consolas" w:hAnsi="Consolas"/>
          <w:color w:val="8A1F11"/>
          <w:sz w:val="19"/>
        </w:rPr>
        <w:t>^T[0-9]{4}(\.[0-9]{3})?$</w:t>
      </w:r>
      <w:r>
        <w:t>) is deliberately omitted from the Pydantic schema and provider API contract. This architectural decision strictly decouples provider-level JSON structural validity from downstream domain-specific taxonomic validation:</w:t>
      </w:r>
    </w:p>
    <w:p>
      <w:pPr>
        <w:spacing w:after="40" w:line="276" w:lineRule="auto"/>
        <w:ind w:left="432" w:hanging="288"/>
      </w:pPr>
      <w:r>
        <w:rPr>
          <w:rFonts w:ascii="Calibri" w:hAnsi="Calibri"/>
          <w:b/>
          <w:color w:val="24292F"/>
        </w:rPr>
        <w:t xml:space="preserve">1. </w:t>
      </w:r>
      <w:r>
        <w:rPr>
          <w:i/>
        </w:rPr>
        <w:t>Provider Schema Validation:</w:t>
      </w:r>
      <w:r>
        <w:t xml:space="preserve"> Enforces that the model emits a syntactically valid JSON object possessing a string-typed </w:t>
      </w:r>
      <w:r>
        <w:rPr>
          <w:rFonts w:ascii="Consolas" w:hAnsi="Consolas"/>
          <w:color w:val="8A1F11"/>
          <w:sz w:val="19"/>
        </w:rPr>
        <w:t>technique_id</w:t>
      </w:r>
      <w:r>
        <w:t xml:space="preserve"> field with no additional properties.</w:t>
      </w:r>
    </w:p>
    <w:p>
      <w:pPr>
        <w:keepNext/>
        <w:spacing w:after="40" w:line="276" w:lineRule="auto"/>
        <w:ind w:left="432" w:hanging="288"/>
      </w:pPr>
      <w:r>
        <w:rPr>
          <w:rFonts w:ascii="Calibri" w:hAnsi="Calibri"/>
          <w:b/>
          <w:color w:val="24292F"/>
        </w:rPr>
        <w:t xml:space="preserve">2. </w:t>
      </w:r>
      <w:r>
        <w:rPr>
          <w:i/>
        </w:rPr>
        <w:t>Post-Hoc Taxonomic Validation:</w:t>
      </w:r>
      <w:r>
        <w:t xml:space="preserve"> Decouples structural parse failures from attribution domain errors via a two-layer validation pipeline:</w:t>
      </w:r>
    </w:p>
    <w:p>
      <w:pPr>
        <w:pStyle w:val="ListBullet"/>
        <w:spacing w:after="40" w:line="276" w:lineRule="auto"/>
      </w:pPr>
      <w:r>
        <w:rPr>
          <w:b/>
        </w:rPr>
        <w:t>Layer 1 (Canonical Syntax Check):</w:t>
      </w:r>
      <w:r>
        <w:t xml:space="preserve"> Validates the string against the canonical MITRE ATT&amp;CK regex pattern (</w:t>
      </w:r>
      <w:r>
        <w:rPr>
          <w:rFonts w:ascii="Consolas" w:hAnsi="Consolas"/>
          <w:color w:val="8A1F11"/>
          <w:sz w:val="19"/>
        </w:rPr>
        <w:t>^T\d{4}(?:\.\d{3})?$</w:t>
      </w:r>
      <w:r>
        <w:t xml:space="preserve">). Syntactic violations (e.g., malformed patterns such as </w:t>
      </w:r>
      <w:r>
        <w:rPr>
          <w:rFonts w:ascii="Consolas" w:hAnsi="Consolas"/>
          <w:color w:val="8A1F11"/>
          <w:sz w:val="19"/>
        </w:rPr>
        <w:t>"T1059.1"</w:t>
      </w:r>
      <w:r>
        <w:t xml:space="preserve"> or </w:t>
      </w:r>
      <w:r>
        <w:rPr>
          <w:rFonts w:ascii="Consolas" w:hAnsi="Consolas"/>
          <w:color w:val="8A1F11"/>
          <w:sz w:val="19"/>
        </w:rPr>
        <w:t>"T99999_bad"</w:t>
      </w:r>
      <w:r>
        <w:t xml:space="preserve">) parse valid JSON and are classified as </w:t>
      </w:r>
      <w:r>
        <w:rPr>
          <w:rFonts w:ascii="Consolas" w:hAnsi="Consolas"/>
          <w:color w:val="8A1F11"/>
          <w:sz w:val="19"/>
        </w:rPr>
        <w:t>INVALID_ID</w:t>
      </w:r>
      <w:r>
        <w:t xml:space="preserve"> rather than </w:t>
      </w:r>
      <w:r>
        <w:rPr>
          <w:rFonts w:ascii="Consolas" w:hAnsi="Consolas"/>
          <w:color w:val="8A1F11"/>
          <w:sz w:val="19"/>
        </w:rPr>
        <w:t>MALFORMED_RESPONSE</w:t>
      </w:r>
      <w:r>
        <w:t>.</w:t>
      </w:r>
    </w:p>
    <w:p>
      <w:pPr>
        <w:pStyle w:val="ListBullet"/>
        <w:spacing w:after="40" w:line="276" w:lineRule="auto"/>
      </w:pPr>
      <w:r>
        <w:rPr>
          <w:b/>
        </w:rPr>
        <w:t>Layer 2 (Registry Membership Check):</w:t>
      </w:r>
      <w:r>
        <w:t xml:space="preserve"> Validates syntax-compliant identifiers against the pinned ATT&amp;CK v19.2 enterprise registry. Syntactically valid but uncataloged identifiers (e.g., non-existent techniques such as </w:t>
      </w:r>
      <w:r>
        <w:rPr>
          <w:rFonts w:ascii="Consolas" w:hAnsi="Consolas"/>
          <w:color w:val="8A1F11"/>
          <w:sz w:val="19"/>
        </w:rPr>
        <w:t>"T9999"</w:t>
      </w:r>
      <w:r>
        <w:t xml:space="preserve">) are classified as </w:t>
      </w:r>
      <w:r>
        <w:rPr>
          <w:rFonts w:ascii="Consolas" w:hAnsi="Consolas"/>
          <w:color w:val="8A1F11"/>
          <w:sz w:val="19"/>
        </w:rPr>
        <w:t>INVALID_ID</w:t>
      </w:r>
      <w:r>
        <w:t>.</w:t>
      </w:r>
    </w:p>
    <w:p>
      <w:r>
        <w:t xml:space="preserve">If regex enforcement were embedded directly within the provider JSON schema, any syntactically invalid output would be rejected at the API provider layer and misclassified as </w:t>
      </w:r>
      <w:r>
        <w:rPr>
          <w:rFonts w:ascii="Consolas" w:hAnsi="Consolas"/>
          <w:color w:val="8A1F11"/>
          <w:sz w:val="19"/>
        </w:rPr>
        <w:t>MALFORMED_RESPONSE</w:t>
      </w:r>
      <w:r>
        <w:t xml:space="preserve"> (a structural parse failure), obscuring whether the model attempted a malformed technique prediction versus failing JSON generation.</w:t>
      </w:r>
    </w:p>
    <w:p>
      <w:pPr>
        <w:pStyle w:val="ListBullet"/>
        <w:spacing w:after="40" w:line="276" w:lineRule="auto"/>
      </w:pPr>
      <w:r>
        <w:rPr>
          <w:b/>
        </w:rPr>
        <w:t>Sampling Parameters:</w:t>
      </w:r>
      <w:r>
        <w:t xml:space="preserve"> Under the OpenAI Responses API implementation contract (</w:t>
      </w:r>
      <w:r>
        <w:rPr>
          <w:rFonts w:ascii="Consolas" w:hAnsi="Consolas"/>
          <w:color w:val="8A1F11"/>
          <w:sz w:val="19"/>
        </w:rPr>
        <w:t>src/llm/client.py</w:t>
      </w:r>
      <w:r>
        <w:t>), sampling parameters (</w:t>
      </w:r>
      <w:r>
        <w:rPr>
          <w:rFonts w:ascii="Consolas" w:hAnsi="Consolas"/>
          <w:color w:val="8A1F11"/>
          <w:sz w:val="19"/>
        </w:rPr>
        <w:t>temperature</w:t>
      </w:r>
      <w:r>
        <w:t xml:space="preserve">, </w:t>
      </w:r>
      <w:r>
        <w:rPr>
          <w:rFonts w:ascii="Consolas" w:hAnsi="Consolas"/>
          <w:color w:val="8A1F11"/>
          <w:sz w:val="19"/>
        </w:rPr>
        <w:t>top_p</w:t>
      </w:r>
      <w:r>
        <w:t xml:space="preserve">, </w:t>
      </w:r>
      <w:r>
        <w:rPr>
          <w:rFonts w:ascii="Consolas" w:hAnsi="Consolas"/>
          <w:color w:val="8A1F11"/>
          <w:sz w:val="19"/>
        </w:rPr>
        <w:t>presence_penalty</w:t>
      </w:r>
      <w:r>
        <w:t xml:space="preserve">, </w:t>
      </w:r>
      <w:r>
        <w:rPr>
          <w:rFonts w:ascii="Consolas" w:hAnsi="Consolas"/>
          <w:color w:val="8A1F11"/>
          <w:sz w:val="19"/>
        </w:rPr>
        <w:t>frequency_penalty</w:t>
      </w:r>
      <w:r>
        <w:t xml:space="preserve">, and </w:t>
      </w:r>
      <w:r>
        <w:rPr>
          <w:rFonts w:ascii="Consolas" w:hAnsi="Consolas"/>
          <w:color w:val="8A1F11"/>
          <w:sz w:val="19"/>
        </w:rPr>
        <w:t>seed</w:t>
      </w:r>
      <w:r>
        <w:t>) are not sent / not configured in the request payload. By maintaining unconfigured provider defaults uniformly across all dispatches, the experimental runner guarantees identical configured controls across all experimental conditions.</w:t>
      </w:r>
    </w:p>
    <w:p>
      <w:pPr>
        <w:pStyle w:val="ListBullet"/>
        <w:spacing w:after="40" w:line="276" w:lineRule="auto"/>
      </w:pPr>
      <w:r>
        <w:rPr>
          <w:b/>
        </w:rPr>
        <w:t>Resilience Policy:</w:t>
      </w:r>
      <w:r>
        <w:t xml:space="preserve"> Deterministic exponential backoff without jitter (</w:t>
      </w:r>
      <w:r>
        <w:rPr>
          <w:rFonts w:ascii="Consolas" w:hAnsi="Consolas"/>
          <w:color w:val="8A1F11"/>
          <w:sz w:val="19"/>
        </w:rPr>
        <w:t>max_retries = 3</w:t>
      </w:r>
      <w:r>
        <w:t xml:space="preserve">, initial delay 1.0s, factor 2.0, max delay 30.0s, socket timeout 120s; delay computed deterministically as </w:t>
      </w:r>
      <m:oMath>
        <m:r>
          <m:rPr>
            <m:nor/>
          </m:rPr>
          <m:t>min</m:t>
        </m:r>
        <m:r>
          <m:t>(</m:t>
        </m:r>
        <m:r>
          <m:rPr>
            <m:nor/>
          </m:rPr>
          <m:t>initial</m:t>
        </m:r>
        <m:r>
          <m:t>×</m:t>
        </m:r>
        <m:sSup>
          <m:e>
            <m:r>
              <m:rPr>
                <m:nor/>
              </m:rPr>
              <m:t>factor</m:t>
            </m:r>
          </m:e>
          <m:sup>
            <m:r>
              <m:rPr>
                <m:nor/>
              </m:rPr>
              <m:t>attempt</m:t>
            </m:r>
          </m:sup>
        </m:sSup>
        <m:r>
          <m:t>,</m:t>
        </m:r>
        <m:r>
          <m:rPr>
            <m:nor/>
          </m:rPr>
          <m:t>max_delay</m:t>
        </m:r>
        <m:r>
          <m:t>)</m:t>
        </m:r>
      </m:oMath>
      <w:r>
        <w:t>).</w:t>
      </w:r>
    </w:p>
    <w:p>
      <w:pPr>
        <w:pStyle w:val="Heading2"/>
        <w:keepNext/>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keepLines/>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keepNext/>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w:t>
      </w:r>
      <m:oMath>
        <m:sSub>
          <m:e>
            <m:d>
              <m:dPr>
                <m:begChr m:val="‖"/>
                <m:endChr m:val="‖"/>
              </m:dPr>
              <m:e>
                <m:r>
                  <m:t>v</m:t>
                </m:r>
              </m:e>
            </m:d>
          </m:e>
          <m:sub>
            <m:r>
              <m:t>2</m:t>
            </m:r>
          </m:sub>
        </m:sSub>
        <m:r>
          <m:t>=</m:t>
        </m:r>
        <m:r>
          <m:t>1</m:t>
        </m:r>
        <m:r>
          <m:t>.</m:t>
        </m:r>
        <m:r>
          <m:t>0</m:t>
        </m:r>
      </m:oMath>
      <w:r>
        <w:t>)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pPr>
        <w:keepLines/>
        <w:spacing w:before="120" w:after="120" w:line="276" w:lineRule="auto"/>
        <w:ind w:left="576" w:right="576"/>
        <w:shd w:fill="F8FAFC"/>
        <w:pBdr>
          <w:left w:val="single" w:sz="18" w:space="8" w:color="0969DA"/>
        </w:pBdr>
      </w:pPr>
      <m:oMath>
        <m:r>
          <w:rPr>
            <w:color w:val="0A2540"/>
            <w:sz w:val="21"/>
          </w:rPr>
          <m:t>⟨</m:t>
        </m:r>
        <m:acc>
          <m:accPr>
            <m:chr m:val="̂"/>
          </m:accPr>
          <m:e>
            <m:r>
              <w:rPr>
                <w:color w:val="0A2540"/>
                <w:sz w:val="21"/>
              </w:rPr>
              <m:t>q</m:t>
            </m:r>
          </m:e>
        </m:acc>
        <m:r>
          <w:rPr>
            <w:color w:val="0A2540"/>
            <w:sz w:val="21"/>
          </w:rPr>
          <m:t>,</m:t>
        </m:r>
        <m:sSub>
          <m:e>
            <m:acc>
              <m:accPr>
                <m:chr m:val="̂"/>
              </m:accPr>
              <m:e>
                <m:r>
                  <w:rPr>
                    <w:color w:val="0A2540"/>
                    <w:sz w:val="21"/>
                  </w:rPr>
                  <m:t>d</m:t>
                </m:r>
              </m:e>
            </m:acc>
          </m:e>
          <m:sub>
            <m:r>
              <w:rPr>
                <w:color w:val="0A2540"/>
                <w:sz w:val="21"/>
              </w:rPr>
              <m:t>i</m:t>
            </m:r>
          </m:sub>
        </m:sSub>
        <m:r>
          <w:rPr>
            <w:color w:val="0A2540"/>
            <w:sz w:val="21"/>
          </w:rPr>
          <m:t>⟩</m:t>
        </m:r>
        <m:r>
          <w:rPr>
            <w:color w:val="0A2540"/>
            <w:sz w:val="21"/>
          </w:rPr>
          <m:t>=</m:t>
        </m:r>
        <m:f>
          <m:num>
            <m:r>
              <w:rPr>
                <w:color w:val="0A2540"/>
                <w:sz w:val="21"/>
              </w:rPr>
              <m:t>q</m:t>
            </m:r>
            <m:r>
              <w:rPr>
                <w:color w:val="0A2540"/>
                <w:sz w:val="21"/>
              </w:rPr>
              <m:t>·</m:t>
            </m:r>
            <m:sSub>
              <m:e>
                <m:r>
                  <w:rPr>
                    <w:color w:val="0A2540"/>
                    <w:sz w:val="21"/>
                  </w:rPr>
                  <m:t>d</m:t>
                </m:r>
              </m:e>
              <m:sub>
                <m:r>
                  <w:rPr>
                    <w:color w:val="0A2540"/>
                    <w:sz w:val="21"/>
                  </w:rPr>
                  <m:t>i</m:t>
                </m:r>
              </m:sub>
            </m:sSub>
          </m:num>
          <m:den>
            <m:sSub>
              <m:e>
                <m:d>
                  <m:dPr>
                    <m:begChr m:val="‖"/>
                    <m:endChr m:val="‖"/>
                  </m:dPr>
                  <m:e>
                    <m:r>
                      <w:rPr>
                        <w:color w:val="0A2540"/>
                        <w:sz w:val="21"/>
                      </w:rPr>
                      <m:t>q</m:t>
                    </m:r>
                  </m:e>
                </m:d>
              </m:e>
              <m:sub>
                <m:r>
                  <w:rPr>
                    <w:color w:val="0A2540"/>
                    <w:sz w:val="21"/>
                  </w:rPr>
                  <m:t>2</m:t>
                </m:r>
              </m:sub>
            </m:sSub>
            <m:sSub>
              <m:e>
                <m:d>
                  <m:dPr>
                    <m:begChr m:val="‖"/>
                    <m:endChr m:val="‖"/>
                  </m:dPr>
                  <m:e>
                    <m:sSub>
                      <m:e>
                        <m:r>
                          <w:rPr>
                            <w:color w:val="0A2540"/>
                            <w:sz w:val="21"/>
                          </w:rPr>
                          <m:t>d</m:t>
                        </m:r>
                      </m:e>
                      <m:sub>
                        <m:r>
                          <w:rPr>
                            <w:color w:val="0A2540"/>
                            <w:sz w:val="21"/>
                          </w:rPr>
                          <m:t>i</m:t>
                        </m:r>
                      </m:sub>
                    </m:sSub>
                  </m:e>
                </m:d>
              </m:e>
              <m:sub>
                <m:r>
                  <w:rPr>
                    <w:color w:val="0A2540"/>
                    <w:sz w:val="21"/>
                  </w:rPr>
                  <m:t>2</m:t>
                </m:r>
              </m:sub>
            </m:sSub>
          </m:den>
        </m:f>
        <m:r>
          <w:rPr>
            <w:color w:val="0A2540"/>
            <w:sz w:val="21"/>
          </w:rPr>
          <m:t>=</m:t>
        </m:r>
        <m:r>
          <w:rPr>
            <w:color w:val="0A2540"/>
            <w:sz w:val="21"/>
          </w:rPr>
          <m:rPr>
            <m:nor/>
          </m:rPr>
          <m:t>cos</m:t>
        </m:r>
        <m:r>
          <w:rPr>
            <w:color w:val="0A2540"/>
            <w:sz w:val="21"/>
          </w:rPr>
          <m:t>(</m:t>
        </m:r>
        <m:r>
          <w:rPr>
            <w:color w:val="0A2540"/>
            <w:sz w:val="21"/>
          </w:rPr>
          <m:t>q</m:t>
        </m:r>
        <m:r>
          <w:rPr>
            <w:color w:val="0A2540"/>
            <w:sz w:val="21"/>
          </w:rPr>
          <m:t>,</m:t>
        </m:r>
        <m:sSub>
          <m:e>
            <m:r>
              <w:rPr>
                <w:color w:val="0A2540"/>
                <w:sz w:val="21"/>
              </w:rPr>
              <m:t>d</m:t>
            </m:r>
          </m:e>
          <m:sub>
            <m:r>
              <w:rPr>
                <w:color w:val="0A2540"/>
                <w:sz w:val="21"/>
              </w:rPr>
              <m:t>i</m:t>
            </m:r>
          </m:sub>
        </m:sSub>
        <m:r>
          <w:rPr>
            <w:color w:val="0A2540"/>
            <w:sz w:val="21"/>
          </w:rPr>
          <m:t>)</m:t>
        </m:r>
      </m:oMath>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w:t>
      </w:r>
      <m:oMath>
        <m:r>
          <m:t>N</m:t>
        </m:r>
        <m:r>
          <m:t>=</m:t>
        </m:r>
        <m:r>
          <m:t>474</m:t>
        </m:r>
      </m:oMath>
      <w:r>
        <w:t>), applies a stable Python sort with compound key:</w:t>
      </w:r>
    </w:p>
    <w:p>
      <w:pPr>
        <w:keepLines/>
        <w:spacing w:before="120" w:after="120" w:line="276" w:lineRule="auto"/>
        <w:ind w:left="576" w:right="576"/>
        <w:shd w:fill="F8FAFC"/>
        <w:pBdr>
          <w:left w:val="single" w:sz="18" w:space="8" w:color="0969DA"/>
        </w:pBdr>
      </w:pPr>
      <m:oMath>
        <m:r>
          <w:rPr>
            <w:color w:val="0A2540"/>
            <w:sz w:val="21"/>
          </w:rPr>
          <m:rPr>
            <m:nor/>
          </m:rPr>
          <m:t>sort_key</m:t>
        </m:r>
        <m:r>
          <w:rPr>
            <w:color w:val="0A2540"/>
            <w:sz w:val="21"/>
          </w:rPr>
          <m:t>=</m:t>
        </m:r>
        <m:r>
          <w:rPr>
            <w:color w:val="0A2540"/>
            <w:sz w:val="21"/>
          </w:rPr>
          <m:t>(</m:t>
        </m:r>
        <m:r>
          <w:rPr>
            <w:color w:val="0A2540"/>
            <w:sz w:val="21"/>
          </w:rPr>
          <m:t>-</m:t>
        </m:r>
        <m:r>
          <w:rPr>
            <w:color w:val="0A2540"/>
            <w:sz w:val="21"/>
          </w:rPr>
          <m:rPr>
            <m:nor/>
          </m:rPr>
          <m:t>score</m:t>
        </m:r>
        <m:r>
          <w:rPr>
            <w:color w:val="0A2540"/>
            <w:sz w:val="21"/>
          </w:rPr>
          <m:t>,</m:t>
        </m:r>
        <m:r>
          <w:rPr>
            <w:color w:val="0A2540"/>
            <w:sz w:val="21"/>
          </w:rPr>
          <m:rPr>
            <m:nor/>
          </m:rPr>
          <m:t>technique_id</m:t>
        </m:r>
        <m:r>
          <w:rPr>
            <w:color w:val="0A2540"/>
            <w:sz w:val="21"/>
          </w:rPr>
          <m:t>)</m:t>
        </m:r>
      </m:oMath>
    </w:p>
    <w:p>
      <w:r>
        <w:t xml:space="preserve">and slices the top </w:t>
      </w:r>
      <m:oMath>
        <m:r>
          <m:t>k</m:t>
        </m:r>
      </m:oMath>
      <w:r>
        <w:t xml:space="preserve">. This guarantees the </w:t>
      </w:r>
      <w:r>
        <w:rPr>
          <w:b/>
        </w:rPr>
        <w:t>Prefix Consistency Invariant</w:t>
      </w:r>
      <w:r>
        <w:t>:</w:t>
      </w:r>
    </w:p>
    <w:p>
      <w:pPr>
        <w:keepLines/>
        <w:spacing w:before="120" w:after="120" w:line="276" w:lineRule="auto"/>
        <w:ind w:left="576" w:right="576"/>
        <w:shd w:fill="F8FAFC"/>
        <w:pBdr>
          <w:left w:val="single" w:sz="18" w:space="8" w:color="0969DA"/>
        </w:pBdr>
      </w:pPr>
      <m:oMath>
        <m:r>
          <w:rPr>
            <w:color w:val="0A2540"/>
            <w:sz w:val="21"/>
          </w:rPr>
          <m:t>∀</m:t>
        </m:r>
        <m:sSub>
          <m:e>
            <m:r>
              <w:rPr>
                <w:color w:val="0A2540"/>
                <w:sz w:val="21"/>
              </w:rPr>
              <m:t>k</m:t>
            </m:r>
          </m:e>
          <m:sub>
            <m:r>
              <w:rPr>
                <w:color w:val="0A2540"/>
                <w:sz w:val="21"/>
              </w:rPr>
              <m:t>1</m:t>
            </m:r>
          </m:sub>
        </m:sSub>
        <m:r>
          <w:rPr>
            <w:color w:val="0A2540"/>
            <w:sz w:val="21"/>
          </w:rPr>
          <m:t>&lt;</m:t>
        </m:r>
        <m:sSub>
          <m:e>
            <m:r>
              <w:rPr>
                <w:color w:val="0A2540"/>
                <w:sz w:val="21"/>
              </w:rPr>
              <m:t>k</m:t>
            </m:r>
          </m:e>
          <m:sub>
            <m:r>
              <w:rPr>
                <w:color w:val="0A2540"/>
                <w:sz w:val="21"/>
              </w:rPr>
              <m:t>2</m:t>
            </m:r>
          </m:sub>
        </m:sSub>
        <m:r>
          <w:rPr>
            <w:color w:val="0A2540"/>
            <w:sz w:val="21"/>
          </w:rPr>
          <m:t>∈</m:t>
        </m:r>
        <m:r>
          <w:rPr>
            <w:color w:val="0A2540"/>
            <w:sz w:val="21"/>
          </w:rPr>
          <m:t>{</m:t>
        </m:r>
        <m:r>
          <w:rPr>
            <w:color w:val="0A2540"/>
            <w:sz w:val="21"/>
          </w:rPr>
          <m:t>1</m:t>
        </m:r>
        <m:r>
          <w:rPr>
            <w:color w:val="0A2540"/>
            <w:sz w:val="21"/>
          </w:rPr>
          <m:t>,</m:t>
        </m:r>
        <m:r>
          <w:rPr>
            <w:color w:val="0A2540"/>
            <w:sz w:val="21"/>
          </w:rPr>
          <m:t>3</m:t>
        </m:r>
        <m:r>
          <w:rPr>
            <w:color w:val="0A2540"/>
            <w:sz w:val="21"/>
          </w:rPr>
          <m:t>,</m:t>
        </m:r>
        <m:r>
          <w:rPr>
            <w:color w:val="0A2540"/>
            <w:sz w:val="21"/>
          </w:rPr>
          <m:t>5</m:t>
        </m:r>
        <m:r>
          <w:rPr>
            <w:color w:val="0A2540"/>
            <w:sz w:val="21"/>
          </w:rPr>
          <m:t>,</m:t>
        </m:r>
        <m:r>
          <w:rPr>
            <w:color w:val="0A2540"/>
            <w:sz w:val="21"/>
          </w:rPr>
          <m:t>10</m:t>
        </m:r>
        <m:r>
          <w:rPr>
            <w:color w:val="0A2540"/>
            <w:sz w:val="21"/>
          </w:rPr>
          <m:t>}</m:t>
        </m:r>
        <m:r>
          <w:rPr>
            <w:color w:val="0A2540"/>
            <w:sz w:val="21"/>
          </w:rPr>
          <m:t>:</m:t>
        </m:r>
        <m:r>
          <w:rPr>
            <w:color w:val="0A2540"/>
            <w:sz w:val="21"/>
          </w:rPr>
          <m:t>  </m:t>
        </m:r>
        <m:r>
          <w:rPr>
            <w:color w:val="0A2540"/>
            <w:sz w:val="21"/>
          </w:rPr>
          <m:rPr>
            <m:nor/>
          </m:rPr>
          <m:t>results</m:t>
        </m:r>
        <m:r>
          <w:rPr>
            <w:color w:val="0A2540"/>
            <w:sz w:val="21"/>
          </w:rPr>
          <m:t>(</m:t>
        </m:r>
        <m:sSub>
          <m:e>
            <m:r>
              <w:rPr>
                <w:color w:val="0A2540"/>
                <w:sz w:val="21"/>
              </w:rPr>
              <m:t>k</m:t>
            </m:r>
          </m:e>
          <m:sub>
            <m:r>
              <w:rPr>
                <w:color w:val="0A2540"/>
                <w:sz w:val="21"/>
              </w:rPr>
              <m:t>1</m:t>
            </m:r>
          </m:sub>
        </m:sSub>
        <m:r>
          <w:rPr>
            <w:color w:val="0A2540"/>
            <w:sz w:val="21"/>
          </w:rPr>
          <m:t>)</m:t>
        </m:r>
        <m:r>
          <w:rPr>
            <w:color w:val="0A2540"/>
            <w:sz w:val="21"/>
          </w:rPr>
          <m:t>≡</m:t>
        </m:r>
        <m:r>
          <w:rPr>
            <w:color w:val="0A2540"/>
            <w:sz w:val="21"/>
          </w:rPr>
          <m:rPr>
            <m:nor/>
          </m:rPr>
          <m:t>results</m:t>
        </m:r>
        <m:r>
          <w:rPr>
            <w:color w:val="0A2540"/>
            <w:sz w:val="21"/>
          </w:rPr>
          <m:t>(</m:t>
        </m:r>
        <m:sSub>
          <m:e>
            <m:r>
              <w:rPr>
                <w:color w:val="0A2540"/>
                <w:sz w:val="21"/>
              </w:rPr>
              <m:t>k</m:t>
            </m:r>
          </m:e>
          <m:sub>
            <m:r>
              <w:rPr>
                <w:color w:val="0A2540"/>
                <w:sz w:val="21"/>
              </w:rPr>
              <m:t>2</m:t>
            </m:r>
          </m:sub>
        </m:sSub>
        <m:r>
          <w:rPr>
            <w:color w:val="0A2540"/>
            <w:sz w:val="21"/>
          </w:rPr>
          <m:t>)</m:t>
        </m:r>
        <m:r>
          <w:rPr>
            <w:color w:val="0A2540"/>
            <w:sz w:val="21"/>
          </w:rPr>
          <m:t>[</m:t>
        </m:r>
        <m:r>
          <w:rPr>
            <w:color w:val="0A2540"/>
            <w:sz w:val="21"/>
          </w:rPr>
          <m:t>:</m:t>
        </m:r>
        <m:sSub>
          <m:e>
            <m:r>
              <w:rPr>
                <w:color w:val="0A2540"/>
                <w:sz w:val="21"/>
              </w:rPr>
              <m:t>k</m:t>
            </m:r>
          </m:e>
          <m:sub>
            <m:r>
              <w:rPr>
                <w:color w:val="0A2540"/>
                <w:sz w:val="21"/>
              </w:rPr>
              <m:t>1</m:t>
            </m:r>
          </m:sub>
        </m:sSub>
        <m:r>
          <w:rPr>
            <w:color w:val="0A2540"/>
            <w:sz w:val="21"/>
          </w:rPr>
          <m:t>]</m:t>
        </m:r>
      </m:oMath>
    </w:p>
    <w:p>
      <w:pPr>
        <w:pStyle w:val="Heading2"/>
        <w:keepNext/>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spacing w:after="40" w:line="276" w:lineRule="auto"/>
        <w:ind w:left="432" w:hanging="288"/>
      </w:pPr>
      <w:r>
        <w:rPr>
          <w:rFonts w:ascii="Calibri" w:hAnsi="Calibri"/>
          <w:b/>
          <w:color w:val="24292F"/>
        </w:rPr>
        <w:t xml:space="preserve">1. </w:t>
      </w:r>
      <w:r>
        <w:rPr>
          <w:rFonts w:ascii="Consolas" w:hAnsi="Consolas"/>
          <w:color w:val="8A1F11"/>
          <w:sz w:val="19"/>
        </w:rPr>
        <w:t>no_rag</w:t>
      </w:r>
      <w:r>
        <w:t>: Unaugmented baseline (</w:t>
      </w:r>
      <w:r>
        <w:rPr>
          <w:rFonts w:ascii="Consolas" w:hAnsi="Consolas"/>
          <w:color w:val="8A1F11"/>
          <w:sz w:val="19"/>
        </w:rPr>
        <w:t>{RETRIEVED_CONTEXT}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rag_k1</w:t>
      </w:r>
      <w:r>
        <w:t>: Injects Top-1 retrieved ATT&amp;CK technique description.</w:t>
      </w:r>
    </w:p>
    <w:p>
      <w:pPr>
        <w:spacing w:after="40" w:line="276" w:lineRule="auto"/>
        <w:ind w:left="432" w:hanging="288"/>
      </w:pPr>
      <w:r>
        <w:rPr>
          <w:rFonts w:ascii="Calibri" w:hAnsi="Calibri"/>
          <w:b/>
          <w:color w:val="24292F"/>
        </w:rPr>
        <w:t xml:space="preserve">3. </w:t>
      </w:r>
      <w:r>
        <w:rPr>
          <w:rFonts w:ascii="Consolas" w:hAnsi="Consolas"/>
          <w:color w:val="8A1F11"/>
          <w:sz w:val="19"/>
        </w:rPr>
        <w:t>rag_k3</w:t>
      </w:r>
      <w:r>
        <w:t>: Injects Top-3 retrieved ATT&amp;CK technique descriptions.</w:t>
      </w:r>
    </w:p>
    <w:p>
      <w:pPr>
        <w:spacing w:after="40" w:line="276" w:lineRule="auto"/>
        <w:ind w:left="432" w:hanging="288"/>
      </w:pPr>
      <w:r>
        <w:rPr>
          <w:rFonts w:ascii="Calibri" w:hAnsi="Calibri"/>
          <w:b/>
          <w:color w:val="24292F"/>
        </w:rPr>
        <w:t xml:space="preserve">4. </w:t>
      </w:r>
      <w:r>
        <w:rPr>
          <w:rFonts w:ascii="Consolas" w:hAnsi="Consolas"/>
          <w:color w:val="8A1F11"/>
          <w:sz w:val="19"/>
        </w:rPr>
        <w:t>rag_k5</w:t>
      </w:r>
      <w:r>
        <w:t>: Injects Top-5 retrieved ATT&amp;CK technique descriptions (default operational depth).</w:t>
      </w:r>
    </w:p>
    <w:p>
      <w:pPr>
        <w:spacing w:after="40" w:line="276" w:lineRule="auto"/>
        <w:ind w:left="432" w:hanging="288"/>
      </w:pPr>
      <w:r>
        <w:rPr>
          <w:rFonts w:ascii="Calibri" w:hAnsi="Calibri"/>
          <w:b/>
          <w:color w:val="24292F"/>
        </w:rPr>
        <w:t xml:space="preserve">5. </w:t>
      </w:r>
      <w:r>
        <w:rPr>
          <w:rFonts w:ascii="Consolas" w:hAnsi="Consolas"/>
          <w:color w:val="8A1F11"/>
          <w:sz w:val="19"/>
        </w:rPr>
        <w:t>rag_k10</w:t>
      </w:r>
      <w:r>
        <w:t>: Injects Top-10 retrieved ATT&amp;CK technique descriptions (dense candidate pool).</w:t>
      </w:r>
    </w:p>
    <w:p>
      <w:pPr>
        <w:pStyle w:val="Heading2"/>
        <w:keepNext/>
        <w:spacing w:before="200" w:after="80"/>
      </w:pPr>
      <w:r>
        <w:rPr>
          <w:rFonts w:ascii="Calibri" w:hAnsi="Calibri"/>
          <w:b/>
          <w:color w:val="1F2328"/>
          <w:sz w:val="24"/>
        </w:rPr>
        <w:t>4.6 Tariff, Monetary Accounting, and Financial Guard (USD 19.99 Budget)</w:t>
      </w:r>
    </w:p>
    <w:p>
      <w:r>
        <w:t>Live provider execution involves non-trivial API costs. In accordance with Protocol Decision D5, execution is governed by a strict financial ledger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 xml:space="preserve"> is frozen in </w:t>
      </w:r>
      <w:r>
        <w:rPr>
          <w:rFonts w:ascii="Consolas" w:hAnsi="Consolas"/>
          <w:color w:val="8A1F11"/>
          <w:sz w:val="19"/>
        </w:rPr>
        <w:t>config/pricing_v1.json</w:t>
      </w:r>
      <w:r>
        <w:t>:</w:t>
      </w:r>
    </w:p>
    <w:p>
      <w:pPr>
        <w:pStyle w:val="ListBullet"/>
        <w:spacing w:after="40" w:line="276" w:lineRule="auto"/>
      </w:pPr>
      <w:r>
        <w:rPr>
          <w:i/>
        </w:rPr>
        <w:t>Short Context (</w:t>
      </w:r>
      <m:oMath>
        <m:r>
          <m:t>≤</m:t>
        </m:r>
        <m:r>
          <m:t>272</m:t>
        </m:r>
        <m:r>
          <m:t>,</m:t>
        </m:r>
        <m:r>
          <m:t>000</m:t>
        </m:r>
      </m:oMath>
      <w:r>
        <w:rPr>
          <w:i/>
        </w:rPr>
        <w:t xml:space="preserve"> tokens):</w:t>
      </w:r>
    </w:p>
    <w:p>
      <w:pPr>
        <w:pStyle w:val="ListBullet"/>
        <w:spacing w:after="40" w:line="276" w:lineRule="auto"/>
      </w:pPr>
      <w:r>
        <w:t>Input: USD 0.20 per 1,000,000 tokens (</w:t>
      </w:r>
      <m:oMath>
        <m:r>
          <m:t>0</m:t>
        </m:r>
        <m:r>
          <m:t>.</m:t>
        </m:r>
        <m:r>
          <m:t>20</m:t>
        </m:r>
        <m:r>
          <m:t>/</m:t>
        </m:r>
        <m:r>
          <m:rPr>
            <m:nor/>
          </m:rPr>
          <m:t>M</m:t>
        </m:r>
      </m:oMath>
      <w:r>
        <w:t>).</w:t>
      </w:r>
    </w:p>
    <w:p>
      <w:pPr>
        <w:pStyle w:val="ListBullet"/>
        <w:spacing w:after="40" w:line="276" w:lineRule="auto"/>
      </w:pPr>
      <w:r>
        <w:t>Cache Read: USD 0.02 per 1,000,000 tokens (</w:t>
      </w:r>
      <m:oMath>
        <m:r>
          <m:t>0</m:t>
        </m:r>
        <m:r>
          <m:t>.</m:t>
        </m:r>
        <m:r>
          <m:t>02</m:t>
        </m:r>
        <m:r>
          <m:t>/</m:t>
        </m:r>
        <m:r>
          <m:rPr>
            <m:nor/>
          </m:rPr>
          <m:t>M</m:t>
        </m:r>
      </m:oMath>
      <w:r>
        <w:t>).</w:t>
      </w:r>
    </w:p>
    <w:p>
      <w:pPr>
        <w:pStyle w:val="ListBullet"/>
        <w:spacing w:after="40" w:line="276" w:lineRule="auto"/>
      </w:pPr>
      <w:r>
        <w:t>Cache Write: USD 0.25 per 1,000,000 tokens (</w:t>
      </w:r>
      <m:oMath>
        <m:r>
          <m:t>0</m:t>
        </m:r>
        <m:r>
          <m:t>.</m:t>
        </m:r>
        <m:r>
          <m:t>25</m:t>
        </m:r>
        <m:r>
          <m:t>/</m:t>
        </m:r>
        <m:r>
          <m:rPr>
            <m:nor/>
          </m:rPr>
          <m:t>M</m:t>
        </m:r>
      </m:oMath>
      <w:r>
        <w:t>).</w:t>
      </w:r>
    </w:p>
    <w:p>
      <w:pPr>
        <w:pStyle w:val="ListBullet"/>
        <w:spacing w:after="40" w:line="276" w:lineRule="auto"/>
      </w:pPr>
      <w:r>
        <w:t>Output: USD 1.20 per 1,000,000 tokens (</w:t>
      </w:r>
      <m:oMath>
        <m:r>
          <m:t>1</m:t>
        </m:r>
        <m:r>
          <m:t>.</m:t>
        </m:r>
        <m:r>
          <m:t>20</m:t>
        </m:r>
        <m:r>
          <m:t>/</m:t>
        </m:r>
        <m:r>
          <m:rPr>
            <m:nor/>
          </m:rPr>
          <m:t>M</m:t>
        </m:r>
      </m:oMath>
      <w:r>
        <w:t>, inclusive of internal reasoning tokens).</w:t>
      </w:r>
    </w:p>
    <w:p>
      <w:pPr>
        <w:pStyle w:val="ListBullet"/>
        <w:spacing w:after="40" w:line="276" w:lineRule="auto"/>
      </w:pPr>
      <w:r>
        <w:rPr>
          <w:i/>
        </w:rPr>
        <w:t>Long Context (</w:t>
      </w:r>
      <m:oMath>
        <m:r>
          <m:t>&gt;</m:t>
        </m:r>
        <m:r>
          <m:t>272</m:t>
        </m:r>
        <m:r>
          <m:t>,</m:t>
        </m:r>
        <m:r>
          <m:t>000</m:t>
        </m:r>
      </m:oMath>
      <w:r>
        <w:rPr>
          <w:i/>
        </w:rPr>
        <w:t xml:space="preserve"> tokens):</w:t>
      </w:r>
    </w:p>
    <w:p>
      <w:pPr>
        <w:pStyle w:val="ListBullet"/>
        <w:spacing w:after="40" w:line="276" w:lineRule="auto"/>
      </w:pPr>
      <w:r>
        <w:t>Input: USD 0.40 per 1,000,000 tokens (</w:t>
      </w:r>
      <m:oMath>
        <m:r>
          <m:t>0</m:t>
        </m:r>
        <m:r>
          <m:t>.</m:t>
        </m:r>
        <m:r>
          <m:t>40</m:t>
        </m:r>
        <m:r>
          <m:t>/</m:t>
        </m:r>
        <m:r>
          <m:rPr>
            <m:nor/>
          </m:rPr>
          <m:t>M</m:t>
        </m:r>
      </m:oMath>
      <w:r>
        <w:t>).</w:t>
      </w:r>
    </w:p>
    <w:p>
      <w:pPr>
        <w:pStyle w:val="ListBullet"/>
        <w:spacing w:after="40" w:line="276" w:lineRule="auto"/>
      </w:pPr>
      <w:r>
        <w:t>Cache Read: USD 0.04 per 1,000,000 tokens (</w:t>
      </w:r>
      <m:oMath>
        <m:r>
          <m:t>0</m:t>
        </m:r>
        <m:r>
          <m:t>.</m:t>
        </m:r>
        <m:r>
          <m:t>04</m:t>
        </m:r>
        <m:r>
          <m:t>/</m:t>
        </m:r>
        <m:r>
          <m:rPr>
            <m:nor/>
          </m:rPr>
          <m:t>M</m:t>
        </m:r>
      </m:oMath>
      <w:r>
        <w:t>).</w:t>
      </w:r>
    </w:p>
    <w:p>
      <w:pPr>
        <w:pStyle w:val="ListBullet"/>
        <w:spacing w:after="40" w:line="276" w:lineRule="auto"/>
      </w:pPr>
      <w:r>
        <w:t>Cache Write: USD 0.50 per 1,000,000 tokens (</w:t>
      </w:r>
      <m:oMath>
        <m:r>
          <m:t>0</m:t>
        </m:r>
        <m:r>
          <m:t>.</m:t>
        </m:r>
        <m:r>
          <m:t>50</m:t>
        </m:r>
        <m:r>
          <m:t>/</m:t>
        </m:r>
        <m:r>
          <m:rPr>
            <m:nor/>
          </m:rPr>
          <m:t>M</m:t>
        </m:r>
      </m:oMath>
      <w:r>
        <w:t>).</w:t>
      </w:r>
    </w:p>
    <w:p>
      <w:pPr>
        <w:pStyle w:val="ListBullet"/>
        <w:spacing w:after="40" w:line="276" w:lineRule="auto"/>
      </w:pPr>
      <w:r>
        <w:t>Output: USD 1.80 per 1,000,000 tokens (</w:t>
      </w:r>
      <m:oMath>
        <m:r>
          <m:t>1</m:t>
        </m:r>
        <m:r>
          <m:t>.</m:t>
        </m:r>
        <m:r>
          <m:t>80</m:t>
        </m:r>
        <m:r>
          <m:t>/</m:t>
        </m:r>
        <m:r>
          <m:rPr>
            <m:nor/>
          </m:rPr>
          <m:t>M</m:t>
        </m:r>
      </m:oMath>
      <w:r>
        <w:t>).</w:t>
      </w:r>
    </w:p>
    <w:p>
      <w:pPr>
        <w:pStyle w:val="ListBullet"/>
        <w:spacing w:after="40" w:line="276" w:lineRule="auto"/>
      </w:pPr>
      <w:r>
        <w:rPr>
          <w:i/>
        </w:rPr>
        <w:t>Ceilings and Context Limits:</w:t>
      </w:r>
      <w:r>
        <w:t xml:space="preserve"> Short-context threshold 272,000 tokens; configured maximum input ceiling 1,050,000 tokens; maximum output token budget 8,192 tokens.</w:t>
      </w:r>
    </w:p>
    <w:p>
      <w:pPr>
        <w:pStyle w:val="ListBullet"/>
        <w:spacing w:after="40" w:line="276" w:lineRule="auto"/>
      </w:pPr>
      <w:r>
        <w:rPr>
          <w:i/>
        </w:rPr>
        <w:t>Reservation Bounds and Budget Guard:</w:t>
      </w:r>
    </w:p>
    <w:p>
      <w:pPr>
        <w:pStyle w:val="ListBullet"/>
        <w:spacing w:after="40" w:line="276" w:lineRule="auto"/>
      </w:pPr>
      <w:r>
        <w:t>Attempt worst-case reserve: USD 0.53974560.</w:t>
      </w:r>
    </w:p>
    <w:p>
      <w:pPr>
        <w:pStyle w:val="ListBullet"/>
        <w:spacing w:after="40" w:line="276" w:lineRule="auto"/>
      </w:pPr>
      <w:r>
        <w:t>Logical request worst-case ceiling: USD 2.15898240.</w:t>
      </w:r>
    </w:p>
    <w:p>
      <w:pPr>
        <w:pStyle w:val="ListBullet"/>
        <w:spacing w:after="40" w:line="276" w:lineRule="auto"/>
      </w:pPr>
      <w:r>
        <w:t>Total study authorized budget ceiling: USD 19.99000000.</w:t>
      </w:r>
    </w:p>
    <w:p>
      <w:pPr>
        <w:pStyle w:val="ListBullet"/>
        <w:spacing w:after="40" w:line="276" w:lineRule="auto"/>
      </w:pPr>
      <w:r>
        <w:t>Prior exploratory pilot provisional hold: USD 0.05264010.</w:t>
      </w:r>
    </w:p>
    <w:p>
      <w:pPr>
        <w:pStyle w:val="ListBullet"/>
        <w:spacing w:after="40" w:line="276" w:lineRule="auto"/>
      </w:pPr>
      <w:r>
        <w:t>Net available starting budget: USD 19.93735990.</w:t>
      </w:r>
    </w:p>
    <w:p>
      <w:pPr>
        <w:pStyle w:val="ListBullet"/>
        <w:spacing w:after="40" w:line="276" w:lineRule="auto"/>
      </w:pPr>
      <w:r>
        <w:rPr>
          <w:b/>
        </w:rPr>
        <w:t>Ledger Mechanism and Tariff-Derived Accounting:</w:t>
      </w:r>
    </w:p>
    <w:p>
      <w:r>
        <w:t xml:space="preserve">Before each dispatch attempt, the runner places a worst-case reservation (USD 0.53974560) against the budget ledger. Upon successful completion, the reservation is released and the actual spend is settled based on exact metered prompt, cached, and output tokens using the frozen conservative tariff policy. Cached input is charged at the cache-read rate; remaining input is charged at the cache-write rate. When a cache breakdown is unavailable, all input is charged at the cache-write rate. For example, No-RAG totals yield </w:t>
      </w:r>
      <m:oMath>
        <m:r>
          <m:t>863139</m:t>
        </m:r>
        <m:r>
          <m:t>×</m:t>
        </m:r>
        <m:r>
          <m:t>0</m:t>
        </m:r>
        <m:r>
          <m:t>.</m:t>
        </m:r>
        <m:r>
          <m:t>25</m:t>
        </m:r>
        <m:r>
          <m:t>/</m:t>
        </m:r>
        <m:sSup>
          <m:e>
            <m:r>
              <m:t>10</m:t>
            </m:r>
          </m:e>
          <m:sup>
            <m:r>
              <m:t>6</m:t>
            </m:r>
          </m:sup>
        </m:sSup>
        <m:r>
          <m:t>+</m:t>
        </m:r>
        <m:r>
          <m:t>209466</m:t>
        </m:r>
        <m:r>
          <m:t>×</m:t>
        </m:r>
        <m:r>
          <m:t>1</m:t>
        </m:r>
        <m:r>
          <m:t>.</m:t>
        </m:r>
        <m:r>
          <m:t>20</m:t>
        </m:r>
        <m:r>
          <m:t>/</m:t>
        </m:r>
        <m:sSup>
          <m:e>
            <m:r>
              <m:t>10</m:t>
            </m:r>
          </m:e>
          <m:sup>
            <m:r>
              <m:t>6</m:t>
            </m:r>
          </m:sup>
        </m:sSup>
        <m:r>
          <m:t>=</m:t>
        </m:r>
        <m:r>
          <m:t>0</m:t>
        </m:r>
        <m:r>
          <m:t>.</m:t>
        </m:r>
        <m:r>
          <m:t>46714395</m:t>
        </m:r>
      </m:oMath>
      <w:r>
        <w:t xml:space="preserve"> USD. If an attempt lacks token usage metadata, the ledger conservatively retains the full attempt reservation. Crucially, all reported monetary amounts represent tariff-derived conservative accounting estimates computed directly from token meters and public price schedules, not post-hoc commercial vendor invoices.</w:t>
      </w:r>
    </w:p>
    <w:p>
      <w:pPr>
        <w:pStyle w:val="ListBullet"/>
        <w:spacing w:after="40" w:line="276" w:lineRule="auto"/>
      </w:pPr>
      <w:r>
        <w:rPr>
          <w:b/>
        </w:rPr>
        <w:t>Worst-Case Attempt Cap:</w:t>
      </w:r>
    </w:p>
    <w:p>
      <w:pPr>
        <w:keepLines/>
        <w:spacing w:before="120" w:after="120" w:line="276" w:lineRule="auto"/>
        <w:ind w:left="576" w:right="576"/>
        <w:shd w:fill="F8FAFC"/>
        <w:pBdr>
          <w:left w:val="single" w:sz="18" w:space="8" w:color="0969DA"/>
        </w:pBdr>
      </w:pPr>
      <m:oMath>
        <m:r>
          <w:rPr>
            <w:color w:val="0A2540"/>
            <w:sz w:val="21"/>
          </w:rPr>
          <m:rPr>
            <m:nor/>
          </m:rPr>
          <m:t>Cap</m:t>
        </m:r>
        <m:r>
          <w:rPr>
            <w:color w:val="0A2540"/>
            <w:sz w:val="21"/>
          </w:rPr>
          <m:t>=</m:t>
        </m:r>
        <m:sSub>
          <m:e>
            <m:r>
              <w:rPr>
                <w:color w:val="0A2540"/>
                <w:sz w:val="21"/>
              </w:rPr>
              <m:t>N</m:t>
            </m:r>
          </m:e>
          <m:sub>
            <m:r>
              <w:rPr>
                <w:color w:val="0A2540"/>
                <w:sz w:val="21"/>
              </w:rPr>
              <m:rPr>
                <m:nor/>
              </m:rPr>
              <m:t>views</m:t>
            </m:r>
          </m:sub>
        </m:sSub>
        <m:r>
          <w:rPr>
            <w:color w:val="0A2540"/>
            <w:sz w:val="21"/>
          </w:rPr>
          <m:t>×</m:t>
        </m:r>
        <m:sSub>
          <m:e>
            <m:r>
              <w:rPr>
                <w:color w:val="0A2540"/>
                <w:sz w:val="21"/>
              </w:rPr>
              <m:t>N</m:t>
            </m:r>
          </m:e>
          <m:sub>
            <m:r>
              <w:rPr>
                <w:color w:val="0A2540"/>
                <w:sz w:val="21"/>
              </w:rPr>
              <m:rPr>
                <m:nor/>
              </m:rPr>
              <m:t>conditions</m:t>
            </m:r>
          </m:sub>
        </m:sSub>
        <m:r>
          <w:rPr>
            <w:color w:val="0A2540"/>
            <w:sz w:val="21"/>
          </w:rPr>
          <m:t>×</m:t>
        </m:r>
        <m:r>
          <w:rPr>
            <w:color w:val="0A2540"/>
            <w:sz w:val="21"/>
          </w:rPr>
          <m:t>(</m:t>
        </m:r>
        <m:r>
          <w:rPr>
            <w:color w:val="0A2540"/>
            <w:sz w:val="21"/>
          </w:rPr>
          <m:rPr>
            <m:nor/>
          </m:rPr>
          <m:t>max_retries</m:t>
        </m:r>
        <m:r>
          <w:rPr>
            <w:color w:val="0A2540"/>
            <w:sz w:val="21"/>
          </w:rPr>
          <m:t>+</m:t>
        </m:r>
        <m:r>
          <w:rPr>
            <w:color w:val="0A2540"/>
            <w:sz w:val="21"/>
          </w:rPr>
          <m:t>1</m:t>
        </m:r>
        <m:r>
          <w:rPr>
            <w:color w:val="0A2540"/>
            <w:sz w:val="21"/>
          </w:rPr>
          <m:t>)</m:t>
        </m:r>
        <m:r>
          <w:rPr>
            <w:color w:val="0A2540"/>
            <w:sz w:val="21"/>
          </w:rPr>
          <m:t>=</m:t>
        </m:r>
        <m:r>
          <w:rPr>
            <w:color w:val="0A2540"/>
            <w:sz w:val="21"/>
          </w:rPr>
          <m:t>1</m:t>
        </m:r>
        <m:r>
          <w:rPr>
            <w:color w:val="0A2540"/>
            <w:sz w:val="21"/>
          </w:rPr>
          <m:t>,</m:t>
        </m:r>
        <m:r>
          <w:rPr>
            <w:color w:val="0A2540"/>
            <w:sz w:val="21"/>
          </w:rPr>
          <m:t>280</m:t>
        </m:r>
        <m:r>
          <w:rPr>
            <w:color w:val="0A2540"/>
            <w:sz w:val="21"/>
          </w:rPr>
          <m:t>×</m:t>
        </m:r>
        <m:r>
          <w:rPr>
            <w:color w:val="0A2540"/>
            <w:sz w:val="21"/>
          </w:rPr>
          <m:t>5</m:t>
        </m:r>
        <m:r>
          <w:rPr>
            <w:color w:val="0A2540"/>
            <w:sz w:val="21"/>
          </w:rPr>
          <m:t>×</m:t>
        </m:r>
        <m:r>
          <w:rPr>
            <w:color w:val="0A2540"/>
            <w:sz w:val="21"/>
          </w:rPr>
          <m:t>4</m:t>
        </m:r>
        <m:r>
          <w:rPr>
            <w:color w:val="0A2540"/>
            <w:sz w:val="21"/>
          </w:rPr>
          <m:t>=</m:t>
        </m:r>
        <m:r>
          <w:rPr>
            <w:color w:val="0A2540"/>
            <w:sz w:val="21"/>
          </w:rPr>
          <m:t>25</m:t>
        </m:r>
        <m:r>
          <w:rPr>
            <w:color w:val="0A2540"/>
            <w:sz w:val="21"/>
          </w:rPr>
          <m:t>,</m:t>
        </m:r>
        <m:r>
          <w:rPr>
            <w:color w:val="0A2540"/>
            <w:sz w:val="21"/>
          </w:rPr>
          <m:t>600</m:t>
        </m:r>
        <m:r>
          <w:rPr>
            <w:color w:val="0A2540"/>
            <w:sz w:val="21"/>
          </w:rPr>
          <m:rPr>
            <m:nor/>
          </m:rPr>
          <m:t> attempts</m:t>
        </m:r>
      </m:oMath>
    </w:p>
    <w:p>
      <w:pPr>
        <w:pStyle w:val="ListBullet"/>
        <w:spacing w:after="40" w:line="276" w:lineRule="auto"/>
      </w:pPr>
      <w:r>
        <w:rPr>
          <w:b/>
        </w:rPr>
        <w:t>Historical Pilot Calibration and Pre-Execution Projections:</w:t>
      </w:r>
    </w:p>
    <w:p>
      <w:r>
        <w:t>In preliminary calibration on 2026-10-01 (</w:t>
      </w:r>
      <w:r>
        <w:rPr>
          <w:rFonts w:ascii="Consolas" w:hAnsi="Consolas"/>
          <w:color w:val="8A1F11"/>
          <w:sz w:val="19"/>
        </w:rPr>
        <w:t>reports/dev_cost_pilot_20261001.md</w:t>
      </w:r>
      <w:r>
        <w:t xml:space="preserve">), a real-provider pilot across 20 exploratory DEV requests observed a mean output consumption of 656.95 tokens/request and mean latency of 8.13s (total pilot cost: USD 0.0242). Pre-execution offline tokenization of all 6,400 planned TEST prompts via </w:t>
      </w:r>
      <w:r>
        <w:rPr>
          <w:rFonts w:ascii="Consolas" w:hAnsi="Consolas"/>
          <w:color w:val="8A1F11"/>
          <w:sz w:val="19"/>
        </w:rPr>
        <w:t>o200k_base</w:t>
      </w:r>
      <w:r>
        <w:t xml:space="preserve"> projected 15,766,654 input tokens, generating a historical planning forecast of approximately USD 8.20 (or USD 8.99 under conservative modeling). In actual canonical execution, the entire 6,400-request campaign settled at USD 6.57575890 (USD 6.62839900 total committed spend including the USD 0.05264010 pilot hold), successfully completing well within the USD 19.99 hard ceiling and leaving USD 13.36160100 in uncommitted budget.</w:t>
      </w:r>
    </w:p>
    <w:p>
      <w:pPr>
        <w:spacing w:before="120" w:after="120"/>
        <w:pBdr>
          <w:bottom w:val="single" w:sz="6" w:space="1" w:color="D0D7DE"/>
        </w:pBdr>
      </w:pPr>
    </w:p>
    <w:p>
      <w:pPr>
        <w:pStyle w:val="Heading1"/>
        <w:keepNext/>
        <w:spacing w:before="280" w:after="120"/>
      </w:pPr>
      <w:r>
        <w:rPr>
          <w:rFonts w:ascii="Georgia" w:hAnsi="Georgia"/>
          <w:b/>
          <w:color w:val="0A2540"/>
          <w:sz w:val="28"/>
        </w:rPr>
        <w:t>5. Evaluation Framework and Metrics</w:t>
      </w:r>
    </w:p>
    <w:p>
      <w:pPr>
        <w:pStyle w:val="Heading2"/>
        <w:keepNext/>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w:t>
      </w:r>
      <m:oMath>
        <m:r>
          <m:t>i</m:t>
        </m:r>
      </m:oMath>
      <w:r>
        <w:t xml:space="preserve"> with endpoint telemetry </w:t>
      </w:r>
      <m:oMath>
        <m:sSub>
          <m:e>
            <m:r>
              <m:t>x</m:t>
            </m:r>
          </m:e>
          <m:sub>
            <m:r>
              <m:t>i</m:t>
            </m:r>
          </m:sub>
        </m:sSub>
      </m:oMath>
      <w:r>
        <w:t xml:space="preserve"> has ground-truth annotation </w:t>
      </w:r>
      <m:oMath>
        <m:sSub>
          <m:e>
            <m:r>
              <m:t>Y</m:t>
            </m:r>
          </m:e>
          <m:sub>
            <m:r>
              <m:t>i</m:t>
            </m:r>
          </m:sub>
        </m:sSub>
        <m:r>
          <m:t>⊆</m:t>
        </m:r>
        <m:r>
          <m:t>𝓒</m:t>
        </m:r>
      </m:oMath>
      <w:r>
        <w:t xml:space="preserve">, where </w:t>
      </w:r>
      <m:oMath>
        <m:r>
          <m:t>𝓒</m:t>
        </m:r>
      </m:oMath>
      <w:r>
        <w:t xml:space="preserve"> is the 474-technique universe. Given model prediction </w:t>
      </w:r>
      <m:oMath>
        <m:sSub>
          <m:e>
            <m:acc>
              <m:accPr>
                <m:chr m:val="̂"/>
              </m:accPr>
              <m:e>
                <m:r>
                  <m:t>y</m:t>
                </m:r>
              </m:e>
            </m:acc>
          </m:e>
          <m:sub>
            <m:r>
              <m:t>i</m:t>
            </m:r>
          </m:sub>
        </m:sSub>
        <m:r>
          <m:t>∈</m:t>
        </m:r>
        <m:r>
          <m:t>𝓒</m:t>
        </m:r>
      </m:oMath>
      <w:r>
        <w:t>, the indicator function of correctness is:</w:t>
      </w:r>
    </w:p>
    <w:p>
      <w:pPr>
        <w:keepLines/>
        <w:spacing w:before="120" w:after="120" w:line="276" w:lineRule="auto"/>
        <w:ind w:left="576" w:right="576"/>
        <w:shd w:fill="F8FAFC"/>
        <w:pBdr>
          <w:left w:val="single" w:sz="18" w:space="8" w:color="0969DA"/>
        </w:pBdr>
      </w:pPr>
      <m:oMath>
        <m:sSub>
          <m:e>
            <m:r>
              <w:rPr>
                <w:color w:val="0A2540"/>
                <w:sz w:val="21"/>
              </w:rPr>
              <m:t>I</m:t>
            </m:r>
          </m:e>
          <m:sub>
            <m:r>
              <w:rPr>
                <w:color w:val="0A2540"/>
                <w:sz w:val="21"/>
              </w:rPr>
              <m:rPr>
                <m:nor/>
              </m:rPr>
              <m:t>correct</m:t>
            </m:r>
          </m:sub>
        </m:sSub>
        <m:r>
          <w:rPr>
            <w:color w:val="0A2540"/>
            <w:sz w:val="21"/>
          </w:rPr>
          <m:t>(</m:t>
        </m:r>
        <m:r>
          <w:rPr>
            <w:color w:val="0A2540"/>
            <w:sz w:val="21"/>
          </w:rPr>
          <m:t>i</m:t>
        </m:r>
        <m:r>
          <w:rPr>
            <w:color w:val="0A2540"/>
            <w:sz w:val="21"/>
          </w:rPr>
          <m:t>)</m:t>
        </m:r>
        <m:r>
          <w:rPr>
            <w:color w:val="0A2540"/>
            <w:sz w:val="21"/>
          </w:rPr>
          <m:t>=</m:t>
        </m:r>
        <m:r>
          <w:rPr>
            <w:color w:val="0A2540"/>
            <w:sz w:val="21"/>
          </w:rPr>
          <m:t>1</m:t>
        </m:r>
        <m:r>
          <w:rPr>
            <w:color w:val="0A2540"/>
            <w:sz w:val="21"/>
          </w:rPr>
          <m:t>  </m:t>
        </m:r>
        <m:r>
          <w:rPr>
            <w:color w:val="0A2540"/>
            <w:sz w:val="21"/>
          </w:rPr>
          <m:rPr>
            <m:nor/>
          </m:rPr>
          <m:t>if </m:t>
        </m:r>
        <m:sSub>
          <m:e>
            <m:acc>
              <m:accPr>
                <m:chr m:val="̂"/>
              </m:accPr>
              <m:e>
                <m:r>
                  <w:rPr>
                    <w:color w:val="0A2540"/>
                    <w:sz w:val="21"/>
                  </w:rPr>
                  <m:t>y</m:t>
                </m:r>
              </m:e>
            </m:acc>
          </m:e>
          <m:sub>
            <m:r>
              <w:rPr>
                <w:color w:val="0A2540"/>
                <w:sz w:val="21"/>
              </w:rPr>
              <m:t>i</m:t>
            </m:r>
          </m:sub>
        </m:sSub>
        <m:r>
          <w:rPr>
            <w:color w:val="0A2540"/>
            <w:sz w:val="21"/>
          </w:rPr>
          <m:t>∈</m:t>
        </m:r>
        <m:sSub>
          <m:e>
            <m:r>
              <w:rPr>
                <w:color w:val="0A2540"/>
                <w:sz w:val="21"/>
              </w:rPr>
              <m:t>Y</m:t>
            </m:r>
          </m:e>
          <m:sub>
            <m:r>
              <w:rPr>
                <w:color w:val="0A2540"/>
                <w:sz w:val="21"/>
              </w:rPr>
              <m:t>i</m:t>
            </m:r>
          </m:sub>
        </m:sSub>
        <m:r>
          <w:rPr>
            <w:color w:val="0A2540"/>
            <w:sz w:val="21"/>
          </w:rPr>
          <m:t>,</m:t>
        </m:r>
        <m:r>
          <w:rPr>
            <w:color w:val="0A2540"/>
            <w:sz w:val="21"/>
          </w:rPr>
          <m:t>  </m:t>
        </m:r>
        <m:r>
          <w:rPr>
            <w:color w:val="0A2540"/>
            <w:sz w:val="21"/>
          </w:rPr>
          <m:t>0</m:t>
        </m:r>
        <m:r>
          <w:rPr>
            <w:color w:val="0A2540"/>
            <w:sz w:val="21"/>
          </w:rPr>
          <m:t>  </m:t>
        </m:r>
        <m:r>
          <w:rPr>
            <w:color w:val="0A2540"/>
            <w:sz w:val="21"/>
          </w:rPr>
          <m:rPr>
            <m:nor/>
          </m:rPr>
          <m:t>otherwise</m:t>
        </m:r>
      </m:oMath>
    </w:p>
    <w:p>
      <w:pPr>
        <w:pStyle w:val="Heading2"/>
        <w:keepNext/>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w:t>
      </w:r>
      <m:oMath>
        <m:sSub>
          <m:e>
            <m:r>
              <w:rPr>
                <w:b/>
              </w:rPr>
              <m:rPr>
                <m:nor/>
              </m:rPr>
              <m:t>Acc</m:t>
            </m:r>
          </m:e>
          <m:sub>
            <m:r>
              <w:rPr>
                <w:b/>
              </w:rPr>
              <m:rPr>
                <m:nor/>
              </m:rPr>
              <m:t>e2e</m:t>
            </m:r>
          </m:sub>
        </m:sSub>
      </m:oMath>
      <w:r>
        <w:rPr>
          <w:b/>
        </w:rPr>
        <w:t>):</w:t>
      </w:r>
      <w:r>
        <w:t xml:space="preserve"> Computed over all scorable samples (</w:t>
      </w:r>
      <m:oMath>
        <m:sSub>
          <m:e>
            <m:r>
              <m:t>N</m:t>
            </m:r>
          </m:e>
          <m:sub>
            <m:r>
              <m:rPr>
                <m:nor/>
              </m:rPr>
              <m:t>scorable</m:t>
            </m:r>
          </m:sub>
        </m:sSub>
        <m:r>
          <m:t>=</m:t>
        </m:r>
        <m:r>
          <m:t>718</m:t>
        </m:r>
      </m:oMath>
      <w:r>
        <w:t xml:space="preserve"> in TEST), treating provider failures (timeouts, HTTP errors) and schema parse failures as incorrect:</w:t>
      </w:r>
    </w:p>
    <w:p>
      <w:pPr>
        <w:keepLines/>
        <w:spacing w:before="120" w:after="120" w:line="276" w:lineRule="auto"/>
        <w:ind w:left="576" w:right="576"/>
        <w:shd w:fill="F8FAFC"/>
        <w:pBdr>
          <w:left w:val="single" w:sz="18" w:space="8" w:color="0969DA"/>
        </w:pBdr>
      </w:pPr>
      <m:oMath>
        <m:sSub>
          <m:e>
            <m:r>
              <w:rPr>
                <w:color w:val="0A2540"/>
                <w:sz w:val="21"/>
              </w:rPr>
              <m:rPr>
                <m:nor/>
              </m:rPr>
              <m:t>Acc</m:t>
            </m:r>
          </m:e>
          <m:sub>
            <m:r>
              <w:rPr>
                <w:color w:val="0A2540"/>
                <w:sz w:val="21"/>
              </w:rPr>
              <m:rPr>
                <m:nor/>
              </m:rPr>
              <m:t>e2e</m:t>
            </m:r>
          </m:sub>
        </m:sSub>
        <m:r>
          <w:rPr>
            <w:color w:val="0A2540"/>
            <w:sz w:val="21"/>
          </w:rPr>
          <m:t>=</m:t>
        </m:r>
        <m:f>
          <m:num>
            <m:r>
              <w:rPr>
                <w:color w:val="0A2540"/>
                <w:sz w:val="21"/>
              </w:rPr>
              <m:t>1</m:t>
            </m:r>
          </m:num>
          <m:den>
            <m:sSub>
              <m:e>
                <m:r>
                  <w:rPr>
                    <w:color w:val="0A2540"/>
                    <w:sz w:val="21"/>
                  </w:rPr>
                  <m:t>N</m:t>
                </m:r>
              </m:e>
              <m:sub>
                <m:r>
                  <w:rPr>
                    <w:color w:val="0A2540"/>
                    <w:sz w:val="21"/>
                  </w:rPr>
                  <m:rPr>
                    <m:nor/>
                  </m:rPr>
                  <m:t>scorable</m:t>
                </m:r>
              </m:sub>
            </m:sSub>
          </m:den>
        </m:f>
        <m:nary>
          <m:naryPr>
            <m:chr m:val="∑"/>
            <m:limLoc m:val="undOvr"/>
            <m:subHide m:val="0"/>
            <m:supHide m:val="0"/>
          </m:naryPr>
          <m:sub>
            <m:r>
              <w:rPr>
                <w:color w:val="0A2540"/>
                <w:sz w:val="21"/>
              </w:rPr>
              <m:t>i</m:t>
            </m:r>
            <m:r>
              <w:rPr>
                <w:color w:val="0A2540"/>
                <w:sz w:val="21"/>
              </w:rPr>
              <m:t>=</m:t>
            </m:r>
            <m:r>
              <w:rPr>
                <w:color w:val="0A2540"/>
                <w:sz w:val="21"/>
              </w:rPr>
              <m:t>1</m:t>
            </m:r>
          </m:sub>
          <m:sup>
            <m:sSub>
              <m:e>
                <m:r>
                  <w:rPr>
                    <w:color w:val="0A2540"/>
                    <w:sz w:val="21"/>
                  </w:rPr>
                  <m:t>N</m:t>
                </m:r>
              </m:e>
              <m:sub>
                <m:r>
                  <w:rPr>
                    <w:color w:val="0A2540"/>
                    <w:sz w:val="21"/>
                  </w:rPr>
                  <m:rPr>
                    <m:nor/>
                  </m:rPr>
                  <m:t>scorable</m:t>
                </m:r>
              </m:sub>
            </m:sSub>
          </m:sup>
          <m:e/>
        </m:nary>
        <m:sSub>
          <m:e>
            <m:r>
              <w:rPr>
                <w:color w:val="0A2540"/>
                <w:sz w:val="21"/>
              </w:rPr>
              <m:t>I</m:t>
            </m:r>
          </m:e>
          <m:sub>
            <m:r>
              <w:rPr>
                <w:color w:val="0A2540"/>
                <w:sz w:val="21"/>
              </w:rPr>
              <m:rPr>
                <m:nor/>
              </m:rPr>
              <m:t>correct</m:t>
            </m:r>
          </m:sub>
        </m:sSub>
        <m:r>
          <w:rPr>
            <w:color w:val="0A2540"/>
            <w:sz w:val="21"/>
          </w:rPr>
          <m:t>(</m:t>
        </m:r>
        <m:r>
          <w:rPr>
            <w:color w:val="0A2540"/>
            <w:sz w:val="21"/>
          </w:rPr>
          <m:t>i</m:t>
        </m:r>
        <m:r>
          <w:rPr>
            <w:color w:val="0A2540"/>
            <w:sz w:val="21"/>
          </w:rPr>
          <m:t>)</m:t>
        </m:r>
      </m:oMath>
    </w:p>
    <w:p>
      <w:pPr>
        <w:pStyle w:val="ListBullet"/>
        <w:spacing w:after="40" w:line="276" w:lineRule="auto"/>
      </w:pPr>
      <w:r>
        <w:rPr>
          <w:b/>
        </w:rPr>
        <w:t>Valid Output Accuracy (</w:t>
      </w:r>
      <m:oMath>
        <m:sSub>
          <m:e>
            <m:r>
              <w:rPr>
                <w:b/>
              </w:rPr>
              <m:rPr>
                <m:nor/>
              </m:rPr>
              <m:t>Acc</m:t>
            </m:r>
          </m:e>
          <m:sub>
            <m:r>
              <w:rPr>
                <w:b/>
              </w:rPr>
              <m:rPr>
                <m:nor/>
              </m:rPr>
              <m:t>valid</m:t>
            </m:r>
          </m:sub>
        </m:sSub>
      </m:oMath>
      <w:r>
        <w:rPr>
          <w:b/>
        </w:rPr>
        <w:t>):</w:t>
      </w:r>
      <w:r>
        <w:t xml:space="preserve"> Computed conditionally over completed, validly parsed responses (</w:t>
      </w:r>
      <m:oMath>
        <m:sSub>
          <m:e>
            <m:r>
              <m:t>N</m:t>
            </m:r>
          </m:e>
          <m:sub>
            <m:r>
              <m:rPr>
                <m:nor/>
              </m:rPr>
              <m:t>valid</m:t>
            </m:r>
          </m:sub>
        </m:sSub>
      </m:oMath>
      <w:r>
        <w:t>):</w:t>
      </w:r>
    </w:p>
    <w:p>
      <w:pPr>
        <w:keepLines/>
        <w:spacing w:before="120" w:after="120" w:line="276" w:lineRule="auto"/>
        <w:ind w:left="576" w:right="576"/>
        <w:shd w:fill="F8FAFC"/>
        <w:pBdr>
          <w:left w:val="single" w:sz="18" w:space="8" w:color="0969DA"/>
        </w:pBdr>
      </w:pPr>
      <m:oMath>
        <m:sSub>
          <m:e>
            <m:r>
              <w:rPr>
                <w:color w:val="0A2540"/>
                <w:sz w:val="21"/>
              </w:rPr>
              <m:rPr>
                <m:nor/>
              </m:rPr>
              <m:t>Acc</m:t>
            </m:r>
          </m:e>
          <m:sub>
            <m:r>
              <w:rPr>
                <w:color w:val="0A2540"/>
                <w:sz w:val="21"/>
              </w:rPr>
              <m:rPr>
                <m:nor/>
              </m:rPr>
              <m:t>valid</m:t>
            </m:r>
          </m:sub>
        </m:sSub>
        <m:r>
          <w:rPr>
            <w:color w:val="0A2540"/>
            <w:sz w:val="21"/>
          </w:rPr>
          <m:t>=</m:t>
        </m:r>
        <m:f>
          <m:num>
            <m:r>
              <w:rPr>
                <w:color w:val="0A2540"/>
                <w:sz w:val="21"/>
              </w:rPr>
              <m:t>1</m:t>
            </m:r>
          </m:num>
          <m:den>
            <m:sSub>
              <m:e>
                <m:r>
                  <w:rPr>
                    <w:color w:val="0A2540"/>
                    <w:sz w:val="21"/>
                  </w:rPr>
                  <m:t>N</m:t>
                </m:r>
              </m:e>
              <m:sub>
                <m:r>
                  <w:rPr>
                    <w:color w:val="0A2540"/>
                    <w:sz w:val="21"/>
                  </w:rPr>
                  <m:rPr>
                    <m:nor/>
                  </m:rPr>
                  <m:t>valid</m:t>
                </m:r>
              </m:sub>
            </m:sSub>
          </m:den>
        </m:f>
        <m:nary>
          <m:naryPr>
            <m:chr m:val="∑"/>
            <m:limLoc m:val="undOvr"/>
            <m:subHide m:val="0"/>
            <m:supHide m:val="1"/>
          </m:naryPr>
          <m:sub>
            <m:r>
              <w:rPr>
                <w:color w:val="0A2540"/>
                <w:sz w:val="21"/>
              </w:rPr>
              <m:t>i</m:t>
            </m:r>
            <m:r>
              <w:rPr>
                <w:color w:val="0A2540"/>
                <w:sz w:val="21"/>
              </w:rPr>
              <m:t>∈</m:t>
            </m:r>
            <m:r>
              <w:rPr>
                <w:color w:val="0A2540"/>
                <w:sz w:val="21"/>
              </w:rPr>
              <m:rPr>
                <m:nor/>
              </m:rPr>
              <m:t>Valid</m:t>
            </m:r>
          </m:sub>
          <m:sup/>
          <m:e/>
        </m:nary>
        <m:sSub>
          <m:e>
            <m:r>
              <w:rPr>
                <w:color w:val="0A2540"/>
                <w:sz w:val="21"/>
              </w:rPr>
              <m:t>I</m:t>
            </m:r>
          </m:e>
          <m:sub>
            <m:r>
              <w:rPr>
                <w:color w:val="0A2540"/>
                <w:sz w:val="21"/>
              </w:rPr>
              <m:rPr>
                <m:nor/>
              </m:rPr>
              <m:t>correct</m:t>
            </m:r>
          </m:sub>
        </m:sSub>
        <m:r>
          <w:rPr>
            <w:color w:val="0A2540"/>
            <w:sz w:val="21"/>
          </w:rPr>
          <m:t>(</m:t>
        </m:r>
        <m:r>
          <w:rPr>
            <w:color w:val="0A2540"/>
            <w:sz w:val="21"/>
          </w:rPr>
          <m:t>i</m:t>
        </m:r>
        <m:r>
          <w:rPr>
            <w:color w:val="0A2540"/>
            <w:sz w:val="21"/>
          </w:rPr>
          <m:t>)</m:t>
        </m:r>
      </m:oMath>
    </w:p>
    <w:p>
      <w:pPr>
        <w:pStyle w:val="Heading2"/>
        <w:keepNext/>
        <w:spacing w:before="200" w:after="80"/>
      </w:pPr>
      <w:r>
        <w:rPr>
          <w:rFonts w:ascii="Calibri" w:hAnsi="Calibri"/>
          <w:b/>
          <w:color w:val="1F2328"/>
          <w:sz w:val="24"/>
        </w:rPr>
        <w:t>5.3 Macro-Averaged F1 Across the 474-Class Universe</w:t>
      </w:r>
    </w:p>
    <w:p>
      <w:r>
        <w:t xml:space="preserve">Per Protocol Decisions D2d and D2j, the macro-averaged F1 metric is evaluated over the fixed 474-technique benchmark universe </w:t>
      </w:r>
      <m:oMath>
        <m:r>
          <m:t>𝓒</m:t>
        </m:r>
      </m:oMath>
      <w:r>
        <w:t xml:space="preserve"> (</w:t>
      </w:r>
      <m:oMath>
        <m:r>
          <m:t>|</m:t>
        </m:r>
        <m:r>
          <m:t>𝓒</m:t>
        </m:r>
        <m:r>
          <m:t>|</m:t>
        </m:r>
        <m:r>
          <m:t>=</m:t>
        </m:r>
        <m:r>
          <m:t>474</m:t>
        </m:r>
      </m:oMath>
      <w:r>
        <w:t>). Crucially, the denominator of the macro average remains strictly frozen at 474 across all conditions, regardless of the number of techniques observed in any individual test partition.</w:t>
      </w:r>
    </w:p>
    <w:p>
      <w:r>
        <w:t xml:space="preserve">The evaluation architecture distinguishes between </w:t>
      </w:r>
      <w:r>
        <w:rPr>
          <w:b/>
        </w:rPr>
        <w:t>per-technique diagnostic exports</w:t>
      </w:r>
      <w:r>
        <w:t xml:space="preserve"> (</w:t>
      </w:r>
      <w:r>
        <w:rPr>
          <w:rFonts w:ascii="Consolas" w:hAnsi="Consolas"/>
          <w:color w:val="8A1F11"/>
          <w:sz w:val="19"/>
        </w:rPr>
        <w:t>compute_technique_metrics</w:t>
      </w:r>
      <w:r>
        <w:t xml:space="preserve">) and </w:t>
      </w:r>
      <w:r>
        <w:rPr>
          <w:b/>
        </w:rPr>
        <w:t>condition-level scalar aggregation</w:t>
      </w:r>
      <w:r>
        <w:t xml:space="preserve"> (</w:t>
      </w:r>
      <w:r>
        <w:rPr>
          <w:rFonts w:ascii="Consolas" w:hAnsi="Consolas"/>
          <w:color w:val="8A1F11"/>
          <w:sz w:val="19"/>
        </w:rPr>
        <w:t>compute_condition_metrics</w:t>
      </w:r>
      <w:r>
        <w:t>):</w:t>
      </w:r>
    </w:p>
    <w:p>
      <w:pPr>
        <w:pStyle w:val="Heading3"/>
        <w:keepNext/>
        <w:spacing w:before="160" w:after="40"/>
      </w:pPr>
      <w:r>
        <w:rPr>
          <w:rFonts w:ascii="Calibri" w:hAnsi="Calibri"/>
          <w:b/>
          <w:i/>
          <w:color w:val="333344"/>
          <w:sz w:val="22"/>
        </w:rPr>
        <w:t>1. Per-Class Confusion Components and Evaluator Accounting</w:t>
      </w:r>
    </w:p>
    <w:p>
      <w:r>
        <w:t xml:space="preserve">For each technique </w:t>
      </w:r>
      <m:oMath>
        <m:r>
          <m:t>c</m:t>
        </m:r>
        <m:r>
          <m:t>∈</m:t>
        </m:r>
        <m:r>
          <m:t>𝓒</m:t>
        </m:r>
      </m:oMath>
      <w:r>
        <w:t>, the evaluator tracks:</w:t>
      </w:r>
    </w:p>
    <w:p>
      <w:pPr>
        <w:pStyle w:val="ListBullet"/>
        <w:spacing w:after="40" w:line="276" w:lineRule="auto"/>
      </w:pPr>
      <w:r>
        <w:t>True Positives (</w:t>
      </w:r>
      <m:oMath>
        <m:sSub>
          <m:e>
            <m:r>
              <m:t>TP</m:t>
            </m:r>
          </m:e>
          <m:sub>
            <m:r>
              <m:t>c</m:t>
            </m:r>
          </m:sub>
        </m:sSub>
      </m:oMath>
      <w:r>
        <w:t xml:space="preserve">): Model predicted class </w:t>
      </w:r>
      <m:oMath>
        <m:r>
          <m:t>c</m:t>
        </m:r>
      </m:oMath>
      <w:r>
        <w:t xml:space="preserve"> and </w:t>
      </w:r>
      <m:oMath>
        <m:r>
          <m:t>c</m:t>
        </m:r>
        <m:r>
          <m:t>∈</m:t>
        </m:r>
        <m:sSub>
          <m:e>
            <m:r>
              <m:t>Y</m:t>
            </m:r>
          </m:e>
          <m:sub>
            <m:r>
              <m:t>i</m:t>
            </m:r>
          </m:sub>
        </m:sSub>
      </m:oMath>
      <w:r>
        <w:t>.</w:t>
      </w:r>
    </w:p>
    <w:p>
      <w:pPr>
        <w:pStyle w:val="ListBullet"/>
        <w:spacing w:after="40" w:line="276" w:lineRule="auto"/>
      </w:pPr>
      <w:r>
        <w:t>False Positives (</w:t>
      </w:r>
      <m:oMath>
        <m:sSub>
          <m:e>
            <m:r>
              <m:t>FP</m:t>
            </m:r>
          </m:e>
          <m:sub>
            <m:r>
              <m:t>c</m:t>
            </m:r>
          </m:sub>
        </m:sSub>
      </m:oMath>
      <w:r>
        <w:t xml:space="preserve">): Model predicted class </w:t>
      </w:r>
      <m:oMath>
        <m:r>
          <m:t>c</m:t>
        </m:r>
      </m:oMath>
      <w:r>
        <w:t xml:space="preserve"> but </w:t>
      </w:r>
      <m:oMath>
        <m:r>
          <m:t>c</m:t>
        </m:r>
        <m:r>
          <m:t>∉</m:t>
        </m:r>
        <m:sSub>
          <m:e>
            <m:r>
              <m:t>Y</m:t>
            </m:r>
          </m:e>
          <m:sub>
            <m:r>
              <m:t>i</m:t>
            </m:r>
          </m:sub>
        </m:sSub>
      </m:oMath>
      <w:r>
        <w:t>.</w:t>
      </w:r>
    </w:p>
    <w:p>
      <w:pPr>
        <w:pStyle w:val="ListBullet"/>
        <w:spacing w:after="40" w:line="276" w:lineRule="auto"/>
      </w:pPr>
      <w:r>
        <w:t>False Negatives (</w:t>
      </w:r>
      <m:oMath>
        <m:sSub>
          <m:e>
            <m:r>
              <m:t>FN</m:t>
            </m:r>
          </m:e>
          <m:sub>
            <m:r>
              <m:t>c</m:t>
            </m:r>
          </m:sub>
        </m:sSub>
      </m:oMath>
      <w:r>
        <w:t xml:space="preserve">): Model predicted a class other than </w:t>
      </w:r>
      <m:oMath>
        <m:r>
          <m:t>c</m:t>
        </m:r>
      </m:oMath>
      <w:r>
        <w:t xml:space="preserve">, but </w:t>
      </w:r>
      <m:oMath>
        <m:r>
          <m:t>c</m:t>
        </m:r>
        <m:r>
          <m:t>∈</m:t>
        </m:r>
        <m:sSub>
          <m:e>
            <m:r>
              <m:t>Y</m:t>
            </m:r>
          </m:e>
          <m:sub>
            <m:r>
              <m:t>i</m:t>
            </m:r>
          </m:sub>
        </m:sSub>
      </m:oMath>
      <w:r>
        <w:t>.</w:t>
      </w:r>
    </w:p>
    <w:p>
      <w:pPr>
        <w:pStyle w:val="ListBullet"/>
        <w:spacing w:after="40" w:line="276" w:lineRule="auto"/>
      </w:pPr>
      <w:r>
        <w:t xml:space="preserve">Ground-truth support: </w:t>
      </w:r>
      <m:oMath>
        <m:sSub>
          <m:e>
            <m:r>
              <m:rPr>
                <m:nor/>
              </m:rPr>
              <m:t>support</m:t>
            </m:r>
          </m:e>
          <m:sub>
            <m:r>
              <m:t>c</m:t>
            </m:r>
          </m:sub>
        </m:sSub>
        <m:r>
          <m:t>=</m:t>
        </m:r>
        <m:sSub>
          <m:e>
            <m:r>
              <m:t>TP</m:t>
            </m:r>
          </m:e>
          <m:sub>
            <m:r>
              <m:t>c</m:t>
            </m:r>
          </m:sub>
        </m:sSub>
        <m:r>
          <m:t>+</m:t>
        </m:r>
        <m:sSub>
          <m:e>
            <m:r>
              <m:t>FN</m:t>
            </m:r>
          </m:e>
          <m:sub>
            <m:r>
              <m:t>c</m:t>
            </m:r>
          </m:sub>
        </m:sSub>
      </m:oMath>
      <w:r>
        <w:t>.</w:t>
      </w:r>
    </w:p>
    <w:p>
      <w:pPr>
        <w:pStyle w:val="ListBullet"/>
        <w:spacing w:after="40" w:line="276" w:lineRule="auto"/>
      </w:pPr>
      <w:r>
        <w:t xml:space="preserve">Emitted predictions: </w:t>
      </w:r>
      <m:oMath>
        <m:sSub>
          <m:e>
            <m:r>
              <m:rPr>
                <m:nor/>
              </m:rPr>
              <m:t>pred</m:t>
            </m:r>
          </m:e>
          <m:sub>
            <m:r>
              <m:t>c</m:t>
            </m:r>
          </m:sub>
        </m:sSub>
        <m:r>
          <m:t>=</m:t>
        </m:r>
        <m:sSub>
          <m:e>
            <m:r>
              <m:t>TP</m:t>
            </m:r>
          </m:e>
          <m:sub>
            <m:r>
              <m:t>c</m:t>
            </m:r>
          </m:sub>
        </m:sSub>
        <m:r>
          <m:t>+</m:t>
        </m:r>
        <m:sSub>
          <m:e>
            <m:r>
              <m:t>FP</m:t>
            </m:r>
          </m:e>
          <m:sub>
            <m:r>
              <m:t>c</m:t>
            </m:r>
          </m:sub>
        </m:sSub>
      </m:oMath>
      <w:r>
        <w:t>.</w:t>
      </w:r>
    </w:p>
    <w:p>
      <w:pPr>
        <w:pStyle w:val="Heading3"/>
        <w:keepNext/>
        <w:spacing w:before="160" w:after="40"/>
      </w:pPr>
      <w:r>
        <w:rPr>
          <w:rFonts w:ascii="Calibri" w:hAnsi="Calibri"/>
          <w:b/>
          <w:i/>
          <w:color w:val="333344"/>
          <w:sz w:val="22"/>
        </w:rPr>
        <w:t>2. Per-Technique Metric Export and D2j NULL Convention (compute_technique_metrics)</w:t>
      </w:r>
    </w:p>
    <w:p>
      <w:r>
        <w:t>In the exported per-technique diagnostic artifact (</w:t>
      </w:r>
      <w:r>
        <w:rPr>
          <w:rFonts w:ascii="Consolas" w:hAnsi="Consolas"/>
          <w:color w:val="8A1F11"/>
          <w:sz w:val="19"/>
        </w:rPr>
        <w:t>by_condition[condition][tid]</w:t>
      </w:r>
      <w:r>
        <w:t xml:space="preserve">), every technique in the universe reports </w:t>
      </w:r>
      <w:r>
        <w:rPr>
          <w:rFonts w:ascii="Consolas" w:hAnsi="Consolas"/>
          <w:color w:val="8A1F11"/>
          <w:sz w:val="19"/>
        </w:rPr>
        <w:t>tp</w:t>
      </w:r>
      <w:r>
        <w:t xml:space="preserve">, </w:t>
      </w:r>
      <w:r>
        <w:rPr>
          <w:rFonts w:ascii="Consolas" w:hAnsi="Consolas"/>
          <w:color w:val="8A1F11"/>
          <w:sz w:val="19"/>
        </w:rPr>
        <w:t>fp</w:t>
      </w:r>
      <w:r>
        <w:t xml:space="preserve">, </w:t>
      </w:r>
      <w:r>
        <w:rPr>
          <w:rFonts w:ascii="Consolas" w:hAnsi="Consolas"/>
          <w:color w:val="8A1F11"/>
          <w:sz w:val="19"/>
        </w:rPr>
        <w:t>fn</w:t>
      </w:r>
      <w:r>
        <w:t xml:space="preserve">, </w:t>
      </w:r>
      <w:r>
        <w:rPr>
          <w:rFonts w:ascii="Consolas" w:hAnsi="Consolas"/>
          <w:color w:val="8A1F11"/>
          <w:sz w:val="19"/>
        </w:rPr>
        <w:t>support</w:t>
      </w:r>
      <w:r>
        <w:t xml:space="preserve">, </w:t>
      </w:r>
      <w:r>
        <w:rPr>
          <w:rFonts w:ascii="Consolas" w:hAnsi="Consolas"/>
          <w:color w:val="8A1F11"/>
          <w:sz w:val="19"/>
        </w:rPr>
        <w:t>precision</w:t>
      </w:r>
      <w:r>
        <w:t xml:space="preserve">, </w:t>
      </w:r>
      <w:r>
        <w:rPr>
          <w:rFonts w:ascii="Consolas" w:hAnsi="Consolas"/>
          <w:color w:val="8A1F11"/>
          <w:sz w:val="19"/>
        </w:rPr>
        <w:t>recall</w:t>
      </w:r>
      <w:r>
        <w:t xml:space="preserve">, and </w:t>
      </w:r>
      <w:r>
        <w:rPr>
          <w:rFonts w:ascii="Consolas" w:hAnsi="Consolas"/>
          <w:color w:val="8A1F11"/>
          <w:sz w:val="19"/>
        </w:rPr>
        <w:t>f1</w:t>
      </w:r>
      <w:r>
        <w:t>. In strict compliance with Protocol Decision D2j (</w:t>
      </w:r>
      <w:r>
        <w:rPr>
          <w:rFonts w:ascii="Consolas" w:hAnsi="Consolas"/>
          <w:color w:val="8A1F11"/>
          <w:sz w:val="19"/>
        </w:rPr>
        <w:t>d2j_zero_denominator == "NULL"</w:t>
      </w:r>
      <w:r>
        <w:t xml:space="preserve">), zero-denominator fractions evaluate strictly to </w:t>
      </w:r>
      <w:r>
        <w:rPr>
          <w:rFonts w:ascii="Consolas" w:hAnsi="Consolas"/>
          <w:color w:val="8A1F11"/>
          <w:sz w:val="19"/>
        </w:rPr>
        <w:t>None</w:t>
      </w:r>
      <w:r>
        <w:t xml:space="preserve"> (serialized as JSON </w:t>
      </w:r>
      <w:r>
        <w:rPr>
          <w:rFonts w:ascii="Consolas" w:hAnsi="Consolas"/>
          <w:color w:val="8A1F11"/>
          <w:sz w:val="19"/>
        </w:rPr>
        <w:t>null</w:t>
      </w:r>
      <w:r>
        <w:t>), preserving topological distinction across three critical boundary cases:</w:t>
      </w:r>
    </w:p>
    <w:p>
      <w:pPr>
        <w:pStyle w:val="ListBullet"/>
        <w:spacing w:after="40" w:line="276" w:lineRule="auto"/>
      </w:pPr>
      <w:r>
        <w:rPr>
          <w:b/>
        </w:rPr>
        <w:t xml:space="preserve">Case A (Unobserved Class: </w:t>
      </w:r>
      <m:oMath>
        <m:sSub>
          <m:e>
            <m:r>
              <w:rPr>
                <w:b/>
              </w:rPr>
              <m:rPr>
                <m:nor/>
              </m:rPr>
              <m:t>support</m:t>
            </m:r>
          </m:e>
          <m:sub>
            <m:r>
              <w:rPr>
                <w:b/>
              </w:rPr>
              <m:t>c</m:t>
            </m:r>
          </m:sub>
        </m:sSub>
        <m:r>
          <w:rPr>
            <w:b/>
          </w:rPr>
          <m:t>=</m:t>
        </m:r>
        <m:r>
          <w:rPr>
            <w:b/>
          </w:rPr>
          <m:t>0</m:t>
        </m:r>
        <m:r>
          <w:rPr>
            <w:b/>
          </w:rPr>
          <m:t>∧</m:t>
        </m:r>
        <m:sSub>
          <m:e>
            <m:r>
              <w:rPr>
                <w:b/>
              </w:rPr>
              <m:rPr>
                <m:nor/>
              </m:rPr>
              <m:t>pred</m:t>
            </m:r>
          </m:e>
          <m:sub>
            <m:r>
              <w:rPr>
                <w:b/>
              </w:rPr>
              <m:t>c</m:t>
            </m:r>
          </m:sub>
        </m:sSub>
        <m:r>
          <w:rPr>
            <w:b/>
          </w:rPr>
          <m:t>=</m:t>
        </m:r>
        <m:r>
          <w:rPr>
            <w:b/>
          </w:rPr>
          <m:t>0</m:t>
        </m:r>
      </m:oMath>
      <w:r>
        <w:rPr>
          <w:b/>
        </w:rPr>
        <w:t>):</w:t>
      </w:r>
    </w:p>
    <w:p>
      <m:oMath>
        <m:sSub>
          <m:e>
            <m:r>
              <m:t>TP</m:t>
            </m:r>
          </m:e>
          <m:sub>
            <m:r>
              <m:t>c</m:t>
            </m:r>
          </m:sub>
        </m:sSub>
        <m:r>
          <m:t>=</m:t>
        </m:r>
        <m:r>
          <m:t>0</m:t>
        </m:r>
        <m:r>
          <m:t>,</m:t>
        </m:r>
        <m:sSub>
          <m:e>
            <m:r>
              <m:t>FP</m:t>
            </m:r>
          </m:e>
          <m:sub>
            <m:r>
              <m:t>c</m:t>
            </m:r>
          </m:sub>
        </m:sSub>
        <m:r>
          <m:t>=</m:t>
        </m:r>
        <m:r>
          <m:t>0</m:t>
        </m:r>
        <m:r>
          <m:t>,</m:t>
        </m:r>
        <m:sSub>
          <m:e>
            <m:r>
              <m:t>FN</m:t>
            </m:r>
          </m:e>
          <m:sub>
            <m:r>
              <m:t>c</m:t>
            </m:r>
          </m:sub>
        </m:sSub>
        <m:r>
          <m:t>=</m:t>
        </m:r>
        <m:r>
          <m:t>0</m:t>
        </m:r>
      </m:oMath>
      <w:r>
        <w:t>. Both precision denominator (</w:t>
      </w:r>
      <m:oMath>
        <m:r>
          <m:t>TP</m:t>
        </m:r>
        <m:r>
          <m:t>+</m:t>
        </m:r>
        <m:r>
          <m:t>FP</m:t>
        </m:r>
        <m:r>
          <m:t>=</m:t>
        </m:r>
        <m:r>
          <m:t>0</m:t>
        </m:r>
      </m:oMath>
      <w:r>
        <w:t>) and recall denominator (</w:t>
      </w:r>
      <m:oMath>
        <m:r>
          <m:t>TP</m:t>
        </m:r>
        <m:r>
          <m:t>+</m:t>
        </m:r>
        <m:r>
          <m:t>FN</m:t>
        </m:r>
        <m:r>
          <m:t>=</m:t>
        </m:r>
        <m:r>
          <m:t>0</m:t>
        </m:r>
      </m:oMath>
      <w:r>
        <w:t>) are zero; F1 denominator (</w:t>
      </w:r>
      <m:oMath>
        <m:r>
          <m:t>2TP</m:t>
        </m:r>
        <m:r>
          <m:t>+</m:t>
        </m:r>
        <m:r>
          <m:t>FP</m:t>
        </m:r>
        <m:r>
          <m:t>+</m:t>
        </m:r>
        <m:r>
          <m:t>FN</m:t>
        </m:r>
        <m:r>
          <m:t>=</m:t>
        </m:r>
        <m:r>
          <m:t>0</m:t>
        </m:r>
      </m:oMath>
      <w:r>
        <w:t>) is zero.</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recall = None</w:t>
      </w:r>
      <w:r>
        <w:t xml:space="preserve">, </w:t>
      </w:r>
      <w:r>
        <w:rPr>
          <w:rFonts w:ascii="Consolas" w:hAnsi="Consolas"/>
          <w:color w:val="8A1F11"/>
          <w:sz w:val="19"/>
        </w:rPr>
        <w:t>f1 = None</w:t>
      </w:r>
      <w:r>
        <w:t xml:space="preserve"> (serialized as </w:t>
      </w:r>
      <w:r>
        <w:rPr>
          <w:rFonts w:ascii="Consolas" w:hAnsi="Consolas"/>
          <w:color w:val="8A1F11"/>
          <w:sz w:val="19"/>
        </w:rPr>
        <w:t>null</w:t>
      </w:r>
      <w:r>
        <w:t>).</w:t>
      </w:r>
    </w:p>
    <w:p>
      <w:pPr>
        <w:pStyle w:val="ListBullet"/>
        <w:spacing w:after="40" w:line="276" w:lineRule="auto"/>
      </w:pPr>
      <w:r>
        <w:rPr>
          <w:i/>
        </w:rPr>
        <w:t xml:space="preserve">Mathematical Unit-Test Example (Generic Class </w:t>
      </w:r>
      <m:oMath>
        <m:sSub>
          <m:e>
            <m:r>
              <m:t>c</m:t>
            </m:r>
          </m:e>
          <m:sub>
            <m:r>
              <m:rPr>
                <m:nor/>
              </m:rPr>
              <m:t>test</m:t>
            </m:r>
          </m:sub>
        </m:sSub>
        <m:r>
          <m:t>∈</m:t>
        </m:r>
        <m:r>
          <m:t>𝓒</m:t>
        </m:r>
      </m:oMath>
      <w:r>
        <w:rPr>
          <w:i/>
        </w:rPr>
        <w:t>):</w:t>
      </w:r>
      <w:r>
        <w:t xml:space="preserve"> In mathematical unit-test verification, an unobserved class (synthetically labeled </w:t>
      </w:r>
      <w:r>
        <w:rPr>
          <w:rFonts w:ascii="Consolas" w:hAnsi="Consolas"/>
          <w:color w:val="8A1F11"/>
          <w:sz w:val="19"/>
        </w:rPr>
        <w:t>T1000</w:t>
      </w:r>
      <w:r>
        <w:t>) never appearing in ground truth and never emitted by the model produces:</w:t>
      </w:r>
    </w:p>
    <w:p>
      <w:r>
        <w:rPr>
          <w:rFonts w:ascii="Consolas" w:hAnsi="Consolas"/>
          <w:color w:val="8A1F11"/>
          <w:sz w:val="19"/>
        </w:rPr>
        <w:t>{"tp": 0, "fp": 0, "fn": 0, "support": 0, "precision": null, "recall": null, "f1": null}</w:t>
      </w:r>
      <w:r>
        <w:t>.</w:t>
      </w:r>
    </w:p>
    <w:p>
      <w:pPr>
        <w:pStyle w:val="ListBullet"/>
        <w:spacing w:after="40" w:line="276" w:lineRule="auto"/>
      </w:pPr>
      <w:r>
        <w:rPr>
          <w:b/>
        </w:rPr>
        <w:t xml:space="preserve">Case B (Unpredicted Class: </w:t>
      </w:r>
      <m:oMath>
        <m:sSub>
          <m:e>
            <m:r>
              <w:rPr>
                <w:b/>
              </w:rPr>
              <m:rPr>
                <m:nor/>
              </m:rPr>
              <m:t>support</m:t>
            </m:r>
          </m:e>
          <m:sub>
            <m:r>
              <w:rPr>
                <w:b/>
              </w:rPr>
              <m:t>c</m:t>
            </m:r>
          </m:sub>
        </m:sSub>
        <m:r>
          <w:rPr>
            <w:b/>
          </w:rPr>
          <m:t>&gt;</m:t>
        </m:r>
        <m:r>
          <w:rPr>
            <w:b/>
          </w:rPr>
          <m:t>0</m:t>
        </m:r>
        <m:r>
          <w:rPr>
            <w:b/>
          </w:rPr>
          <m:t>∧</m:t>
        </m:r>
        <m:sSub>
          <m:e>
            <m:r>
              <w:rPr>
                <w:b/>
              </w:rPr>
              <m:rPr>
                <m:nor/>
              </m:rPr>
              <m:t>pred</m:t>
            </m:r>
          </m:e>
          <m:sub>
            <m:r>
              <w:rPr>
                <w:b/>
              </w:rPr>
              <m:t>c</m:t>
            </m:r>
          </m:sub>
        </m:sSub>
        <m:r>
          <w:rPr>
            <w:b/>
          </w:rPr>
          <m:t>=</m:t>
        </m:r>
        <m:r>
          <w:rPr>
            <w:b/>
          </w:rPr>
          <m:t>0</m:t>
        </m:r>
      </m:oMath>
      <w:r>
        <w:rPr>
          <w:b/>
        </w:rPr>
        <w:t>):</w:t>
      </w:r>
    </w:p>
    <w:p>
      <m:oMath>
        <m:sSub>
          <m:e>
            <m:r>
              <m:t>TP</m:t>
            </m:r>
          </m:e>
          <m:sub>
            <m:r>
              <m:t>c</m:t>
            </m:r>
          </m:sub>
        </m:sSub>
        <m:r>
          <m:t>=</m:t>
        </m:r>
        <m:r>
          <m:t>0</m:t>
        </m:r>
        <m:r>
          <m:t>,</m:t>
        </m:r>
        <m:sSub>
          <m:e>
            <m:r>
              <m:t>FP</m:t>
            </m:r>
          </m:e>
          <m:sub>
            <m:r>
              <m:t>c</m:t>
            </m:r>
          </m:sub>
        </m:sSub>
        <m:r>
          <m:t>=</m:t>
        </m:r>
        <m:r>
          <m:t>0</m:t>
        </m:r>
        <m:r>
          <m:t>,</m:t>
        </m:r>
        <m:sSub>
          <m:e>
            <m:r>
              <m:t>FN</m:t>
            </m:r>
          </m:e>
          <m:sub>
            <m:r>
              <m:t>c</m:t>
            </m:r>
          </m:sub>
        </m:sSub>
        <m:r>
          <m:t>=</m:t>
        </m:r>
        <m:sSub>
          <m:e>
            <m:r>
              <m:rPr>
                <m:nor/>
              </m:rPr>
              <m:t>support</m:t>
            </m:r>
          </m:e>
          <m:sub>
            <m:r>
              <m:t>c</m:t>
            </m:r>
          </m:sub>
        </m:sSub>
        <m:r>
          <m:t>&gt;</m:t>
        </m:r>
        <m:r>
          <m:t>0</m:t>
        </m:r>
      </m:oMath>
      <w:r>
        <w:t>. Precision denominator (</w:t>
      </w:r>
      <m:oMath>
        <m:r>
          <m:t>TP</m:t>
        </m:r>
        <m:r>
          <m:t>+</m:t>
        </m:r>
        <m:r>
          <m:t>FP</m:t>
        </m:r>
        <m:r>
          <m:t>=</m:t>
        </m:r>
        <m:r>
          <m:t>0</m:t>
        </m:r>
      </m:oMath>
      <w:r>
        <w:t xml:space="preserve">) is zero; recall denominator is </w:t>
      </w:r>
      <m:oMath>
        <m:sSub>
          <m:e>
            <m:r>
              <m:rPr>
                <m:nor/>
              </m:rPr>
              <m:t>support</m:t>
            </m:r>
          </m:e>
          <m:sub>
            <m:r>
              <m:t>c</m:t>
            </m:r>
          </m:sub>
        </m:sSub>
        <m:r>
          <m:t>&gt;</m:t>
        </m:r>
        <m:r>
          <m:t>0</m:t>
        </m:r>
      </m:oMath>
      <w:r>
        <w:t xml:space="preserve">; F1 denominator is </w:t>
      </w:r>
      <m:oMath>
        <m:sSub>
          <m:e>
            <m:r>
              <m:t>FN</m:t>
            </m:r>
          </m:e>
          <m:sub>
            <m:r>
              <m:t>c</m:t>
            </m:r>
          </m:sub>
        </m:sSub>
        <m:r>
          <m:t>&gt;</m:t>
        </m:r>
        <m:r>
          <m:t>0</m:t>
        </m:r>
      </m:oMath>
      <w:r>
        <w:t>.</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null</w:t>
      </w:r>
      <w:r>
        <w:t xml:space="preserve">), </w:t>
      </w:r>
      <w:r>
        <w:rPr>
          <w:rFonts w:ascii="Consolas" w:hAnsi="Consolas"/>
          <w:color w:val="8A1F11"/>
          <w:sz w:val="19"/>
        </w:rPr>
        <w:t>recall = 0.0</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m:oMath>
        <m:sSub>
          <m:e>
            <m:r>
              <m:t>c</m:t>
            </m:r>
          </m:e>
          <m:sub>
            <m:r>
              <m:rPr>
                <m:nor/>
              </m:rPr>
              <m:t>test</m:t>
            </m:r>
          </m:sub>
        </m:sSub>
        <m:r>
          <m:t>∈</m:t>
        </m:r>
        <m:r>
          <m:t>𝓒</m:t>
        </m:r>
      </m:oMath>
      <w:r>
        <w:rPr>
          <w:i/>
        </w:rPr>
        <w:t>):</w:t>
      </w:r>
      <w:r>
        <w:t xml:space="preserve"> In mathematical unit-test verification, a class present in ground truth (synthetically labeled </w:t>
      </w:r>
      <w:r>
        <w:rPr>
          <w:rFonts w:ascii="Consolas" w:hAnsi="Consolas"/>
          <w:color w:val="8A1F11"/>
          <w:sz w:val="19"/>
        </w:rPr>
        <w:t>T1001</w:t>
      </w:r>
      <w:r>
        <w:t>, support = 1) that the model completely fails to predict produces:</w:t>
      </w:r>
    </w:p>
    <w:p>
      <w:r>
        <w:rPr>
          <w:rFonts w:ascii="Consolas" w:hAnsi="Consolas"/>
          <w:color w:val="8A1F11"/>
          <w:sz w:val="19"/>
        </w:rPr>
        <w:t>{"tp": 0, "fp": 0, "fn": 1, "support": 1, "precision": null, "recall": 0.0, "f1": 0.0}</w:t>
      </w:r>
      <w:r>
        <w:t>.</w:t>
      </w:r>
    </w:p>
    <w:p>
      <w:pPr>
        <w:pStyle w:val="ListBullet"/>
        <w:spacing w:after="40" w:line="276" w:lineRule="auto"/>
      </w:pPr>
      <w:r>
        <w:rPr>
          <w:b/>
        </w:rPr>
        <w:t xml:space="preserve">Case C (Unobserved False Positive / Hallucinated Class: </w:t>
      </w:r>
      <m:oMath>
        <m:sSub>
          <m:e>
            <m:r>
              <w:rPr>
                <w:b/>
              </w:rPr>
              <m:rPr>
                <m:nor/>
              </m:rPr>
              <m:t>support</m:t>
            </m:r>
          </m:e>
          <m:sub>
            <m:r>
              <w:rPr>
                <w:b/>
              </w:rPr>
              <m:t>c</m:t>
            </m:r>
          </m:sub>
        </m:sSub>
        <m:r>
          <w:rPr>
            <w:b/>
          </w:rPr>
          <m:t>=</m:t>
        </m:r>
        <m:r>
          <w:rPr>
            <w:b/>
          </w:rPr>
          <m:t>0</m:t>
        </m:r>
        <m:r>
          <w:rPr>
            <w:b/>
          </w:rPr>
          <m:t>∧</m:t>
        </m:r>
        <m:sSub>
          <m:e>
            <m:r>
              <w:rPr>
                <w:b/>
              </w:rPr>
              <m:rPr>
                <m:nor/>
              </m:rPr>
              <m:t>pred</m:t>
            </m:r>
          </m:e>
          <m:sub>
            <m:r>
              <w:rPr>
                <w:b/>
              </w:rPr>
              <m:t>c</m:t>
            </m:r>
          </m:sub>
        </m:sSub>
        <m:r>
          <w:rPr>
            <w:b/>
          </w:rPr>
          <m:t>&gt;</m:t>
        </m:r>
        <m:r>
          <w:rPr>
            <w:b/>
          </w:rPr>
          <m:t>0</m:t>
        </m:r>
      </m:oMath>
      <w:r>
        <w:rPr>
          <w:b/>
        </w:rPr>
        <w:t>):</w:t>
      </w:r>
    </w:p>
    <w:p>
      <m:oMath>
        <m:sSub>
          <m:e>
            <m:r>
              <m:t>TP</m:t>
            </m:r>
          </m:e>
          <m:sub>
            <m:r>
              <m:t>c</m:t>
            </m:r>
          </m:sub>
        </m:sSub>
        <m:r>
          <m:t>=</m:t>
        </m:r>
        <m:r>
          <m:t>0</m:t>
        </m:r>
        <m:r>
          <m:t>,</m:t>
        </m:r>
        <m:sSub>
          <m:e>
            <m:r>
              <m:t>FP</m:t>
            </m:r>
          </m:e>
          <m:sub>
            <m:r>
              <m:t>c</m:t>
            </m:r>
          </m:sub>
        </m:sSub>
        <m:r>
          <m:t>=</m:t>
        </m:r>
        <m:sSub>
          <m:e>
            <m:r>
              <m:rPr>
                <m:nor/>
              </m:rPr>
              <m:t>pred</m:t>
            </m:r>
          </m:e>
          <m:sub>
            <m:r>
              <m:t>c</m:t>
            </m:r>
          </m:sub>
        </m:sSub>
        <m:r>
          <m:t>&gt;</m:t>
        </m:r>
        <m:r>
          <m:t>0</m:t>
        </m:r>
        <m:r>
          <m:t>,</m:t>
        </m:r>
        <m:sSub>
          <m:e>
            <m:r>
              <m:t>FN</m:t>
            </m:r>
          </m:e>
          <m:sub>
            <m:r>
              <m:t>c</m:t>
            </m:r>
          </m:sub>
        </m:sSub>
        <m:r>
          <m:t>=</m:t>
        </m:r>
        <m:r>
          <m:t>0</m:t>
        </m:r>
      </m:oMath>
      <w:r>
        <w:t xml:space="preserve">. Precision denominator is </w:t>
      </w:r>
      <m:oMath>
        <m:sSub>
          <m:e>
            <m:r>
              <m:t>FP</m:t>
            </m:r>
          </m:e>
          <m:sub>
            <m:r>
              <m:t>c</m:t>
            </m:r>
          </m:sub>
        </m:sSub>
        <m:r>
          <m:t>&gt;</m:t>
        </m:r>
        <m:r>
          <m:t>0</m:t>
        </m:r>
      </m:oMath>
      <w:r>
        <w:t>; recall denominator (</w:t>
      </w:r>
      <m:oMath>
        <m:r>
          <m:t>TP</m:t>
        </m:r>
        <m:r>
          <m:t>+</m:t>
        </m:r>
        <m:r>
          <m:t>FN</m:t>
        </m:r>
        <m:r>
          <m:t>=</m:t>
        </m:r>
        <m:r>
          <m:t>0</m:t>
        </m:r>
      </m:oMath>
      <w:r>
        <w:t xml:space="preserve">) is zero; F1 denominator is </w:t>
      </w:r>
      <m:oMath>
        <m:sSub>
          <m:e>
            <m:r>
              <m:t>FP</m:t>
            </m:r>
          </m:e>
          <m:sub>
            <m:r>
              <m:t>c</m:t>
            </m:r>
          </m:sub>
        </m:sSub>
        <m:r>
          <m:t>&gt;</m:t>
        </m:r>
        <m:r>
          <m:t>0</m:t>
        </m:r>
      </m:oMath>
      <w:r>
        <w:t>.</w:t>
      </w:r>
    </w:p>
    <w:p>
      <w:pPr>
        <w:pStyle w:val="ListBullet"/>
        <w:spacing w:after="40" w:line="276" w:lineRule="auto"/>
      </w:pPr>
      <w:r>
        <w:t xml:space="preserve">Exported fields: </w:t>
      </w:r>
      <w:r>
        <w:rPr>
          <w:rFonts w:ascii="Consolas" w:hAnsi="Consolas"/>
          <w:color w:val="8A1F11"/>
          <w:sz w:val="19"/>
        </w:rPr>
        <w:t>precision = 0.0</w:t>
      </w:r>
      <w:r>
        <w:t xml:space="preserve">, </w:t>
      </w:r>
      <w:r>
        <w:rPr>
          <w:rFonts w:ascii="Consolas" w:hAnsi="Consolas"/>
          <w:color w:val="8A1F11"/>
          <w:sz w:val="19"/>
        </w:rPr>
        <w:t>recall = None</w:t>
      </w:r>
      <w:r>
        <w:t xml:space="preserve"> (</w:t>
      </w:r>
      <w:r>
        <w:rPr>
          <w:rFonts w:ascii="Consolas" w:hAnsi="Consolas"/>
          <w:color w:val="8A1F11"/>
          <w:sz w:val="19"/>
        </w:rPr>
        <w:t>null</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m:oMath>
        <m:sSub>
          <m:e>
            <m:r>
              <m:t>c</m:t>
            </m:r>
          </m:e>
          <m:sub>
            <m:r>
              <m:rPr>
                <m:nor/>
              </m:rPr>
              <m:t>test</m:t>
            </m:r>
          </m:sub>
        </m:sSub>
        <m:r>
          <m:t>∈</m:t>
        </m:r>
        <m:r>
          <m:t>𝓒</m:t>
        </m:r>
      </m:oMath>
      <w:r>
        <w:rPr>
          <w:i/>
        </w:rPr>
        <w:t>):</w:t>
      </w:r>
      <w:r>
        <w:t xml:space="preserve"> In mathematical unit-test verification, an unobserved class (synthetically labeled </w:t>
      </w:r>
      <w:r>
        <w:rPr>
          <w:rFonts w:ascii="Consolas" w:hAnsi="Consolas"/>
          <w:color w:val="8A1F11"/>
          <w:sz w:val="19"/>
        </w:rPr>
        <w:t>T1002</w:t>
      </w:r>
      <w:r>
        <w:t>, support = 0) hallucinated by the model 1 time produces:</w:t>
      </w:r>
    </w:p>
    <w:p>
      <w:r>
        <w:rPr>
          <w:rFonts w:ascii="Consolas" w:hAnsi="Consolas"/>
          <w:color w:val="8A1F11"/>
          <w:sz w:val="19"/>
        </w:rPr>
        <w:t>{"tp": 0, "fp": 1, "fn": 0, "support": 0, "precision": 0.0, "recall": null, "f1": 0.0}</w:t>
      </w:r>
      <w:r>
        <w:t>.</w:t>
      </w:r>
    </w:p>
    <w:p>
      <w:pPr>
        <w:pStyle w:val="Heading3"/>
        <w:keepNext/>
        <w:spacing w:before="160" w:after="40"/>
      </w:pPr>
      <w:r>
        <w:rPr>
          <w:rFonts w:ascii="Calibri" w:hAnsi="Calibri"/>
          <w:b/>
          <w:i/>
          <w:color w:val="333344"/>
          <w:sz w:val="22"/>
        </w:rPr>
        <w:t>3. Condition-Level Macro-F1 Aggregation (compute_condition_metrics)</w:t>
      </w:r>
    </w:p>
    <w:p>
      <w:r>
        <w:t xml:space="preserve">To produce the headline </w:t>
      </w:r>
      <m:oMath>
        <m:r>
          <m:rPr>
            <m:nor/>
          </m:rPr>
          <m:t>Macro-F1</m:t>
        </m:r>
      </m:oMath>
      <w:r>
        <w:t xml:space="preserve"> scalar across the entire fixed 474-technique universe without undefined arithmetic, condition-level aggregation enforces the following summation rules:</w:t>
      </w:r>
    </w:p>
    <w:p>
      <w:pPr>
        <w:pStyle w:val="ListBullet"/>
        <w:spacing w:after="40" w:line="276" w:lineRule="auto"/>
      </w:pPr>
      <w:r>
        <w:t>Unobserved classes (</w:t>
      </w:r>
      <m:oMath>
        <m:sSub>
          <m:e>
            <m:r>
              <m:rPr>
                <m:nor/>
              </m:rPr>
              <m:t>support</m:t>
            </m:r>
          </m:e>
          <m:sub>
            <m:r>
              <m:t>c</m:t>
            </m:r>
          </m:sub>
        </m:sSub>
        <m:r>
          <m:t>=</m:t>
        </m:r>
        <m:r>
          <m:t>0</m:t>
        </m:r>
        <m:r>
          <m:t>∧</m:t>
        </m:r>
        <m:sSub>
          <m:e>
            <m:r>
              <m:rPr>
                <m:nor/>
              </m:rPr>
              <m:t>pred</m:t>
            </m:r>
          </m:e>
          <m:sub>
            <m:r>
              <m:t>c</m:t>
            </m:r>
          </m:sub>
        </m:sSub>
        <m:r>
          <m:t>=</m:t>
        </m:r>
        <m:r>
          <m:t>0</m:t>
        </m:r>
      </m:oMath>
      <w:r>
        <w:t xml:space="preserve">, Case A) contribute exactly </w:t>
      </w:r>
      <m:oMath>
        <m:r>
          <m:t>0</m:t>
        </m:r>
        <m:r>
          <m:t>.</m:t>
        </m:r>
        <m:r>
          <m:t>0</m:t>
        </m:r>
      </m:oMath>
      <w:r>
        <w:t xml:space="preserve"> to the numerator sum (</w:t>
      </w:r>
      <w:r>
        <w:rPr>
          <w:rFonts w:ascii="Consolas" w:hAnsi="Consolas"/>
          <w:color w:val="8A1F11"/>
          <w:sz w:val="19"/>
        </w:rPr>
        <w:t>f1_sum += 0.0</w:t>
      </w:r>
      <w:r>
        <w:t>).</w:t>
      </w:r>
    </w:p>
    <w:p>
      <w:pPr>
        <w:pStyle w:val="ListBullet"/>
        <w:spacing w:after="40" w:line="276" w:lineRule="auto"/>
      </w:pPr>
      <w:r>
        <w:t xml:space="preserve">Unpredicted classes (Case B) and unobserved false positives (Case C) contribute their computed harmonic mean of </w:t>
      </w:r>
      <m:oMath>
        <m:r>
          <m:t>0</m:t>
        </m:r>
        <m:r>
          <m:t>.</m:t>
        </m:r>
        <m:r>
          <m:t>0</m:t>
        </m:r>
      </m:oMath>
      <w:r>
        <w:t xml:space="preserve"> (</w:t>
      </w:r>
      <w:r>
        <w:rPr>
          <w:rFonts w:ascii="Consolas" w:hAnsi="Consolas"/>
          <w:color w:val="8A1F11"/>
          <w:sz w:val="19"/>
        </w:rPr>
        <w:t>f1_sum += 0.0</w:t>
      </w:r>
      <w:r>
        <w:t>).</w:t>
      </w:r>
    </w:p>
    <w:p>
      <w:pPr>
        <w:pStyle w:val="ListBullet"/>
        <w:spacing w:after="40" w:line="276" w:lineRule="auto"/>
      </w:pPr>
      <w:r>
        <w:t>Observed classes with true positives (</w:t>
      </w:r>
      <m:oMath>
        <m:sSub>
          <m:e>
            <m:r>
              <m:t>TP</m:t>
            </m:r>
          </m:e>
          <m:sub>
            <m:r>
              <m:t>c</m:t>
            </m:r>
          </m:sub>
        </m:sSub>
        <m:r>
          <m:t>&gt;</m:t>
        </m:r>
        <m:r>
          <m:t>0</m:t>
        </m:r>
      </m:oMath>
      <w:r>
        <w:t>) compute:</w:t>
      </w:r>
    </w:p>
    <w:p>
      <w:pPr>
        <w:keepLines/>
        <w:spacing w:before="120" w:after="120" w:line="276" w:lineRule="auto"/>
        <w:ind w:left="576" w:right="576"/>
        <w:shd w:fill="F8FAFC"/>
        <w:pBdr>
          <w:left w:val="single" w:sz="18" w:space="8" w:color="0969DA"/>
        </w:pBdr>
      </w:pPr>
      <m:oMath>
        <m:sSub>
          <m:e>
            <m:r>
              <w:rPr>
                <w:color w:val="0A2540"/>
                <w:sz w:val="21"/>
              </w:rPr>
              <m:t>P</m:t>
            </m:r>
          </m:e>
          <m:sub>
            <m:r>
              <w:rPr>
                <w:color w:val="0A2540"/>
                <w:sz w:val="21"/>
              </w:rPr>
              <m:t>c</m:t>
            </m:r>
          </m:sub>
        </m:sSub>
        <m:r>
          <w:rPr>
            <w:color w:val="0A2540"/>
            <w:sz w:val="21"/>
          </w:rPr>
          <m:t>=</m:t>
        </m:r>
        <m:f>
          <m:num>
            <m:sSub>
              <m:e>
                <m:r>
                  <w:rPr>
                    <w:color w:val="0A2540"/>
                    <w:sz w:val="21"/>
                  </w:rPr>
                  <m:t>TP</m:t>
                </m:r>
              </m:e>
              <m:sub>
                <m:r>
                  <w:rPr>
                    <w:color w:val="0A2540"/>
                    <w:sz w:val="21"/>
                  </w:rPr>
                  <m:t>c</m:t>
                </m:r>
              </m:sub>
            </m:sSub>
          </m:num>
          <m:den>
            <m:sSub>
              <m:e>
                <m:r>
                  <w:rPr>
                    <w:color w:val="0A2540"/>
                    <w:sz w:val="21"/>
                  </w:rPr>
                  <m:t>TP</m:t>
                </m:r>
              </m:e>
              <m:sub>
                <m:r>
                  <w:rPr>
                    <w:color w:val="0A2540"/>
                    <w:sz w:val="21"/>
                  </w:rPr>
                  <m:t>c</m:t>
                </m:r>
              </m:sub>
            </m:sSub>
            <m:r>
              <w:rPr>
                <w:color w:val="0A2540"/>
                <w:sz w:val="21"/>
              </w:rPr>
              <m:t>+</m:t>
            </m:r>
            <m:sSub>
              <m:e>
                <m:r>
                  <w:rPr>
                    <w:color w:val="0A2540"/>
                    <w:sz w:val="21"/>
                  </w:rPr>
                  <m:t>FP</m:t>
                </m:r>
              </m:e>
              <m:sub>
                <m:r>
                  <w:rPr>
                    <w:color w:val="0A2540"/>
                    <w:sz w:val="21"/>
                  </w:rPr>
                  <m:t>c</m:t>
                </m:r>
              </m:sub>
            </m:sSub>
          </m:den>
        </m:f>
        <m:r>
          <w:rPr>
            <w:color w:val="0A2540"/>
            <w:sz w:val="21"/>
          </w:rPr>
          <m:t>,</m:t>
        </m:r>
        <m:r>
          <w:rPr>
            <w:color w:val="0A2540"/>
            <w:sz w:val="21"/>
          </w:rPr>
          <m:t>  </m:t>
        </m:r>
        <m:sSub>
          <m:e>
            <m:r>
              <w:rPr>
                <w:color w:val="0A2540"/>
                <w:sz w:val="21"/>
              </w:rPr>
              <m:t>R</m:t>
            </m:r>
          </m:e>
          <m:sub>
            <m:r>
              <w:rPr>
                <w:color w:val="0A2540"/>
                <w:sz w:val="21"/>
              </w:rPr>
              <m:t>c</m:t>
            </m:r>
          </m:sub>
        </m:sSub>
        <m:r>
          <w:rPr>
            <w:color w:val="0A2540"/>
            <w:sz w:val="21"/>
          </w:rPr>
          <m:t>=</m:t>
        </m:r>
        <m:f>
          <m:num>
            <m:sSub>
              <m:e>
                <m:r>
                  <w:rPr>
                    <w:color w:val="0A2540"/>
                    <w:sz w:val="21"/>
                  </w:rPr>
                  <m:t>TP</m:t>
                </m:r>
              </m:e>
              <m:sub>
                <m:r>
                  <w:rPr>
                    <w:color w:val="0A2540"/>
                    <w:sz w:val="21"/>
                  </w:rPr>
                  <m:t>c</m:t>
                </m:r>
              </m:sub>
            </m:sSub>
          </m:num>
          <m:den>
            <m:sSub>
              <m:e>
                <m:r>
                  <w:rPr>
                    <w:color w:val="0A2540"/>
                    <w:sz w:val="21"/>
                  </w:rPr>
                  <m:t>TP</m:t>
                </m:r>
              </m:e>
              <m:sub>
                <m:r>
                  <w:rPr>
                    <w:color w:val="0A2540"/>
                    <w:sz w:val="21"/>
                  </w:rPr>
                  <m:t>c</m:t>
                </m:r>
              </m:sub>
            </m:sSub>
            <m:r>
              <w:rPr>
                <w:color w:val="0A2540"/>
                <w:sz w:val="21"/>
              </w:rPr>
              <m:t>+</m:t>
            </m:r>
            <m:sSub>
              <m:e>
                <m:r>
                  <w:rPr>
                    <w:color w:val="0A2540"/>
                    <w:sz w:val="21"/>
                  </w:rPr>
                  <m:t>FN</m:t>
                </m:r>
              </m:e>
              <m:sub>
                <m:r>
                  <w:rPr>
                    <w:color w:val="0A2540"/>
                    <w:sz w:val="21"/>
                  </w:rPr>
                  <m:t>c</m:t>
                </m:r>
              </m:sub>
            </m:sSub>
          </m:den>
        </m:f>
        <m:r>
          <w:rPr>
            <w:color w:val="0A2540"/>
            <w:sz w:val="21"/>
          </w:rPr>
          <m:t>,</m:t>
        </m:r>
        <m:r>
          <w:rPr>
            <w:color w:val="0A2540"/>
            <w:sz w:val="21"/>
          </w:rPr>
          <m:t>  </m:t>
        </m:r>
        <m:sSub>
          <m:e>
            <m:r>
              <w:rPr>
                <w:color w:val="0A2540"/>
                <w:sz w:val="21"/>
              </w:rPr>
              <m:t>F1</m:t>
            </m:r>
          </m:e>
          <m:sub>
            <m:r>
              <w:rPr>
                <w:color w:val="0A2540"/>
                <w:sz w:val="21"/>
              </w:rPr>
              <m:t>c</m:t>
            </m:r>
          </m:sub>
        </m:sSub>
        <m:r>
          <w:rPr>
            <w:color w:val="0A2540"/>
            <w:sz w:val="21"/>
          </w:rPr>
          <m:t>=</m:t>
        </m:r>
        <m:f>
          <m:num>
            <m:r>
              <w:rPr>
                <w:color w:val="0A2540"/>
                <w:sz w:val="21"/>
              </w:rPr>
              <m:t>2</m:t>
            </m:r>
            <m:r>
              <w:rPr>
                <w:color w:val="0A2540"/>
                <w:sz w:val="21"/>
              </w:rPr>
              <m:t>·</m:t>
            </m:r>
            <m:sSub>
              <m:e>
                <m:r>
                  <w:rPr>
                    <w:color w:val="0A2540"/>
                    <w:sz w:val="21"/>
                  </w:rPr>
                  <m:t>P</m:t>
                </m:r>
              </m:e>
              <m:sub>
                <m:r>
                  <w:rPr>
                    <w:color w:val="0A2540"/>
                    <w:sz w:val="21"/>
                  </w:rPr>
                  <m:t>c</m:t>
                </m:r>
              </m:sub>
            </m:sSub>
            <m:r>
              <w:rPr>
                <w:color w:val="0A2540"/>
                <w:sz w:val="21"/>
              </w:rPr>
              <m:t>·</m:t>
            </m:r>
            <m:sSub>
              <m:e>
                <m:r>
                  <w:rPr>
                    <w:color w:val="0A2540"/>
                    <w:sz w:val="21"/>
                  </w:rPr>
                  <m:t>R</m:t>
                </m:r>
              </m:e>
              <m:sub>
                <m:r>
                  <w:rPr>
                    <w:color w:val="0A2540"/>
                    <w:sz w:val="21"/>
                  </w:rPr>
                  <m:t>c</m:t>
                </m:r>
              </m:sub>
            </m:sSub>
          </m:num>
          <m:den>
            <m:sSub>
              <m:e>
                <m:r>
                  <w:rPr>
                    <w:color w:val="0A2540"/>
                    <w:sz w:val="21"/>
                  </w:rPr>
                  <m:t>P</m:t>
                </m:r>
              </m:e>
              <m:sub>
                <m:r>
                  <w:rPr>
                    <w:color w:val="0A2540"/>
                    <w:sz w:val="21"/>
                  </w:rPr>
                  <m:t>c</m:t>
                </m:r>
              </m:sub>
            </m:sSub>
            <m:r>
              <w:rPr>
                <w:color w:val="0A2540"/>
                <w:sz w:val="21"/>
              </w:rPr>
              <m:t>+</m:t>
            </m:r>
            <m:sSub>
              <m:e>
                <m:r>
                  <w:rPr>
                    <w:color w:val="0A2540"/>
                    <w:sz w:val="21"/>
                  </w:rPr>
                  <m:t>R</m:t>
                </m:r>
              </m:e>
              <m:sub>
                <m:r>
                  <w:rPr>
                    <w:color w:val="0A2540"/>
                    <w:sz w:val="21"/>
                  </w:rPr>
                  <m:t>c</m:t>
                </m:r>
              </m:sub>
            </m:sSub>
          </m:den>
        </m:f>
      </m:oMath>
    </w:p>
    <w:p>
      <w:pPr>
        <w:pStyle w:val="ListBullet"/>
        <w:spacing w:after="40" w:line="276" w:lineRule="auto"/>
      </w:pPr>
      <w:r>
        <w:t>The total sum is divided by the frozen universe size 474:</w:t>
      </w:r>
    </w:p>
    <w:p>
      <w:pPr>
        <w:keepLines/>
        <w:spacing w:before="120" w:after="120" w:line="276" w:lineRule="auto"/>
        <w:ind w:left="576" w:right="576"/>
        <w:shd w:fill="F8FAFC"/>
        <w:pBdr>
          <w:left w:val="single" w:sz="18" w:space="8" w:color="0969DA"/>
        </w:pBdr>
      </w:pPr>
      <m:oMath>
        <m:r>
          <w:rPr>
            <w:color w:val="0A2540"/>
            <w:sz w:val="21"/>
          </w:rPr>
          <m:rPr>
            <m:nor/>
          </m:rPr>
          <m:t>Macro-F1</m:t>
        </m:r>
        <m:r>
          <w:rPr>
            <w:color w:val="0A2540"/>
            <w:sz w:val="21"/>
          </w:rPr>
          <m:t>=</m:t>
        </m:r>
        <m:f>
          <m:num>
            <m:r>
              <w:rPr>
                <w:color w:val="0A2540"/>
                <w:sz w:val="21"/>
              </w:rPr>
              <m:t>1</m:t>
            </m:r>
          </m:num>
          <m:den>
            <m:r>
              <w:rPr>
                <w:color w:val="0A2540"/>
                <w:sz w:val="21"/>
              </w:rPr>
              <m:t>474</m:t>
            </m:r>
          </m:den>
        </m:f>
        <m:nary>
          <m:naryPr>
            <m:chr m:val="∑"/>
            <m:limLoc m:val="undOvr"/>
            <m:subHide m:val="0"/>
            <m:supHide m:val="1"/>
          </m:naryPr>
          <m:sub>
            <m:r>
              <w:rPr>
                <w:color w:val="0A2540"/>
                <w:sz w:val="21"/>
              </w:rPr>
              <m:t>c</m:t>
            </m:r>
            <m:r>
              <w:rPr>
                <w:color w:val="0A2540"/>
                <w:sz w:val="21"/>
              </w:rPr>
              <m:t>∈</m:t>
            </m:r>
            <m:r>
              <w:rPr>
                <w:color w:val="0A2540"/>
                <w:sz w:val="21"/>
              </w:rPr>
              <m:t>𝓒</m:t>
            </m:r>
          </m:sub>
          <m:sup/>
          <m:e/>
        </m:nary>
        <m:sSub>
          <m:e>
            <m:r>
              <w:rPr>
                <w:color w:val="0A2540"/>
                <w:sz w:val="21"/>
              </w:rPr>
              <m:t>F1</m:t>
            </m:r>
          </m:e>
          <m:sub>
            <m:r>
              <w:rPr>
                <w:color w:val="0A2540"/>
                <w:sz w:val="21"/>
              </w:rPr>
              <m:t>c</m:t>
            </m:r>
          </m:sub>
        </m:sSub>
      </m:oMath>
    </w:p>
    <w:p>
      <w:r>
        <w:rPr>
          <w:i/>
        </w:rPr>
        <w:t>Evaluator Property:</w:t>
      </w:r>
      <w:r>
        <w:t xml:space="preserve"> The condition evaluator (</w:t>
      </w:r>
      <w:r>
        <w:rPr>
          <w:rFonts w:ascii="Consolas" w:hAnsi="Consolas"/>
          <w:color w:val="8A1F11"/>
          <w:sz w:val="19"/>
        </w:rPr>
        <w:t>compute_condition_metrics</w:t>
      </w:r>
      <w:r>
        <w:t xml:space="preserve">) exports </w:t>
      </w:r>
      <w:r>
        <w:rPr>
          <w:rFonts w:ascii="Consolas" w:hAnsi="Consolas"/>
          <w:color w:val="8A1F11"/>
          <w:sz w:val="19"/>
        </w:rPr>
        <w:t>macro_f1</w:t>
      </w:r>
      <w:r>
        <w:t>. It intentionally omits aggregate macro precision and macro recall scalars, preventing mathematical ambiguity over unobserved class denominators and ensuring metric stability.</w:t>
      </w:r>
    </w:p>
    <w:p>
      <w:pPr>
        <w:pStyle w:val="Heading3"/>
        <w:keepNext/>
        <w:spacing w:before="160" w:after="40"/>
      </w:pPr>
      <w:r>
        <w:rPr>
          <w:rFonts w:ascii="Calibri" w:hAnsi="Calibri"/>
          <w:b/>
          <w:i/>
          <w:color w:val="333344"/>
          <w:sz w:val="22"/>
        </w:rPr>
        <w:t>4. Empirical Ground-Truth Support Census in TEST Set (8 Active Techniques)</w:t>
      </w:r>
    </w:p>
    <w:p>
      <w:r>
        <w:t xml:space="preserve">While the Macro-F1 metric denominator is strictly frozen at the full 474-class universe </w:t>
      </w:r>
      <m:oMath>
        <m:r>
          <m:t>𝓒</m:t>
        </m:r>
      </m:oMath>
      <w:r>
        <w:t xml:space="preserve"> (</w:t>
      </w:r>
      <m:oMath>
        <m:r>
          <m:t>|</m:t>
        </m:r>
        <m:r>
          <m:t>𝓒</m:t>
        </m:r>
        <m:r>
          <m:t>|</m:t>
        </m:r>
        <m:r>
          <m:t>=</m:t>
        </m:r>
        <m:r>
          <m:t>474</m:t>
        </m:r>
      </m:oMath>
      <w:r>
        <w:t xml:space="preserve">), empirical inspection of the 718 scorable mapped positive TEST views reveals that ground-truth support is concentrated across exactly </w:t>
      </w:r>
      <w:r>
        <w:rPr>
          <w:b/>
        </w:rPr>
        <w:t>8 active techniques</w:t>
      </w:r>
      <w:r>
        <w:t>:</w:t>
      </w:r>
    </w:p>
    <w:p>
      <w:pPr>
        <w:pStyle w:val="ListBullet"/>
        <w:spacing w:after="40" w:line="276" w:lineRule="auto"/>
      </w:pPr>
      <w:r>
        <w:rPr>
          <w:rFonts w:ascii="Consolas" w:hAnsi="Consolas"/>
          <w:color w:val="8A1F11"/>
          <w:sz w:val="19"/>
        </w:rPr>
        <w:t>T1053.005</w:t>
      </w:r>
      <w:r>
        <w:t xml:space="preserve"> (Scheduled Task: 85 support instances)</w:t>
      </w:r>
    </w:p>
    <w:p>
      <w:pPr>
        <w:pStyle w:val="ListBullet"/>
        <w:spacing w:after="40" w:line="276" w:lineRule="auto"/>
      </w:pPr>
      <w:r>
        <w:rPr>
          <w:rFonts w:ascii="Consolas" w:hAnsi="Consolas"/>
          <w:color w:val="8A1F11"/>
          <w:sz w:val="19"/>
        </w:rPr>
        <w:t>T1059.001</w:t>
      </w:r>
      <w:r>
        <w:t xml:space="preserve"> (Command and Scripting Interpreter: PowerShell: 107 instances)</w:t>
      </w:r>
    </w:p>
    <w:p>
      <w:pPr>
        <w:pStyle w:val="ListBullet"/>
        <w:spacing w:after="40" w:line="276" w:lineRule="auto"/>
      </w:pPr>
      <w:r>
        <w:rPr>
          <w:rFonts w:ascii="Consolas" w:hAnsi="Consolas"/>
          <w:color w:val="8A1F11"/>
          <w:sz w:val="19"/>
        </w:rPr>
        <w:t>T1059.003</w:t>
      </w:r>
      <w:r>
        <w:t xml:space="preserve"> (Command and Scripting Interpreter: Windows Command Shell: 107 instances)</w:t>
      </w:r>
    </w:p>
    <w:p>
      <w:pPr>
        <w:pStyle w:val="ListBullet"/>
        <w:spacing w:after="40" w:line="276" w:lineRule="auto"/>
      </w:pPr>
      <w:r>
        <w:rPr>
          <w:rFonts w:ascii="Consolas" w:hAnsi="Consolas"/>
          <w:color w:val="8A1F11"/>
          <w:sz w:val="19"/>
        </w:rPr>
        <w:t>T1105</w:t>
      </w:r>
      <w:r>
        <w:t xml:space="preserve"> (Ingress Tool Transfer: 108 instances)</w:t>
      </w:r>
    </w:p>
    <w:p>
      <w:pPr>
        <w:pStyle w:val="ListBullet"/>
        <w:spacing w:after="40" w:line="276" w:lineRule="auto"/>
      </w:pPr>
      <w:r>
        <w:rPr>
          <w:rFonts w:ascii="Consolas" w:hAnsi="Consolas"/>
          <w:color w:val="8A1F11"/>
          <w:sz w:val="19"/>
        </w:rPr>
        <w:t>T1136.001</w:t>
      </w:r>
      <w:r>
        <w:t xml:space="preserve"> (Create Account: Local Account: 95 instances)</w:t>
      </w:r>
    </w:p>
    <w:p>
      <w:pPr>
        <w:pStyle w:val="ListBullet"/>
        <w:spacing w:after="40" w:line="276" w:lineRule="auto"/>
      </w:pPr>
      <w:r>
        <w:rPr>
          <w:rFonts w:ascii="Consolas" w:hAnsi="Consolas"/>
          <w:color w:val="8A1F11"/>
          <w:sz w:val="19"/>
        </w:rPr>
        <w:t>T1543.003</w:t>
      </w:r>
      <w:r>
        <w:t xml:space="preserve"> (Create or Modify System Process: Windows Service: 108 instances)</w:t>
      </w:r>
    </w:p>
    <w:p>
      <w:pPr>
        <w:pStyle w:val="ListBullet"/>
        <w:spacing w:after="40" w:line="276" w:lineRule="auto"/>
      </w:pPr>
      <w:r>
        <w:rPr>
          <w:rFonts w:ascii="Consolas" w:hAnsi="Consolas"/>
          <w:color w:val="8A1F11"/>
          <w:sz w:val="19"/>
        </w:rPr>
        <w:t>T1547.001</w:t>
      </w:r>
      <w:r>
        <w:t xml:space="preserve"> (Boot or Logon Autostart Execution: Registry Run Keys / Startup Folder: 98 instances)</w:t>
      </w:r>
    </w:p>
    <w:p>
      <w:pPr>
        <w:pStyle w:val="ListBullet"/>
        <w:spacing w:after="40" w:line="276" w:lineRule="auto"/>
      </w:pPr>
      <w:r>
        <w:rPr>
          <w:rFonts w:ascii="Consolas" w:hAnsi="Consolas"/>
          <w:color w:val="8A1F11"/>
          <w:sz w:val="19"/>
        </w:rPr>
        <w:t>T1685.005</w:t>
      </w:r>
      <w:r>
        <w:t xml:space="preserve"> (Indicator Removal: Clear Windows Event Logs: 60 instances)</w:t>
      </w:r>
    </w:p>
    <w:p>
      <w:r>
        <w:t xml:space="preserve">The sum of ground-truth occurrences across these 8 techniques totals </w:t>
      </w:r>
      <w:r>
        <w:rPr>
          <w:b/>
        </w:rPr>
        <w:t>768 annotations</w:t>
      </w:r>
      <w:r>
        <w:t xml:space="preserve"> across the 718 scorable views (attributable to the 40 multi-GT views containing multiple concurrent ground-truth techniques). Because 466 techniques in the benchmark taxonomy have zero support in this test partition (</w:t>
      </w:r>
      <m:oMath>
        <m:sSub>
          <m:e>
            <m:r>
              <m:t>F1</m:t>
            </m:r>
          </m:e>
          <m:sub>
            <m:r>
              <m:t>c</m:t>
            </m:r>
          </m:sub>
        </m:sSub>
        <m:r>
          <m:t>=</m:t>
        </m:r>
        <m:r>
          <m:t>0</m:t>
        </m:r>
        <m:r>
          <m:t>.</m:t>
        </m:r>
        <m:r>
          <m:t>0</m:t>
        </m:r>
      </m:oMath>
      <w:r>
        <w:t xml:space="preserve">), the unweighted macro average is heavily dominated by unsupported classes, yielding baseline Macro-F1 scores around </w:t>
      </w:r>
      <m:oMath>
        <m:r>
          <m:t>~</m:t>
        </m:r>
        <m:r>
          <m:t>0</m:t>
        </m:r>
        <m:r>
          <m:t>.</m:t>
        </m:r>
        <m:r>
          <m:t>013</m:t>
        </m:r>
      </m:oMath>
      <w:r>
        <w:t>. To adhere to strict reproducibility and protocol commitments, we explicitly report this support concentration and retain the frozen 474-class denominator without post-hoc class subset re-normalization or ad-hoc metric re-scaling.</w:t>
      </w:r>
    </w:p>
    <w:p>
      <w:pPr>
        <w:pStyle w:val="Heading2"/>
        <w:keepNext/>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spacing w:after="40" w:line="276" w:lineRule="auto"/>
        <w:ind w:left="432" w:hanging="288"/>
      </w:pPr>
      <w:r>
        <w:rPr>
          <w:rFonts w:ascii="Calibri" w:hAnsi="Calibri"/>
          <w:b/>
          <w:color w:val="24292F"/>
        </w:rPr>
        <w:t xml:space="preserve">1. </w:t>
      </w:r>
      <w:r>
        <w:rPr>
          <w:rFonts w:ascii="Consolas" w:hAnsi="Consolas"/>
          <w:color w:val="8A1F11"/>
          <w:sz w:val="19"/>
        </w:rPr>
        <w:t>retrieval_miss</w:t>
      </w:r>
      <w:r>
        <w:t xml:space="preserve">: RAG condition where </w:t>
      </w:r>
      <m:oMath>
        <m:sSub>
          <m:e>
            <m:r>
              <m:t>Y</m:t>
            </m:r>
          </m:e>
          <m:sub>
            <m:r>
              <m:t>i</m:t>
            </m:r>
          </m:sub>
        </m:sSub>
        <m:r>
          <m:t>∩</m:t>
        </m:r>
        <m:r>
          <m:rPr>
            <m:nor/>
          </m:rPr>
          <m:t>Top-</m:t>
        </m:r>
        <m:r>
          <m:t>k</m:t>
        </m:r>
        <m:r>
          <m:t>=</m:t>
        </m:r>
        <m:r>
          <m:t>∅</m:t>
        </m:r>
      </m:oMath>
      <w:r>
        <w:t>.</w:t>
      </w:r>
    </w:p>
    <w:p>
      <w:pPr>
        <w:spacing w:after="40" w:line="276" w:lineRule="auto"/>
        <w:ind w:left="432" w:hanging="288"/>
      </w:pPr>
      <w:r>
        <w:rPr>
          <w:rFonts w:ascii="Calibri" w:hAnsi="Calibri"/>
          <w:b/>
          <w:color w:val="24292F"/>
        </w:rPr>
        <w:t xml:space="preserve">2. </w:t>
      </w:r>
      <w:r>
        <w:rPr>
          <w:rFonts w:ascii="Consolas" w:hAnsi="Consolas"/>
          <w:color w:val="8A1F11"/>
          <w:sz w:val="19"/>
        </w:rPr>
        <w:t>provider_failure</w:t>
      </w:r>
      <w:r>
        <w:t>: Network timeout, HTTP status error, rate limit, or budget exceeded.</w:t>
      </w:r>
    </w:p>
    <w:p>
      <w:pPr>
        <w:spacing w:after="40" w:line="276" w:lineRule="auto"/>
        <w:ind w:left="432" w:hanging="288"/>
      </w:pPr>
      <w:r>
        <w:rPr>
          <w:rFonts w:ascii="Calibri" w:hAnsi="Calibri"/>
          <w:b/>
          <w:color w:val="24292F"/>
        </w:rPr>
        <w:t xml:space="preserve">3. </w:t>
      </w:r>
      <w:r>
        <w:rPr>
          <w:rFonts w:ascii="Consolas" w:hAnsi="Consolas"/>
          <w:color w:val="8A1F11"/>
          <w:sz w:val="19"/>
        </w:rPr>
        <w:t>parse_failure</w:t>
      </w:r>
      <w:r>
        <w:t>: Malformed JSON or schema violation.</w:t>
      </w:r>
    </w:p>
    <w:p>
      <w:pPr>
        <w:spacing w:after="40" w:line="276" w:lineRule="auto"/>
        <w:ind w:left="432" w:hanging="288"/>
      </w:pPr>
      <w:r>
        <w:rPr>
          <w:rFonts w:ascii="Calibri" w:hAnsi="Calibri"/>
          <w:b/>
          <w:color w:val="24292F"/>
        </w:rPr>
        <w:t xml:space="preserve">4. </w:t>
      </w:r>
      <w:r>
        <w:rPr>
          <w:rFonts w:ascii="Consolas" w:hAnsi="Consolas"/>
          <w:color w:val="8A1F11"/>
          <w:sz w:val="19"/>
        </w:rPr>
        <w:t>invalid_attack_id</w:t>
      </w:r>
      <w:r>
        <w:t>: Emitted ID fails regex syntax or does not exist in STIX v19.2.</w:t>
      </w:r>
    </w:p>
    <w:p>
      <w:pPr>
        <w:spacing w:after="40" w:line="276" w:lineRule="auto"/>
        <w:ind w:left="432" w:hanging="288"/>
      </w:pPr>
      <w:r>
        <w:rPr>
          <w:rFonts w:ascii="Calibri" w:hAnsi="Calibri"/>
          <w:b/>
          <w:color w:val="24292F"/>
        </w:rPr>
        <w:t xml:space="preserve">5. </w:t>
      </w:r>
      <w:r>
        <w:rPr>
          <w:rFonts w:ascii="Consolas" w:hAnsi="Consolas"/>
          <w:color w:val="8A1F11"/>
          <w:sz w:val="19"/>
        </w:rPr>
        <w:t>valid_but_wrong_classification</w:t>
      </w:r>
      <w:r>
        <w:t xml:space="preserve">: Emitted ID is a valid ATT&amp;CK technique but </w:t>
      </w:r>
      <m:oMath>
        <m:sSub>
          <m:e>
            <m:acc>
              <m:accPr>
                <m:chr m:val="̂"/>
              </m:accPr>
              <m:e>
                <m:r>
                  <m:t>y</m:t>
                </m:r>
              </m:e>
            </m:acc>
          </m:e>
          <m:sub>
            <m:r>
              <m:t>i</m:t>
            </m:r>
          </m:sub>
        </m:sSub>
        <m:r>
          <m:t>∉</m:t>
        </m:r>
        <m:sSub>
          <m:e>
            <m:r>
              <m:t>Y</m:t>
            </m:r>
          </m:e>
          <m:sub>
            <m:r>
              <m:t>i</m:t>
            </m:r>
          </m:sub>
        </m:sSub>
      </m:oMath>
      <w:r>
        <w:t>.</w:t>
      </w:r>
    </w:p>
    <w:p>
      <w:r>
        <w:t>Crucially, downstream generation failures are partitioned into:</w:t>
      </w:r>
    </w:p>
    <w:p>
      <w:pPr>
        <w:pStyle w:val="ListBullet"/>
        <w:spacing w:after="40" w:line="276" w:lineRule="auto"/>
      </w:pPr>
      <w:r>
        <w:rPr>
          <w:b/>
        </w:rPr>
        <w:t>Downstream Error Given Retrieval Success:</w:t>
      </w:r>
      <w:r>
        <w:t xml:space="preserve"> </w:t>
      </w:r>
      <m:oMath>
        <m:sSub>
          <m:e>
            <m:r>
              <m:t>Y</m:t>
            </m:r>
          </m:e>
          <m:sub>
            <m:r>
              <m:t>i</m:t>
            </m:r>
          </m:sub>
        </m:sSub>
        <m:r>
          <m:t>∩</m:t>
        </m:r>
        <m:r>
          <m:rPr>
            <m:nor/>
          </m:rPr>
          <m:t>Top-</m:t>
        </m:r>
        <m:r>
          <m:t>k</m:t>
        </m:r>
        <m:r>
          <m:t>≠</m:t>
        </m:r>
        <m:r>
          <m:t>∅</m:t>
        </m:r>
        <m:r>
          <m:t>∧</m:t>
        </m:r>
        <m:sSub>
          <m:e>
            <m:acc>
              <m:accPr>
                <m:chr m:val="̂"/>
              </m:accPr>
              <m:e>
                <m:r>
                  <m:t>y</m:t>
                </m:r>
              </m:e>
            </m:acc>
          </m:e>
          <m:sub>
            <m:r>
              <m:t>i</m:t>
            </m:r>
          </m:sub>
        </m:sSub>
        <m:r>
          <m:t>∉</m:t>
        </m:r>
        <m:sSub>
          <m:e>
            <m:r>
              <m:t>Y</m:t>
            </m:r>
          </m:e>
          <m:sub>
            <m:r>
              <m:t>i</m:t>
            </m:r>
          </m:sub>
        </m:sSub>
      </m:oMath>
      <w:r>
        <w:t xml:space="preserve"> (the retriever succeeded, but the LLM failed to select the correct candidate).</w:t>
      </w:r>
    </w:p>
    <w:p>
      <w:pPr>
        <w:pStyle w:val="ListBullet"/>
        <w:spacing w:after="40" w:line="276" w:lineRule="auto"/>
      </w:pPr>
      <w:r>
        <w:rPr>
          <w:b/>
        </w:rPr>
        <w:t>Downstream Error Given Retrieval Miss:</w:t>
      </w:r>
      <w:r>
        <w:t xml:space="preserve"> </w:t>
      </w:r>
      <m:oMath>
        <m:sSub>
          <m:e>
            <m:r>
              <m:t>Y</m:t>
            </m:r>
          </m:e>
          <m:sub>
            <m:r>
              <m:t>i</m:t>
            </m:r>
          </m:sub>
        </m:sSub>
        <m:r>
          <m:t>∩</m:t>
        </m:r>
        <m:r>
          <m:rPr>
            <m:nor/>
          </m:rPr>
          <m:t>Top-</m:t>
        </m:r>
        <m:r>
          <m:t>k</m:t>
        </m:r>
        <m:r>
          <m:t>=</m:t>
        </m:r>
        <m:r>
          <m:t>∅</m:t>
        </m:r>
        <m:r>
          <m:t>∧</m:t>
        </m:r>
        <m:sSub>
          <m:e>
            <m:acc>
              <m:accPr>
                <m:chr m:val="̂"/>
              </m:accPr>
              <m:e>
                <m:r>
                  <m:t>y</m:t>
                </m:r>
              </m:e>
            </m:acc>
          </m:e>
          <m:sub>
            <m:r>
              <m:t>i</m:t>
            </m:r>
          </m:sub>
        </m:sSub>
        <m:r>
          <m:t>∉</m:t>
        </m:r>
        <m:sSub>
          <m:e>
            <m:r>
              <m:t>Y</m:t>
            </m:r>
          </m:e>
          <m:sub>
            <m:r>
              <m:t>i</m:t>
            </m:r>
          </m:sub>
        </m:sSub>
      </m:oMath>
      <w:r>
        <w:t xml:space="preserve"> (the ground-truth technique was absent from retrieved candidates, and the LLM emitted an incorrect prediction).</w:t>
      </w:r>
    </w:p>
    <w:p>
      <w:pPr>
        <w:pStyle w:val="Heading3"/>
        <w:keepNext/>
        <w:spacing w:before="160" w:after="40"/>
      </w:pPr>
      <w:r>
        <w:rPr>
          <w:rFonts w:ascii="Calibri" w:hAnsi="Calibri"/>
          <w:b/>
          <w:i/>
          <w:color w:val="333344"/>
          <w:sz w:val="22"/>
        </w:rPr>
        <w:t>Diagnostic Interpretation Boundaries of Failure Axes</w:t>
      </w:r>
    </w:p>
    <w:p>
      <w:r>
        <w:t>In interpreting the failure decomposition, three formal epistemic boundaries apply:</w:t>
      </w:r>
    </w:p>
    <w:p>
      <w:pPr>
        <w:spacing w:after="40" w:line="276" w:lineRule="auto"/>
        <w:ind w:left="432" w:hanging="288"/>
      </w:pPr>
      <w:r>
        <w:rPr>
          <w:rFonts w:ascii="Calibri" w:hAnsi="Calibri"/>
          <w:b/>
          <w:color w:val="24292F"/>
        </w:rPr>
        <w:t xml:space="preserve">1. </w:t>
      </w:r>
      <w:r>
        <w:rPr>
          <w:b/>
        </w:rPr>
        <w:t>Weak-Label Operational Diagnostic:</w:t>
      </w:r>
      <w:r>
        <w:t xml:space="preserve"> The five failure axes represent non-mutually-exclusive diagnostic indicators rather than isolated causal mechanisms.</w:t>
      </w:r>
    </w:p>
    <w:p>
      <w:pPr>
        <w:spacing w:after="40" w:line="276" w:lineRule="auto"/>
        <w:ind w:left="432" w:hanging="288"/>
      </w:pPr>
      <w:r>
        <w:rPr>
          <w:rFonts w:ascii="Calibri" w:hAnsi="Calibri"/>
          <w:b/>
          <w:color w:val="24292F"/>
        </w:rPr>
        <w:t xml:space="preserve">2. </w:t>
      </w:r>
      <w:r>
        <w:rPr>
          <w:b/>
        </w:rPr>
        <w:t>Retrieval Miss Semantics:</w:t>
      </w:r>
      <w:r>
        <w:t xml:space="preserve"> An event where </w:t>
      </w:r>
      <m:oMath>
        <m:sSub>
          <m:e>
            <m:r>
              <m:t>Y</m:t>
            </m:r>
          </m:e>
          <m:sub>
            <m:r>
              <m:t>i</m:t>
            </m:r>
          </m:sub>
        </m:sSub>
        <m:r>
          <m:t>∩</m:t>
        </m:r>
        <m:r>
          <m:rPr>
            <m:nor/>
          </m:rPr>
          <m:t>Top-</m:t>
        </m:r>
        <m:r>
          <m:t>k</m:t>
        </m:r>
        <m:r>
          <m:t>=</m:t>
        </m:r>
        <m:r>
          <m:t>∅</m:t>
        </m:r>
      </m:oMath>
      <w:r>
        <w:t xml:space="preserve"> denotes that no ground-truth technique was fetched within the Top-</w:t>
      </w:r>
      <m:oMath>
        <m:r>
          <m:t>k</m:t>
        </m:r>
      </m:oMath>
      <w:r>
        <w:t xml:space="preserve"> candidates; it does not indicate the complete absence of procedurally relevant or semantically informative background context.</w:t>
      </w:r>
    </w:p>
    <w:p>
      <w:pPr>
        <w:spacing w:after="40" w:line="276" w:lineRule="auto"/>
        <w:ind w:left="432" w:hanging="288"/>
      </w:pPr>
      <w:r>
        <w:rPr>
          <w:rFonts w:ascii="Calibri" w:hAnsi="Calibri"/>
          <w:b/>
          <w:color w:val="24292F"/>
        </w:rPr>
        <w:t xml:space="preserve">3. </w:t>
      </w:r>
      <w:r>
        <w:rPr>
          <w:b/>
        </w:rPr>
        <w:t>Correct Output Despite GT-Label Miss:</w:t>
      </w:r>
      <w:r>
        <w:t xml:space="preserve"> When a model predicts correctly despite an upstream retrieval miss (</w:t>
      </w:r>
      <m:oMath>
        <m:sSub>
          <m:e>
            <m:r>
              <m:t>Y</m:t>
            </m:r>
          </m:e>
          <m:sub>
            <m:r>
              <m:t>i</m:t>
            </m:r>
          </m:sub>
        </m:sSub>
        <m:r>
          <m:t>∩</m:t>
        </m:r>
        <m:r>
          <m:rPr>
            <m:nor/>
          </m:rPr>
          <m:t>Top-</m:t>
        </m:r>
        <m:r>
          <m:t>k</m:t>
        </m:r>
        <m:r>
          <m:t>=</m:t>
        </m:r>
        <m:r>
          <m:t>∅</m:t>
        </m:r>
        <m:r>
          <m:t>∧</m:t>
        </m:r>
        <m:sSub>
          <m:e>
            <m:acc>
              <m:accPr>
                <m:chr m:val="̂"/>
              </m:accPr>
              <m:e>
                <m:r>
                  <m:t>y</m:t>
                </m:r>
              </m:e>
            </m:acc>
          </m:e>
          <m:sub>
            <m:r>
              <m:t>i</m:t>
            </m:r>
          </m:sub>
        </m:sSub>
        <m:r>
          <m:t>∈</m:t>
        </m:r>
        <m:sSub>
          <m:e>
            <m:r>
              <m:t>Y</m:t>
            </m:r>
          </m:e>
          <m:sub>
            <m:r>
              <m:t>i</m:t>
            </m:r>
          </m:sub>
        </m:sSub>
      </m:oMath>
      <w:r>
        <w:t>), this identifies instances where the model outputs the ground-truth attribution without that specific technique identifier appearing in the retrieved Top-</w:t>
      </w:r>
      <m:oMath>
        <m:r>
          <m:t>k</m:t>
        </m:r>
      </m:oMath>
      <w:r>
        <w:t xml:space="preserve"> candidates. Helpful retrieval context may exist without containing the verbatim ground-truth label; furthermore, correct predictions may stem from internal model training or prompt guidance. The precise reasoning origin remains unverified, and this observation should not be causally attributed solely to intrinsic parametric memory.</w:t>
      </w:r>
    </w:p>
    <w:p>
      <w:pPr>
        <w:spacing w:before="120" w:after="120"/>
        <w:pBdr>
          <w:bottom w:val="single" w:sz="6" w:space="1" w:color="D0D7DE"/>
        </w:pBdr>
      </w:pPr>
    </w:p>
    <w:p>
      <w:pPr>
        <w:pStyle w:val="Heading1"/>
        <w:keepNext/>
        <w:spacing w:before="280" w:after="120"/>
      </w:pPr>
      <w:r>
        <w:rPr>
          <w:rFonts w:ascii="Georgia" w:hAnsi="Georgia"/>
          <w:b/>
          <w:color w:val="0A2540"/>
          <w:sz w:val="28"/>
        </w:rPr>
        <w:t>6. Empirical Results and Diagnostic Analysis</w:t>
      </w:r>
    </w:p>
    <w:p>
      <w:r>
        <w:t>In accordance with Scientific Protocol v1.1, the empirical results presented in this section were generated from the canonical live experimental execution matrix (6,400 requests across 1,280 paired test views under strict financial and protocol guards).</w:t>
      </w:r>
    </w:p>
    <w:p>
      <w:pPr>
        <w:pStyle w:val="Heading2"/>
        <w:keepNext/>
        <w:spacing w:before="200" w:after="80"/>
      </w:pPr>
      <w:r>
        <w:rPr>
          <w:rFonts w:ascii="Calibri" w:hAnsi="Calibri"/>
          <w:b/>
          <w:color w:val="1F2328"/>
          <w:sz w:val="24"/>
        </w:rPr>
        <w:t>6.1 RQ1: Retrieval-Augmented Attribution Efficacy</w:t>
      </w:r>
    </w:p>
    <w:p>
      <w:r>
        <w:t>Table 2a and Table 2b outline the comparative attribution performance, ground-truth complexity breakdown, and diagnostic metrics across the five experimental conditions on the 718 scorable mapped positive TEST views (678 single-GT, 40 multi-GT).</w:t>
      </w:r>
    </w:p>
    <w:p>
      <w:pPr>
        <w:keepNext/>
        <w:spacing w:before="160" w:after="60"/>
      </w:pPr>
      <w:r>
        <w:rPr>
          <w:i/>
          <w:color w:val="1F2328"/>
          <w:sz w:val="20"/>
        </w:rPr>
        <w:t>Table 2a: Primary Attribution Performance and Ground-Truth Complexity Across Conditions.</w:t>
      </w:r>
    </w:p>
    <w:tbl>
      <w:tblPr>
        <w:tblW w:type="auto" w:w="0"/>
        <w:jc w:val="center"/>
        <w:tblLayout w:type="fixed"/>
        <w:tblLook w:firstColumn="1" w:firstRow="1" w:lastColumn="0" w:lastRow="0" w:noHBand="0" w:noVBand="1" w:val="04A0"/>
        <w:tblCaption w:val="Table 2a: Primary Attribution Performance and Ground-Truth Complexity"/>
        <w:tblDescription w:val="table_2a"/>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0"/>
                <w:alias w:val="table_2a Row 0 Col 0"/>
              </w:sdtPr>
              <w:sdtContent>
                <w:r/>
                <w:r>
                  <w:rPr>
                    <w:b/>
                    <w:color w:val="FFFFFF"/>
                    <w:sz w:val="17"/>
                  </w:rPr>
                  <w:t>Condition</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1"/>
                <w:alias w:val="table_2a Row 0 Col 1"/>
              </w:sdtPr>
              <w:sdtContent>
                <w:r/>
                <w:r>
                  <w:rPr>
                    <w:b/>
                    <w:color w:val="FFFFFF"/>
                    <w:sz w:val="17"/>
                  </w:rPr>
                  <w:t>Retrieval Depth (</w:t>
                </w:r>
                <m:oMath>
                  <m:r>
                    <w:rPr>
                      <w:color w:val="FFFFFF"/>
                      <w:sz w:val="17"/>
                      <w:b/>
                    </w:rPr>
                    <m:t>k</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2"/>
                <w:alias w:val="table_2a Row 0 Col 2"/>
              </w:sdtPr>
              <w:sdtContent>
                <w:r/>
                <w:r>
                  <w:rPr>
                    <w:b/>
                    <w:color w:val="FFFFFF"/>
                    <w:sz w:val="17"/>
                  </w:rPr>
                  <w:t>Scorable Views (</w:t>
                </w:r>
                <m:oMath>
                  <m:r>
                    <w:rPr>
                      <w:color w:val="FFFFFF"/>
                      <w:sz w:val="17"/>
                      <w:b/>
                    </w:rPr>
                    <m:t>N</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3"/>
                <w:alias w:val="table_2a Row 0 Col 3"/>
              </w:sdtPr>
              <w:sdtContent>
                <w:r/>
                <w:r>
                  <w:rPr>
                    <w:b/>
                    <w:color w:val="FFFFFF"/>
                    <w:sz w:val="17"/>
                  </w:rPr>
                  <w:t>Headline Accuracy (</w:t>
                </w:r>
                <m:oMath>
                  <m:sSub>
                    <m:e>
                      <m:r>
                        <w:rPr>
                          <w:color w:val="FFFFFF"/>
                          <w:sz w:val="17"/>
                          <w:b/>
                        </w:rPr>
                        <m:rPr>
                          <m:nor/>
                        </m:rPr>
                        <m:t>Acc</m:t>
                      </m:r>
                    </m:e>
                    <m:sub>
                      <m:r>
                        <w:rPr>
                          <w:color w:val="FFFFFF"/>
                          <w:sz w:val="17"/>
                          <w:b/>
                        </w:rPr>
                        <m:rPr>
                          <m:nor/>
                        </m:rPr>
                        <m:t>e2e</m:t>
                      </m:r>
                    </m:sub>
                  </m:sSub>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4"/>
                <w:alias w:val="table_2a Row 0 Col 4"/>
              </w:sdtPr>
              <w:sdtContent>
                <w:r/>
                <w:r>
                  <w:rPr>
                    <w:b/>
                    <w:color w:val="FFFFFF"/>
                    <w:sz w:val="17"/>
                  </w:rPr>
                  <w:t>Valid Accuracy (</w:t>
                </w:r>
                <m:oMath>
                  <m:sSub>
                    <m:e>
                      <m:r>
                        <w:rPr>
                          <w:color w:val="FFFFFF"/>
                          <w:sz w:val="17"/>
                          <w:b/>
                        </w:rPr>
                        <m:rPr>
                          <m:nor/>
                        </m:rPr>
                        <m:t>Acc</m:t>
                      </m:r>
                    </m:e>
                    <m:sub>
                      <m:r>
                        <w:rPr>
                          <w:color w:val="FFFFFF"/>
                          <w:sz w:val="17"/>
                          <w:b/>
                        </w:rPr>
                        <m:rPr>
                          <m:nor/>
                        </m:rPr>
                        <m:t>valid</m:t>
                      </m:r>
                    </m:sub>
                  </m:sSub>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5"/>
                <w:alias w:val="table_2a Row 0 Col 5"/>
              </w:sdtPr>
              <w:sdtContent>
                <w:r/>
                <w:r>
                  <w:rPr>
                    <w:b/>
                    <w:color w:val="FFFFFF"/>
                    <w:sz w:val="17"/>
                  </w:rPr>
                  <w:t>474-Class Macro F1</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6"/>
                <w:alias w:val="table_2a Row 0 Col 6"/>
              </w:sdtPr>
              <w:sdtContent>
                <w:r/>
                <w:r>
                  <w:rPr>
                    <w:b/>
                    <w:color w:val="FFFFFF"/>
                    <w:sz w:val="17"/>
                  </w:rPr>
                  <w:t>Single-GT Acc (</w:t>
                </w:r>
                <m:oMath>
                  <m:r>
                    <w:rPr>
                      <w:color w:val="FFFFFF"/>
                      <w:sz w:val="17"/>
                      <w:b/>
                    </w:rPr>
                    <m:t>N</m:t>
                  </m:r>
                  <m:r>
                    <w:rPr>
                      <w:color w:val="FFFFFF"/>
                      <w:sz w:val="17"/>
                      <w:b/>
                    </w:rPr>
                    <m:t>=</m:t>
                  </m:r>
                  <m:r>
                    <w:rPr>
                      <w:color w:val="FFFFFF"/>
                      <w:sz w:val="17"/>
                      <w:b/>
                    </w:rPr>
                    <m:t>678</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7"/>
                <w:alias w:val="table_2a Row 0 Col 7"/>
              </w:sdtPr>
              <w:sdtContent>
                <w:r/>
                <w:r>
                  <w:rPr>
                    <w:b/>
                    <w:color w:val="FFFFFF"/>
                    <w:sz w:val="17"/>
                  </w:rPr>
                  <w:t>Multi-GT Acc (</w:t>
                </w:r>
                <m:oMath>
                  <m:r>
                    <w:rPr>
                      <w:color w:val="FFFFFF"/>
                      <w:sz w:val="17"/>
                      <w:b/>
                    </w:rPr>
                    <m:t>N</m:t>
                  </m:r>
                  <m:r>
                    <w:rPr>
                      <w:color w:val="FFFFFF"/>
                      <w:sz w:val="17"/>
                      <w:b/>
                    </w:rPr>
                    <m:t>=</m:t>
                  </m:r>
                  <m:r>
                    <w:rPr>
                      <w:color w:val="FFFFFF"/>
                      <w:sz w:val="17"/>
                      <w:b/>
                    </w:rPr>
                    <m:t>40</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8"/>
                <w:alias w:val="table_2a Row 0 Col 8"/>
              </w:sdtPr>
              <w:sdtContent>
                <w:r/>
                <w:r>
                  <w:rPr>
                    <w:b/>
                    <w:color w:val="FFFFFF"/>
                    <w:sz w:val="17"/>
                  </w:rPr>
                  <w:t xml:space="preserve">Complexity </w:t>
                </w:r>
                <m:oMath>
                  <m:r>
                    <w:rPr>
                      <w:color w:val="FFFFFF"/>
                      <w:sz w:val="17"/>
                      <w:b/>
                    </w:rPr>
                    <m:t>Δ</m:t>
                  </m:r>
                </m:oMath>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0"/>
                <w:alias w:val="table_2a Row 1 Col 0"/>
              </w:sdtPr>
              <w:sdtContent>
                <w:r/>
                <w:r>
                  <w:rPr>
                    <w:rFonts w:ascii="Consolas" w:hAnsi="Consolas"/>
                    <w:color w:val="8A1F11"/>
                    <w:sz w:val="17"/>
                  </w:rPr>
                  <w:t>no_rag</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1"/>
                <w:alias w:val="table_2a Row 1 Col 1"/>
              </w:sdtPr>
              <w:sdtContent>
                <w:r/>
                <w:r>
                  <w:rPr>
                    <w:color w:val="24292F"/>
                    <w:sz w:val="17"/>
                  </w:rPr>
                  <w:t>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2"/>
                <w:alias w:val="table_2a Row 1 Col 2"/>
              </w:sdtPr>
              <w:sdtContent>
                <w:r/>
                <w:r>
                  <w:rPr>
                    <w:color w:val="24292F"/>
                    <w:sz w:val="17"/>
                  </w:rPr>
                  <w:t>718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3"/>
                <w:alias w:val="table_2a Row 1 Col 3"/>
              </w:sdtPr>
              <w:sdtContent>
                <w:r/>
                <w:r>
                  <w:rPr>
                    <w:color w:val="24292F"/>
                    <w:sz w:val="17"/>
                  </w:rPr>
                  <w:t>77.99%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4"/>
                <w:alias w:val="table_2a Row 1 Col 4"/>
              </w:sdtPr>
              <w:sdtContent>
                <w:r/>
                <w:r>
                  <w:rPr>
                    <w:color w:val="24292F"/>
                    <w:sz w:val="17"/>
                  </w:rPr>
                  <w:t>77.99%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5"/>
                <w:alias w:val="table_2a Row 1 Col 5"/>
              </w:sdtPr>
              <w:sdtContent>
                <w:r/>
                <w:r>
                  <w:rPr>
                    <w:color w:val="24292F"/>
                    <w:sz w:val="17"/>
                  </w:rPr>
                  <w:t>1.26%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6"/>
                <w:alias w:val="table_2a Row 1 Col 6"/>
              </w:sdtPr>
              <w:sdtContent>
                <w:r/>
                <w:r>
                  <w:rPr>
                    <w:color w:val="24292F"/>
                    <w:sz w:val="17"/>
                  </w:rPr>
                  <w:t>77.43%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7"/>
                <w:alias w:val="table_2a Row 1 Col 7"/>
              </w:sdtPr>
              <w:sdtContent>
                <w:r/>
                <w:r>
                  <w:rPr>
                    <w:color w:val="24292F"/>
                    <w:sz w:val="17"/>
                  </w:rPr>
                  <w:t>87.50%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8"/>
                <w:alias w:val="table_2a Row 1 Col 8"/>
              </w:sdtPr>
              <w:sdtContent>
                <w:r/>
                <w:r>
                  <w:rPr>
                    <w:color w:val="24292F"/>
                    <w:sz w:val="17"/>
                  </w:rPr>
                  <w:t>+10.07 pp</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0"/>
                <w:alias w:val="table_2a Row 2 Col 0"/>
              </w:sdtPr>
              <w:sdtContent>
                <w:r/>
                <w:r>
                  <w:rPr>
                    <w:rFonts w:ascii="Consolas" w:hAnsi="Consolas"/>
                    <w:color w:val="8A1F11"/>
                    <w:sz w:val="17"/>
                  </w:rPr>
                  <w:t>rag_k1</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1"/>
                <w:alias w:val="table_2a Row 2 Col 1"/>
              </w:sdtPr>
              <w:sdtContent>
                <w:r/>
                <w:r>
                  <w:rPr>
                    <w:color w:val="24292F"/>
                    <w:sz w:val="17"/>
                  </w:rPr>
                  <w:t>1</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2"/>
                <w:alias w:val="table_2a Row 2 Col 2"/>
              </w:sdtPr>
              <w:sdtContent>
                <w:r/>
                <w:r>
                  <w:rPr>
                    <w:color w:val="24292F"/>
                    <w:sz w:val="17"/>
                  </w:rPr>
                  <w:t>718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3"/>
                <w:alias w:val="table_2a Row 2 Col 3"/>
              </w:sdtPr>
              <w:sdtContent>
                <w:r/>
                <w:r>
                  <w:rPr>
                    <w:color w:val="24292F"/>
                    <w:sz w:val="17"/>
                  </w:rPr>
                  <w:t>77.02%</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4"/>
                <w:alias w:val="table_2a Row 2 Col 4"/>
              </w:sdtPr>
              <w:sdtContent>
                <w:r/>
                <w:r>
                  <w:rPr>
                    <w:color w:val="24292F"/>
                    <w:sz w:val="17"/>
                  </w:rPr>
                  <w:t>77.02%</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5"/>
                <w:alias w:val="table_2a Row 2 Col 5"/>
              </w:sdtPr>
              <w:sdtContent>
                <w:r/>
                <w:r>
                  <w:rPr>
                    <w:color w:val="24292F"/>
                    <w:sz w:val="17"/>
                  </w:rPr>
                  <w:t>1.27%</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6"/>
                <w:alias w:val="table_2a Row 2 Col 6"/>
              </w:sdtPr>
              <w:sdtContent>
                <w:r/>
                <w:r>
                  <w:rPr>
                    <w:color w:val="24292F"/>
                    <w:sz w:val="17"/>
                  </w:rPr>
                  <w:t>75.66%</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7"/>
                <w:alias w:val="table_2a Row 2 Col 7"/>
              </w:sdtPr>
              <w:sdtContent>
                <w:r/>
                <w:r>
                  <w:rPr>
                    <w:color w:val="24292F"/>
                    <w:sz w:val="17"/>
                  </w:rPr>
                  <w:t>100.00%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8"/>
                <w:alias w:val="table_2a Row 2 Col 8"/>
              </w:sdtPr>
              <w:sdtContent>
                <w:r/>
                <w:r>
                  <w:rPr>
                    <w:color w:val="24292F"/>
                    <w:sz w:val="17"/>
                  </w:rPr>
                  <w:t>+24.34 pp</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0"/>
                <w:alias w:val="table_2a Row 3 Col 0"/>
              </w:sdtPr>
              <w:sdtContent>
                <w:r/>
                <w:r>
                  <w:rPr>
                    <w:rFonts w:ascii="Consolas" w:hAnsi="Consolas"/>
                    <w:color w:val="8A1F11"/>
                    <w:sz w:val="17"/>
                  </w:rPr>
                  <w:t>rag_k3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1"/>
                <w:alias w:val="table_2a Row 3 Col 1"/>
              </w:sdtPr>
              <w:sdtContent>
                <w:r/>
                <w:r>
                  <w:rPr>
                    <w:color w:val="24292F"/>
                    <w:sz w:val="17"/>
                  </w:rPr>
                  <w:t>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2"/>
                <w:alias w:val="table_2a Row 3 Col 2"/>
              </w:sdtPr>
              <w:sdtContent>
                <w:r/>
                <w:r>
                  <w:rPr>
                    <w:color w:val="24292F"/>
                    <w:sz w:val="17"/>
                  </w:rPr>
                  <w:t>718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3"/>
                <w:alias w:val="table_2a Row 3 Col 3"/>
              </w:sdtPr>
              <w:sdtContent>
                <w:r/>
                <w:r>
                  <w:rPr>
                    <w:color w:val="24292F"/>
                    <w:sz w:val="17"/>
                  </w:rPr>
                  <w:t>78.55%</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4"/>
                <w:alias w:val="table_2a Row 3 Col 4"/>
              </w:sdtPr>
              <w:sdtContent>
                <w:r/>
                <w:r>
                  <w:rPr>
                    <w:color w:val="24292F"/>
                    <w:sz w:val="17"/>
                  </w:rPr>
                  <w:t>78.55%</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5"/>
                <w:alias w:val="table_2a Row 3 Col 5"/>
              </w:sdtPr>
              <w:sdtContent>
                <w:r/>
                <w:r>
                  <w:rPr>
                    <w:color w:val="24292F"/>
                    <w:sz w:val="17"/>
                  </w:rPr>
                  <w:t>1.36%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6"/>
                <w:alias w:val="table_2a Row 3 Col 6"/>
              </w:sdtPr>
              <w:sdtContent>
                <w:r/>
                <w:r>
                  <w:rPr>
                    <w:color w:val="24292F"/>
                    <w:sz w:val="17"/>
                  </w:rPr>
                  <w:t>77.29%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7"/>
                <w:alias w:val="table_2a Row 3 Col 7"/>
              </w:sdtPr>
              <w:sdtContent>
                <w:r/>
                <w:r>
                  <w:rPr>
                    <w:color w:val="24292F"/>
                    <w:sz w:val="17"/>
                  </w:rPr>
                  <w:t>100.00%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8"/>
                <w:alias w:val="table_2a Row 3 Col 8"/>
              </w:sdtPr>
              <w:sdtContent>
                <w:r/>
                <w:r>
                  <w:rPr>
                    <w:color w:val="24292F"/>
                    <w:sz w:val="17"/>
                  </w:rPr>
                  <w:t>+22.71 pp</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0"/>
                <w:alias w:val="table_2a Row 4 Col 0"/>
              </w:sdtPr>
              <w:sdtContent>
                <w:r/>
                <w:r>
                  <w:rPr>
                    <w:rFonts w:ascii="Consolas" w:hAnsi="Consolas"/>
                    <w:color w:val="8A1F11"/>
                    <w:sz w:val="17"/>
                  </w:rPr>
                  <w:t>rag_k5</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1"/>
                <w:alias w:val="table_2a Row 4 Col 1"/>
              </w:sdtPr>
              <w:sdtContent>
                <w:r/>
                <w:r>
                  <w:rPr>
                    <w:color w:val="24292F"/>
                    <w:sz w:val="17"/>
                  </w:rPr>
                  <w:t>5</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2"/>
                <w:alias w:val="table_2a Row 4 Col 2"/>
              </w:sdtPr>
              <w:sdtContent>
                <w:r/>
                <w:r>
                  <w:rPr>
                    <w:color w:val="24292F"/>
                    <w:sz w:val="17"/>
                  </w:rPr>
                  <w:t>718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3"/>
                <w:alias w:val="table_2a Row 4 Col 3"/>
              </w:sdtPr>
              <w:sdtContent>
                <w:r/>
                <w:r>
                  <w:rPr>
                    <w:color w:val="24292F"/>
                    <w:sz w:val="17"/>
                  </w:rPr>
                  <w:t>78.83%</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4"/>
                <w:alias w:val="table_2a Row 4 Col 4"/>
              </w:sdtPr>
              <w:sdtContent>
                <w:r/>
                <w:r>
                  <w:rPr>
                    <w:color w:val="24292F"/>
                    <w:sz w:val="17"/>
                  </w:rPr>
                  <w:t>78.83%</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5"/>
                <w:alias w:val="table_2a Row 4 Col 5"/>
              </w:sdtPr>
              <w:sdtContent>
                <w:r/>
                <w:r>
                  <w:rPr>
                    <w:color w:val="24292F"/>
                    <w:sz w:val="17"/>
                  </w:rPr>
                  <w:t>1.39%</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6"/>
                <w:alias w:val="table_2a Row 4 Col 6"/>
              </w:sdtPr>
              <w:sdtContent>
                <w:r/>
                <w:r>
                  <w:rPr>
                    <w:color w:val="24292F"/>
                    <w:sz w:val="17"/>
                  </w:rPr>
                  <w:t>77.58%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7"/>
                <w:alias w:val="table_2a Row 4 Col 7"/>
              </w:sdtPr>
              <w:sdtContent>
                <w:r/>
                <w:r>
                  <w:rPr>
                    <w:color w:val="24292F"/>
                    <w:sz w:val="17"/>
                  </w:rPr>
                  <w:t>100.00%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8"/>
                <w:alias w:val="table_2a Row 4 Col 8"/>
              </w:sdtPr>
              <w:sdtContent>
                <w:r/>
                <w:r>
                  <w:rPr>
                    <w:color w:val="24292F"/>
                    <w:sz w:val="17"/>
                  </w:rPr>
                  <w:t>+22.42 pp</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0"/>
                <w:alias w:val="table_2a Row 5 Col 0"/>
              </w:sdtPr>
              <w:sdtContent>
                <w:r/>
                <w:r>
                  <w:rPr>
                    <w:rFonts w:ascii="Consolas" w:hAnsi="Consolas"/>
                    <w:color w:val="8A1F11"/>
                    <w:sz w:val="17"/>
                  </w:rPr>
                  <w:t>rag_k10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1"/>
                <w:alias w:val="table_2a Row 5 Col 1"/>
              </w:sdtPr>
              <w:sdtContent>
                <w:r/>
                <w:r>
                  <w:rPr>
                    <w:color w:val="24292F"/>
                    <w:sz w:val="17"/>
                  </w:rPr>
                  <w:t>10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2"/>
                <w:alias w:val="table_2a Row 5 Col 2"/>
              </w:sdtPr>
              <w:sdtContent>
                <w:r/>
                <w:r>
                  <w:rPr>
                    <w:color w:val="24292F"/>
                    <w:sz w:val="17"/>
                  </w:rPr>
                  <w:t>718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3"/>
                <w:alias w:val="table_2a Row 5 Col 3"/>
              </w:sdtPr>
              <w:sdtContent>
                <w:r/>
                <w:r>
                  <w:rPr>
                    <w:color w:val="24292F"/>
                    <w:sz w:val="17"/>
                  </w:rPr>
                  <w:t>79.53%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4"/>
                <w:alias w:val="table_2a Row 5 Col 4"/>
              </w:sdtPr>
              <w:sdtContent>
                <w:r/>
                <w:r>
                  <w:rPr>
                    <w:color w:val="24292F"/>
                    <w:sz w:val="17"/>
                  </w:rPr>
                  <w:t>79.53%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5"/>
                <w:alias w:val="table_2a Row 5 Col 5"/>
              </w:sdtPr>
              <w:sdtContent>
                <w:r/>
                <w:r>
                  <w:rPr>
                    <w:color w:val="24292F"/>
                    <w:sz w:val="17"/>
                  </w:rPr>
                  <w:t>1.40%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6"/>
                <w:alias w:val="table_2a Row 5 Col 6"/>
              </w:sdtPr>
              <w:sdtContent>
                <w:r/>
                <w:r>
                  <w:rPr>
                    <w:color w:val="24292F"/>
                    <w:sz w:val="17"/>
                  </w:rPr>
                  <w:t>78.32%</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7"/>
                <w:alias w:val="table_2a Row 5 Col 7"/>
              </w:sdtPr>
              <w:sdtContent>
                <w:r/>
                <w:r>
                  <w:rPr>
                    <w:color w:val="24292F"/>
                    <w:sz w:val="17"/>
                  </w:rPr>
                  <w:t>100.00%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8"/>
                <w:alias w:val="table_2a Row 5 Col 8"/>
              </w:sdtPr>
              <w:sdtContent>
                <w:r/>
                <w:r>
                  <w:rPr>
                    <w:color w:val="24292F"/>
                    <w:sz w:val="17"/>
                  </w:rPr>
                  <w:t>+21.68 pp</w:t>
                </w:r>
              </w:sdtContent>
            </w:sdt>
          </w:p>
        </w:tc>
      </w:tr>
    </w:tbl>
    <w:p>
      <w:pPr>
        <w:spacing w:after="120"/>
      </w:pPr>
    </w:p>
    <w:p>
      <w:pPr>
        <w:keepNext/>
        <w:spacing w:before="200" w:after="60"/>
        <w:jc w:val="center"/>
      </w:pPr>
      <w:sdt>
        <w:sdtPr>
          <w:tag w:val="fig_2"/>
          <w:alias w:val="Figure 2"/>
        </w:sdtPr>
        <w:sdtContent>
          <w:r>
            <w:drawing>
              <wp:inline xmlns:a="http://schemas.openxmlformats.org/drawingml/2006/main" xmlns:pic="http://schemas.openxmlformats.org/drawingml/2006/picture">
                <wp:extent cx="5943600" cy="3566160"/>
                <wp:docPr id="2" name="Picture 2"/>
                <wp:cNvGraphicFramePr>
                  <a:graphicFrameLocks noChangeAspect="1"/>
                </wp:cNvGraphicFramePr>
                <a:graphic>
                  <a:graphicData uri="http://schemas.openxmlformats.org/drawingml/2006/picture">
                    <pic:pic>
                      <pic:nvPicPr>
                        <pic:cNvPr id="0" name="fig2_accuracy_vs_k.png"/>
                        <pic:cNvPicPr/>
                      </pic:nvPicPr>
                      <pic:blipFill>
                        <a:blip r:embed="rId11"/>
                        <a:stretch>
                          <a:fillRect/>
                        </a:stretch>
                      </pic:blipFill>
                      <pic:spPr>
                        <a:xfrm>
                          <a:off x="0" y="0"/>
                          <a:ext cx="5943600" cy="3566160"/>
                        </a:xfrm>
                        <a:prstGeom prst="rect"/>
                      </pic:spPr>
                    </pic:pic>
                  </a:graphicData>
                </a:graphic>
              </wp:inline>
            </w:drawing>
          </w:r>
        </w:sdtContent>
      </w:sdt>
    </w:p>
    <w:p>
      <w:pPr>
        <w:spacing w:before="40" w:after="200"/>
        <w:jc w:val="center"/>
      </w:pPr>
      <w:r>
        <w:rPr>
          <w:i/>
          <w:color w:val="57606A"/>
          <w:sz w:val="19"/>
        </w:rPr>
        <w:t>Figure 2: Attribution Accuracy vs. Candidate Depth k across Conditions (N=718 Scorable Views with 95% Bootstrap CI).</w:t>
      </w:r>
    </w:p>
    <w:p>
      <w:pPr>
        <w:keepNext/>
        <w:spacing w:before="200" w:after="60"/>
        <w:jc w:val="center"/>
      </w:pPr>
      <w:sdt>
        <w:sdtPr>
          <w:tag w:val="fig_3"/>
          <w:alias w:val="Figure 3"/>
        </w:sdtPr>
        <w:sdtContent>
          <w:r>
            <w:drawing>
              <wp:inline xmlns:a="http://schemas.openxmlformats.org/drawingml/2006/main" xmlns:pic="http://schemas.openxmlformats.org/drawingml/2006/picture">
                <wp:extent cx="5943600" cy="3566160"/>
                <wp:docPr id="3" name="Picture 3"/>
                <wp:cNvGraphicFramePr>
                  <a:graphicFrameLocks noChangeAspect="1"/>
                </wp:cNvGraphicFramePr>
                <a:graphic>
                  <a:graphicData uri="http://schemas.openxmlformats.org/drawingml/2006/picture">
                    <pic:pic>
                      <pic:nvPicPr>
                        <pic:cNvPr id="0" name="fig3_macro_f1_vs_k.png"/>
                        <pic:cNvPicPr/>
                      </pic:nvPicPr>
                      <pic:blipFill>
                        <a:blip r:embed="rId12"/>
                        <a:stretch>
                          <a:fillRect/>
                        </a:stretch>
                      </pic:blipFill>
                      <pic:spPr>
                        <a:xfrm>
                          <a:off x="0" y="0"/>
                          <a:ext cx="5943600" cy="3566160"/>
                        </a:xfrm>
                        <a:prstGeom prst="rect"/>
                      </pic:spPr>
                    </pic:pic>
                  </a:graphicData>
                </a:graphic>
              </wp:inline>
            </w:drawing>
          </w:r>
        </w:sdtContent>
      </w:sdt>
    </w:p>
    <w:p>
      <w:pPr>
        <w:spacing w:before="40" w:after="200"/>
        <w:jc w:val="center"/>
      </w:pPr>
      <w:r>
        <w:rPr>
          <w:i/>
          <w:color w:val="57606A"/>
          <w:sz w:val="19"/>
        </w:rPr>
        <w:t>Figure 3: 474-Class Macro-F1 Performance across Retrieval Depths (8 Active Supported Classes vs. 466 Zero-Support Universe Classes).</w:t>
      </w:r>
    </w:p>
    <w:p>
      <w:pPr>
        <w:keepNext/>
        <w:spacing w:before="160" w:after="60"/>
      </w:pPr>
      <w:r>
        <w:rPr>
          <w:i/>
          <w:color w:val="1F2328"/>
          <w:sz w:val="20"/>
        </w:rPr>
        <w:t>Table 2b: Attribution Diagnostic Metrics Across Experimental Conditions.</w:t>
      </w:r>
    </w:p>
    <w:tbl>
      <w:tblPr>
        <w:tblW w:type="auto" w:w="0"/>
        <w:jc w:val="center"/>
        <w:tblLayout w:type="fixed"/>
        <w:tblLook w:firstColumn="1" w:firstRow="1" w:lastColumn="0" w:lastRow="0" w:noHBand="0" w:noVBand="1" w:val="04A0"/>
        <w:tblCaption w:val="Table 2b: Attribution Diagnostic Metrics"/>
        <w:tblDescription w:val="table_2b"/>
      </w:tblPr>
      <w:tblGrid>
        <w:gridCol w:w="1584"/>
        <w:gridCol w:w="1440"/>
        <w:gridCol w:w="1656"/>
        <w:gridCol w:w="1584"/>
        <w:gridCol w:w="1584"/>
        <w:gridCol w:w="1512"/>
      </w:tblGrid>
      <w:tr>
        <w:trPr>
          <w:cantSplit/>
          <w:tblHeader/>
        </w:trPr>
        <w:tc>
          <w:tcPr>
            <w:tcW w:type="dxa" w:w="158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0"/>
                <w:alias w:val="table_2b Row 0 Col 0"/>
              </w:sdtPr>
              <w:sdtContent>
                <w:r/>
                <w:r>
                  <w:rPr>
                    <w:b/>
                    <w:color w:val="FFFFFF"/>
                    <w:sz w:val="18"/>
                  </w:rPr>
                  <w:t>Condition</w:t>
                </w:r>
              </w:sdtContent>
            </w:sdt>
          </w:p>
        </w:tc>
        <w:tc>
          <w:tcPr>
            <w:tcW w:type="dxa" w:w="144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1"/>
                <w:alias w:val="table_2b Row 0 Col 1"/>
              </w:sdtPr>
              <w:sdtContent>
                <w:r/>
                <w:r>
                  <w:rPr>
                    <w:b/>
                    <w:color w:val="FFFFFF"/>
                    <w:sz w:val="18"/>
                  </w:rPr>
                  <w:t>Scorable Views (</w:t>
                </w:r>
                <m:oMath>
                  <m:r>
                    <w:rPr>
                      <w:color w:val="FFFFFF"/>
                      <w:sz w:val="18"/>
                      <w:b/>
                    </w:rPr>
                    <m:t>N</m:t>
                  </m:r>
                </m:oMath>
                <w:r>
                  <w:rPr>
                    <w:b/>
                    <w:color w:val="FFFFFF"/>
                    <w:sz w:val="18"/>
                  </w:rPr>
                  <w:t>)</w:t>
                </w:r>
              </w:sdtContent>
            </w:sdt>
          </w:p>
        </w:tc>
        <w:tc>
          <w:tcPr>
            <w:tcW w:type="dxa" w:w="165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2"/>
                <w:alias w:val="table_2b Row 0 Col 2"/>
              </w:sdtPr>
              <w:sdtContent>
                <w:r/>
                <w:r>
                  <w:rPr>
                    <w:b/>
                    <w:color w:val="FFFFFF"/>
                    <w:sz w:val="18"/>
                  </w:rPr>
                  <w:t>Completed Outputs</w:t>
                </w:r>
              </w:sdtContent>
            </w:sdt>
          </w:p>
        </w:tc>
        <w:tc>
          <w:tcPr>
            <w:tcW w:type="dxa" w:w="158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3"/>
                <w:alias w:val="table_2b Row 0 Col 3"/>
              </w:sdtPr>
              <w:sdtContent>
                <w:r/>
                <w:r>
                  <w:rPr>
                    <w:b/>
                    <w:color w:val="FFFFFF"/>
                    <w:sz w:val="18"/>
                  </w:rPr>
                  <w:t>Parse Failures</w:t>
                </w:r>
              </w:sdtContent>
            </w:sdt>
          </w:p>
        </w:tc>
        <w:tc>
          <w:tcPr>
            <w:tcW w:type="dxa" w:w="158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4"/>
                <w:alias w:val="table_2b Row 0 Col 4"/>
              </w:sdtPr>
              <w:sdtContent>
                <w:r/>
                <w:r>
                  <w:rPr>
                    <w:b/>
                    <w:color w:val="FFFFFF"/>
                    <w:sz w:val="18"/>
                  </w:rPr>
                  <w:t>Invalid ATT&amp;CK IDs</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5"/>
                <w:alias w:val="table_2b Row 0 Col 5"/>
              </w:sdtPr>
              <w:sdtContent>
                <w:r/>
                <w:r>
                  <w:rPr>
                    <w:b/>
                    <w:color w:val="FFFFFF"/>
                    <w:sz w:val="18"/>
                  </w:rPr>
                  <w:t>Invalid ID Rate (%)</w:t>
                </w:r>
              </w:sdtContent>
            </w:sdt>
          </w:p>
        </w:tc>
      </w:tr>
      <w:tr>
        <w:trPr>
          <w:cantSplit/>
        </w:trPr>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0"/>
                <w:alias w:val="table_2b Row 1 Col 0"/>
              </w:sdtPr>
              <w:sdtContent>
                <w:r/>
                <w:r>
                  <w:rPr>
                    <w:rFonts w:ascii="Consolas" w:hAnsi="Consolas"/>
                    <w:color w:val="8A1F11"/>
                    <w:sz w:val="18"/>
                  </w:rPr>
                  <w:t>no_rag</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1"/>
                <w:alias w:val="table_2b Row 1 Col 1"/>
              </w:sdtPr>
              <w:sdtContent>
                <w:r/>
                <w:r>
                  <w:rPr>
                    <w:color w:val="24292F"/>
                    <w:sz w:val="18"/>
                  </w:rPr>
                  <w:t>718</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2"/>
                <w:alias w:val="table_2b Row 1 Col 2"/>
              </w:sdtPr>
              <w:sdtContent>
                <w:r/>
                <w:r>
                  <w:rPr>
                    <w:color w:val="24292F"/>
                    <w:sz w:val="18"/>
                  </w:rPr>
                  <w:t>1,280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3"/>
                <w:alias w:val="table_2b Row 1 Col 3"/>
              </w:sdtPr>
              <w:sdtContent>
                <w:r/>
                <w:r>
                  <w:rPr>
                    <w:color w:val="24292F"/>
                    <w:sz w:val="18"/>
                  </w:rPr>
                  <w:t>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4"/>
                <w:alias w:val="table_2b Row 1 Col 4"/>
              </w:sdtPr>
              <w:sdtContent>
                <w:r/>
                <w:r>
                  <w:rPr>
                    <w:color w:val="24292F"/>
                    <w:sz w:val="18"/>
                  </w:rPr>
                  <w:t>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5"/>
                <w:alias w:val="table_2b Row 1 Col 5"/>
              </w:sdtPr>
              <w:sdtContent>
                <w:r/>
                <w:r>
                  <w:rPr>
                    <w:color w:val="24292F"/>
                    <w:sz w:val="18"/>
                  </w:rPr>
                  <w:t>0.00%</w:t>
                </w:r>
              </w:sdtContent>
            </w:sdt>
          </w:p>
        </w:tc>
      </w:tr>
      <w:tr>
        <w:trPr>
          <w:cantSplit/>
        </w:trPr>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0"/>
                <w:alias w:val="table_2b Row 2 Col 0"/>
              </w:sdtPr>
              <w:sdtContent>
                <w:r/>
                <w:r>
                  <w:rPr>
                    <w:rFonts w:ascii="Consolas" w:hAnsi="Consolas"/>
                    <w:color w:val="8A1F11"/>
                    <w:sz w:val="18"/>
                  </w:rPr>
                  <w:t>rag_k1</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1"/>
                <w:alias w:val="table_2b Row 2 Col 1"/>
              </w:sdtPr>
              <w:sdtContent>
                <w:r/>
                <w:r>
                  <w:rPr>
                    <w:color w:val="24292F"/>
                    <w:sz w:val="18"/>
                  </w:rPr>
                  <w:t>718</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2"/>
                <w:alias w:val="table_2b Row 2 Col 2"/>
              </w:sdtPr>
              <w:sdtContent>
                <w:r/>
                <w:r>
                  <w:rPr>
                    <w:color w:val="24292F"/>
                    <w:sz w:val="18"/>
                  </w:rPr>
                  <w:t>1,280</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3"/>
                <w:alias w:val="table_2b Row 2 Col 3"/>
              </w:sdtPr>
              <w:sdtContent>
                <w:r/>
                <w:r>
                  <w:rPr>
                    <w:color w:val="24292F"/>
                    <w:sz w:val="18"/>
                  </w:rPr>
                  <w:t>0</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4"/>
                <w:alias w:val="table_2b Row 2 Col 4"/>
              </w:sdtPr>
              <w:sdtContent>
                <w:r/>
                <w:r>
                  <w:rPr>
                    <w:color w:val="24292F"/>
                    <w:sz w:val="18"/>
                  </w:rPr>
                  <w:t>0</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5"/>
                <w:alias w:val="table_2b Row 2 Col 5"/>
              </w:sdtPr>
              <w:sdtContent>
                <w:r/>
                <w:r>
                  <w:rPr>
                    <w:color w:val="24292F"/>
                    <w:sz w:val="18"/>
                  </w:rPr>
                  <w:t>0.00%</w:t>
                </w:r>
              </w:sdtContent>
            </w:sdt>
          </w:p>
        </w:tc>
      </w:tr>
      <w:tr>
        <w:trPr>
          <w:cantSplit/>
        </w:trPr>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0"/>
                <w:alias w:val="table_2b Row 3 Col 0"/>
              </w:sdtPr>
              <w:sdtContent>
                <w:r/>
                <w:r>
                  <w:rPr>
                    <w:rFonts w:ascii="Consolas" w:hAnsi="Consolas"/>
                    <w:color w:val="8A1F11"/>
                    <w:sz w:val="18"/>
                  </w:rPr>
                  <w:t>rag_k3</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1"/>
                <w:alias w:val="table_2b Row 3 Col 1"/>
              </w:sdtPr>
              <w:sdtContent>
                <w:r/>
                <w:r>
                  <w:rPr>
                    <w:color w:val="24292F"/>
                    <w:sz w:val="18"/>
                  </w:rPr>
                  <w:t>718</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2"/>
                <w:alias w:val="table_2b Row 3 Col 2"/>
              </w:sdtPr>
              <w:sdtContent>
                <w:r/>
                <w:r>
                  <w:rPr>
                    <w:color w:val="24292F"/>
                    <w:sz w:val="18"/>
                  </w:rPr>
                  <w:t>1,274</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3"/>
                <w:alias w:val="table_2b Row 3 Col 3"/>
              </w:sdtPr>
              <w:sdtContent>
                <w:r/>
                <w:r>
                  <w:rPr>
                    <w:color w:val="24292F"/>
                    <w:sz w:val="18"/>
                  </w:rPr>
                  <w:t>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4"/>
                <w:alias w:val="table_2b Row 3 Col 4"/>
              </w:sdtPr>
              <w:sdtContent>
                <w:r/>
                <w:r>
                  <w:rPr>
                    <w:color w:val="24292F"/>
                    <w:sz w:val="18"/>
                  </w:rPr>
                  <w:t>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5"/>
                <w:alias w:val="table_2b Row 3 Col 5"/>
              </w:sdtPr>
              <w:sdtContent>
                <w:r/>
                <w:r>
                  <w:rPr>
                    <w:color w:val="24292F"/>
                    <w:sz w:val="18"/>
                  </w:rPr>
                  <w:t>0.00%</w:t>
                </w:r>
              </w:sdtContent>
            </w:sdt>
          </w:p>
        </w:tc>
      </w:tr>
      <w:tr>
        <w:trPr>
          <w:cantSplit/>
        </w:trPr>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0"/>
                <w:alias w:val="table_2b Row 4 Col 0"/>
              </w:sdtPr>
              <w:sdtContent>
                <w:r/>
                <w:r>
                  <w:rPr>
                    <w:rFonts w:ascii="Consolas" w:hAnsi="Consolas"/>
                    <w:color w:val="8A1F11"/>
                    <w:sz w:val="18"/>
                  </w:rPr>
                  <w:t>rag_k5</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1"/>
                <w:alias w:val="table_2b Row 4 Col 1"/>
              </w:sdtPr>
              <w:sdtContent>
                <w:r/>
                <w:r>
                  <w:rPr>
                    <w:color w:val="24292F"/>
                    <w:sz w:val="18"/>
                  </w:rPr>
                  <w:t>718</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2"/>
                <w:alias w:val="table_2b Row 4 Col 2"/>
              </w:sdtPr>
              <w:sdtContent>
                <w:r/>
                <w:r>
                  <w:rPr>
                    <w:color w:val="24292F"/>
                    <w:sz w:val="18"/>
                  </w:rPr>
                  <w:t>1,277</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3"/>
                <w:alias w:val="table_2b Row 4 Col 3"/>
              </w:sdtPr>
              <w:sdtContent>
                <w:r/>
                <w:r>
                  <w:rPr>
                    <w:color w:val="24292F"/>
                    <w:sz w:val="18"/>
                  </w:rPr>
                  <w:t>0</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4"/>
                <w:alias w:val="table_2b Row 4 Col 4"/>
              </w:sdtPr>
              <w:sdtContent>
                <w:r/>
                <w:r>
                  <w:rPr>
                    <w:color w:val="24292F"/>
                    <w:sz w:val="18"/>
                  </w:rPr>
                  <w:t>0</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5"/>
                <w:alias w:val="table_2b Row 4 Col 5"/>
              </w:sdtPr>
              <w:sdtContent>
                <w:r/>
                <w:r>
                  <w:rPr>
                    <w:color w:val="24292F"/>
                    <w:sz w:val="18"/>
                  </w:rPr>
                  <w:t>0.00%</w:t>
                </w:r>
              </w:sdtContent>
            </w:sdt>
          </w:p>
        </w:tc>
      </w:tr>
      <w:tr>
        <w:trPr>
          <w:cantSplit/>
        </w:trPr>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0"/>
                <w:alias w:val="table_2b Row 5 Col 0"/>
              </w:sdtPr>
              <w:sdtContent>
                <w:r/>
                <w:r>
                  <w:rPr>
                    <w:rFonts w:ascii="Consolas" w:hAnsi="Consolas"/>
                    <w:color w:val="8A1F11"/>
                    <w:sz w:val="18"/>
                  </w:rPr>
                  <w:t>rag_k10</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1"/>
                <w:alias w:val="table_2b Row 5 Col 1"/>
              </w:sdtPr>
              <w:sdtContent>
                <w:r/>
                <w:r>
                  <w:rPr>
                    <w:color w:val="24292F"/>
                    <w:sz w:val="18"/>
                  </w:rPr>
                  <w:t>718</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2"/>
                <w:alias w:val="table_2b Row 5 Col 2"/>
              </w:sdtPr>
              <w:sdtContent>
                <w:r/>
                <w:r>
                  <w:rPr>
                    <w:color w:val="24292F"/>
                    <w:sz w:val="18"/>
                  </w:rPr>
                  <w:t>1,276</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3"/>
                <w:alias w:val="table_2b Row 5 Col 3"/>
              </w:sdtPr>
              <w:sdtContent>
                <w:r/>
                <w:r>
                  <w:rPr>
                    <w:color w:val="24292F"/>
                    <w:sz w:val="18"/>
                  </w:rPr>
                  <w:t>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4"/>
                <w:alias w:val="table_2b Row 5 Col 4"/>
              </w:sdtPr>
              <w:sdtContent>
                <w:r/>
                <w:r>
                  <w:rPr>
                    <w:color w:val="24292F"/>
                    <w:sz w:val="18"/>
                  </w:rPr>
                  <w:t>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5"/>
                <w:alias w:val="table_2b Row 5 Col 5"/>
              </w:sdtPr>
              <w:sdtContent>
                <w:r/>
                <w:r>
                  <w:rPr>
                    <w:color w:val="24292F"/>
                    <w:sz w:val="18"/>
                  </w:rPr>
                  <w:t>0.00%</w:t>
                </w:r>
              </w:sdtContent>
            </w:sdt>
          </w:p>
        </w:tc>
      </w:tr>
    </w:tbl>
    <w:p>
      <w:pPr>
        <w:spacing w:after="120"/>
      </w:pPr>
    </w:p>
    <w:p>
      <w:pPr>
        <w:pStyle w:val="Heading3"/>
        <w:keepNext/>
        <w:spacing w:before="160" w:after="40"/>
      </w:pPr>
      <w:r>
        <w:rPr>
          <w:rFonts w:ascii="Calibri" w:hAnsi="Calibri"/>
          <w:b/>
          <w:i/>
          <w:color w:val="333344"/>
          <w:sz w:val="22"/>
        </w:rPr>
        <w:t>Comparative Attribution Efficacy and Statistical Significance Boundaries</w:t>
      </w:r>
    </w:p>
    <w:p>
      <w:r>
        <w:t xml:space="preserve">Across the 718 scorable mapped positive TEST views, retrieval depth </w:t>
      </w:r>
      <m:oMath>
        <m:r>
          <m:t>k</m:t>
        </m:r>
        <m:r>
          <m:t>=</m:t>
        </m:r>
        <m:r>
          <m:t>10</m:t>
        </m:r>
      </m:oMath>
      <w:r>
        <w:t xml:space="preserve"> (</w:t>
      </w:r>
      <w:r>
        <w:rPr>
          <w:rFonts w:ascii="Consolas" w:hAnsi="Consolas"/>
          <w:color w:val="8A1F11"/>
          <w:sz w:val="19"/>
        </w:rPr>
        <w:t>rag_k10</w:t>
      </w:r>
      <w:r>
        <w:t>) achieved the highest observed point estimate for headline attribution accuracy under uncertainty (</w:t>
      </w:r>
      <m:oMath>
        <m:r>
          <m:t>79</m:t>
        </m:r>
        <m:r>
          <m:t>.</m:t>
        </m:r>
        <m:r>
          <m:t>526</m:t>
        </m:r>
        <m:r>
          <m:t>%</m:t>
        </m:r>
      </m:oMath>
      <w:r>
        <w:t>, 571/718 correct) compared to the unaugmented baseline (</w:t>
      </w:r>
      <w:r>
        <w:rPr>
          <w:rFonts w:ascii="Consolas" w:hAnsi="Consolas"/>
          <w:color w:val="8A1F11"/>
          <w:sz w:val="19"/>
        </w:rPr>
        <w:t>no_rag</w:t>
      </w:r>
      <w:r>
        <w:t xml:space="preserve">: </w:t>
      </w:r>
      <m:oMath>
        <m:r>
          <m:t>77</m:t>
        </m:r>
        <m:r>
          <m:t>.</m:t>
        </m:r>
        <m:r>
          <m:t>994</m:t>
        </m:r>
        <m:r>
          <m:t>%</m:t>
        </m:r>
      </m:oMath>
      <w:r>
        <w:t xml:space="preserve">, 560/718 correct), representing an observed point difference of </w:t>
      </w:r>
      <m:oMath>
        <m:r>
          <m:t>Δ</m:t>
        </m:r>
        <m:r>
          <m:t>=</m:t>
        </m:r>
        <m:r>
          <m:t>+</m:t>
        </m:r>
        <m:r>
          <m:t>1</m:t>
        </m:r>
        <m:r>
          <m:t>.</m:t>
        </m:r>
        <m:r>
          <m:t>532</m:t>
        </m:r>
        <m:r>
          <m:rPr>
            <m:nor/>
          </m:rPr>
          <m:t> percentage points</m:t>
        </m:r>
      </m:oMath>
      <w:r>
        <w:t xml:space="preserve"> (+11 net views). Although </w:t>
      </w:r>
      <m:oMath>
        <m:r>
          <m:t>k</m:t>
        </m:r>
        <m:r>
          <m:t>=</m:t>
        </m:r>
        <m:r>
          <m:t>10</m:t>
        </m:r>
      </m:oMath>
      <w:r>
        <w:t xml:space="preserve"> displays a higher observed point accuracy than baseline, this difference is not statistically significant (</w:t>
      </w:r>
      <m:oMath>
        <m:r>
          <m:t>p</m:t>
        </m:r>
        <m:r>
          <m:t>=</m:t>
        </m:r>
        <m:r>
          <m:t>0</m:t>
        </m:r>
        <m:r>
          <m:t>.</m:t>
        </m:r>
        <m:r>
          <m:t>4219</m:t>
        </m:r>
      </m:oMath>
      <w:r>
        <w:t xml:space="preserve">; 95% bootstrap CI spans zero). Intermediate retrieval depths exhibited comparable or slightly reduced point estimates: </w:t>
      </w:r>
      <m:oMath>
        <m:r>
          <m:t>77</m:t>
        </m:r>
        <m:r>
          <m:t>.</m:t>
        </m:r>
        <m:r>
          <m:t>019</m:t>
        </m:r>
        <m:r>
          <m:t>%</m:t>
        </m:r>
      </m:oMath>
      <w:r>
        <w:t xml:space="preserve"> for </w:t>
      </w:r>
      <m:oMath>
        <m:r>
          <m:t>k</m:t>
        </m:r>
        <m:r>
          <m:t>=</m:t>
        </m:r>
        <m:r>
          <m:t>1</m:t>
        </m:r>
      </m:oMath>
      <w:r>
        <w:t xml:space="preserve"> (553/718, </w:t>
      </w:r>
      <m:oMath>
        <m:r>
          <m:t>Δ</m:t>
        </m:r>
        <m:r>
          <m:t>=</m:t>
        </m:r>
        <m:r>
          <m:t>-</m:t>
        </m:r>
        <m:r>
          <m:t>0</m:t>
        </m:r>
        <m:r>
          <m:t>.</m:t>
        </m:r>
        <m:r>
          <m:t>975</m:t>
        </m:r>
        <m:r>
          <m:rPr>
            <m:nor/>
          </m:rPr>
          <m:t> pp</m:t>
        </m:r>
      </m:oMath>
      <w:r>
        <w:t xml:space="preserve">), </w:t>
      </w:r>
      <m:oMath>
        <m:r>
          <m:t>78</m:t>
        </m:r>
        <m:r>
          <m:t>.</m:t>
        </m:r>
        <m:r>
          <m:t>552</m:t>
        </m:r>
        <m:r>
          <m:t>%</m:t>
        </m:r>
      </m:oMath>
      <w:r>
        <w:t xml:space="preserve"> for </w:t>
      </w:r>
      <m:oMath>
        <m:r>
          <m:t>k</m:t>
        </m:r>
        <m:r>
          <m:t>=</m:t>
        </m:r>
        <m:r>
          <m:t>3</m:t>
        </m:r>
      </m:oMath>
      <w:r>
        <w:t xml:space="preserve"> (564/718, </w:t>
      </w:r>
      <m:oMath>
        <m:r>
          <m:t>Δ</m:t>
        </m:r>
        <m:r>
          <m:t>=</m:t>
        </m:r>
        <m:r>
          <m:t>+</m:t>
        </m:r>
        <m:r>
          <m:t>0</m:t>
        </m:r>
        <m:r>
          <m:t>.</m:t>
        </m:r>
        <m:r>
          <m:t>557</m:t>
        </m:r>
        <m:r>
          <m:rPr>
            <m:nor/>
          </m:rPr>
          <m:t> pp</m:t>
        </m:r>
      </m:oMath>
      <w:r>
        <w:t xml:space="preserve">), and </w:t>
      </w:r>
      <m:oMath>
        <m:r>
          <m:t>78</m:t>
        </m:r>
        <m:r>
          <m:t>.</m:t>
        </m:r>
        <m:r>
          <m:t>830</m:t>
        </m:r>
        <m:r>
          <m:t>%</m:t>
        </m:r>
      </m:oMath>
      <w:r>
        <w:t xml:space="preserve"> for </w:t>
      </w:r>
      <m:oMath>
        <m:r>
          <m:t>k</m:t>
        </m:r>
        <m:r>
          <m:t>=</m:t>
        </m:r>
        <m:r>
          <m:t>5</m:t>
        </m:r>
      </m:oMath>
      <w:r>
        <w:t xml:space="preserve"> (566/718, </w:t>
      </w:r>
      <m:oMath>
        <m:r>
          <m:t>Δ</m:t>
        </m:r>
        <m:r>
          <m:t>=</m:t>
        </m:r>
        <m:r>
          <m:t>+</m:t>
        </m:r>
        <m:r>
          <m:t>0</m:t>
        </m:r>
        <m:r>
          <m:t>.</m:t>
        </m:r>
        <m:r>
          <m:t>836</m:t>
        </m:r>
        <m:r>
          <m:rPr>
            <m:nor/>
          </m:rPr>
          <m:t> pp</m:t>
        </m:r>
      </m:oMath>
      <w:r>
        <w:t>).</w:t>
      </w:r>
    </w:p>
    <w:p>
      <w:r>
        <w:t xml:space="preserve">To rigorously quantify estimation uncertainty, 95% confidence intervals were generated via cluster bootstrap resampling over the 440 valid pair clusters (clustering single and contextual views from identical scenario origins). Across all four RAG conditions relative to </w:t>
      </w:r>
      <w:r>
        <w:rPr>
          <w:rFonts w:ascii="Consolas" w:hAnsi="Consolas"/>
          <w:color w:val="8A1F11"/>
          <w:sz w:val="19"/>
        </w:rPr>
        <w:t>no_rag</w:t>
      </w:r>
      <w:r>
        <w:t>, the 95% bootstrap confidence intervals for accuracy delta span zero:</w:t>
      </w:r>
    </w:p>
    <w:p>
      <w:pPr>
        <w:pStyle w:val="ListBullet"/>
        <w:spacing w:after="40" w:line="276" w:lineRule="auto"/>
      </w:pPr>
      <m:oMath>
        <m:sSub>
          <m:e>
            <m:r>
              <m:t>Δ</m:t>
            </m:r>
          </m:e>
          <m:sub>
            <m:r>
              <m:t>k1</m:t>
            </m:r>
          </m:sub>
        </m:sSub>
        <m:r>
          <m:t>=</m:t>
        </m:r>
        <m:r>
          <m:t>[</m:t>
        </m:r>
        <m:r>
          <m:t>-</m:t>
        </m:r>
        <m:r>
          <m:t>3</m:t>
        </m:r>
        <m:r>
          <m:t>.</m:t>
        </m:r>
        <m:r>
          <m:t>186</m:t>
        </m:r>
        <m:r>
          <m:rPr>
            <m:nor/>
          </m:rPr>
          <m:t> pp</m:t>
        </m:r>
        <m:r>
          <m:t>,</m:t>
        </m:r>
        <m:r>
          <m:t>+</m:t>
        </m:r>
        <m:r>
          <m:t>1</m:t>
        </m:r>
        <m:r>
          <m:t>.</m:t>
        </m:r>
        <m:r>
          <m:t>124</m:t>
        </m:r>
        <m:r>
          <m:rPr>
            <m:nor/>
          </m:rPr>
          <m:t> pp</m:t>
        </m:r>
        <m:r>
          <m:t>]</m:t>
        </m:r>
      </m:oMath>
    </w:p>
    <w:p>
      <w:pPr>
        <w:pStyle w:val="ListBullet"/>
        <w:spacing w:after="40" w:line="276" w:lineRule="auto"/>
      </w:pPr>
      <m:oMath>
        <m:sSub>
          <m:e>
            <m:r>
              <m:t>Δ</m:t>
            </m:r>
          </m:e>
          <m:sub>
            <m:r>
              <m:t>k3</m:t>
            </m:r>
          </m:sub>
        </m:sSub>
        <m:r>
          <m:t>=</m:t>
        </m:r>
        <m:r>
          <m:t>[</m:t>
        </m:r>
        <m:r>
          <m:t>-</m:t>
        </m:r>
        <m:r>
          <m:t>2</m:t>
        </m:r>
        <m:r>
          <m:t>.</m:t>
        </m:r>
        <m:r>
          <m:t>786</m:t>
        </m:r>
        <m:r>
          <m:rPr>
            <m:nor/>
          </m:rPr>
          <m:t> pp</m:t>
        </m:r>
        <m:r>
          <m:t>,</m:t>
        </m:r>
        <m:r>
          <m:t>+</m:t>
        </m:r>
        <m:r>
          <m:t>3</m:t>
        </m:r>
        <m:r>
          <m:t>.</m:t>
        </m:r>
        <m:r>
          <m:t>934</m:t>
        </m:r>
        <m:r>
          <m:rPr>
            <m:nor/>
          </m:rPr>
          <m:t> pp</m:t>
        </m:r>
        <m:r>
          <m:t>]</m:t>
        </m:r>
      </m:oMath>
    </w:p>
    <w:p>
      <w:pPr>
        <w:pStyle w:val="ListBullet"/>
        <w:spacing w:after="40" w:line="276" w:lineRule="auto"/>
      </w:pPr>
      <m:oMath>
        <m:sSub>
          <m:e>
            <m:r>
              <m:t>Δ</m:t>
            </m:r>
          </m:e>
          <m:sub>
            <m:r>
              <m:t>k5</m:t>
            </m:r>
          </m:sub>
        </m:sSub>
        <m:r>
          <m:t>=</m:t>
        </m:r>
        <m:r>
          <m:t>[</m:t>
        </m:r>
        <m:r>
          <m:t>-</m:t>
        </m:r>
        <m:r>
          <m:t>2</m:t>
        </m:r>
        <m:r>
          <m:t>.</m:t>
        </m:r>
        <m:r>
          <m:t>934</m:t>
        </m:r>
        <m:r>
          <m:rPr>
            <m:nor/>
          </m:rPr>
          <m:t> pp</m:t>
        </m:r>
        <m:r>
          <m:t>,</m:t>
        </m:r>
        <m:r>
          <m:t>+</m:t>
        </m:r>
        <m:r>
          <m:t>4</m:t>
        </m:r>
        <m:r>
          <m:t>.</m:t>
        </m:r>
        <m:r>
          <m:t>603</m:t>
        </m:r>
        <m:r>
          <m:rPr>
            <m:nor/>
          </m:rPr>
          <m:t> pp</m:t>
        </m:r>
        <m:r>
          <m:t>]</m:t>
        </m:r>
      </m:oMath>
    </w:p>
    <w:p>
      <w:pPr>
        <w:pStyle w:val="ListBullet"/>
        <w:spacing w:after="40" w:line="276" w:lineRule="auto"/>
      </w:pPr>
      <m:oMath>
        <m:sSub>
          <m:e>
            <m:r>
              <m:t>Δ</m:t>
            </m:r>
          </m:e>
          <m:sub>
            <m:r>
              <m:t>k10</m:t>
            </m:r>
          </m:sub>
        </m:sSub>
        <m:r>
          <m:t>=</m:t>
        </m:r>
        <m:r>
          <m:t>[</m:t>
        </m:r>
        <m:r>
          <m:t>-</m:t>
        </m:r>
        <m:r>
          <m:t>2</m:t>
        </m:r>
        <m:r>
          <m:t>.</m:t>
        </m:r>
        <m:r>
          <m:t>355</m:t>
        </m:r>
        <m:r>
          <m:rPr>
            <m:nor/>
          </m:rPr>
          <m:t> pp</m:t>
        </m:r>
        <m:r>
          <m:t>,</m:t>
        </m:r>
        <m:r>
          <m:t>+</m:t>
        </m:r>
        <m:r>
          <m:t>5</m:t>
        </m:r>
        <m:r>
          <m:t>.</m:t>
        </m:r>
        <m:r>
          <m:t>300</m:t>
        </m:r>
        <m:r>
          <m:rPr>
            <m:nor/>
          </m:rPr>
          <m:t> pp</m:t>
        </m:r>
        <m:r>
          <m:t>]</m:t>
        </m:r>
      </m:oMath>
    </w:p>
    <w:p>
      <w:r>
        <w:t>Pairwise discordant classifications were evaluated using exact McNemar tests at the unclustered view level (</w:t>
      </w:r>
      <m:oMath>
        <m:r>
          <m:t>N</m:t>
        </m:r>
        <m:r>
          <m:t>=</m:t>
        </m:r>
        <m:r>
          <m:t>718</m:t>
        </m:r>
      </m:oMath>
      <w:r>
        <w:t xml:space="preserve">), where "exact" designates calculation via the exact two-sided binomial distribution over discordant pairs </w:t>
      </w:r>
      <m:oMath>
        <m:r>
          <m:t>(</m:t>
        </m:r>
        <m:r>
          <m:t>b</m:t>
        </m:r>
        <m:r>
          <m:t>,</m:t>
        </m:r>
        <m:r>
          <m:t>c</m:t>
        </m:r>
        <m:r>
          <m:t>)</m:t>
        </m:r>
      </m:oMath>
      <w:r>
        <w:t xml:space="preserve">. For the </w:t>
      </w:r>
      <m:oMath>
        <m:r>
          <m:t>k</m:t>
        </m:r>
        <m:r>
          <m:t>=</m:t>
        </m:r>
        <m:r>
          <m:t>10</m:t>
        </m:r>
      </m:oMath>
      <w:r>
        <w:t xml:space="preserve"> condition versus </w:t>
      </w:r>
      <w:r>
        <w:rPr>
          <w:rFonts w:ascii="Consolas" w:hAnsi="Consolas"/>
          <w:color w:val="8A1F11"/>
          <w:sz w:val="19"/>
        </w:rPr>
        <w:t>no_rag</w:t>
      </w:r>
      <w:r>
        <w:t xml:space="preserve">, the contingency counts are: both correct = 488, </w:t>
      </w:r>
      <w:r>
        <w:rPr>
          <w:rFonts w:ascii="Consolas" w:hAnsi="Consolas"/>
          <w:color w:val="8A1F11"/>
          <w:sz w:val="19"/>
        </w:rPr>
        <w:t>no_rag</w:t>
      </w:r>
      <w:r>
        <w:t xml:space="preserve"> only = 72, </w:t>
      </w:r>
      <w:r>
        <w:rPr>
          <w:rFonts w:ascii="Consolas" w:hAnsi="Consolas"/>
          <w:color w:val="8A1F11"/>
          <w:sz w:val="19"/>
        </w:rPr>
        <w:t>rag_k10</w:t>
      </w:r>
      <w:r>
        <w:t xml:space="preserve"> only = 83, and both incorrect = 75. The resulting exact two-sided binomial test yields </w:t>
      </w:r>
      <m:oMath>
        <m:r>
          <m:t>p</m:t>
        </m:r>
        <m:r>
          <m:t>=</m:t>
        </m:r>
        <m:r>
          <m:t>0</m:t>
        </m:r>
        <m:r>
          <m:t>.</m:t>
        </m:r>
        <m:r>
          <m:t>422</m:t>
        </m:r>
      </m:oMath>
      <w:r>
        <w:t xml:space="preserve">. Across all evaluated depths, no statistically significant difference from </w:t>
      </w:r>
      <w:r>
        <w:rPr>
          <w:rFonts w:ascii="Consolas" w:hAnsi="Consolas"/>
          <w:color w:val="8A1F11"/>
          <w:sz w:val="19"/>
        </w:rPr>
        <w:t>no_rag</w:t>
      </w:r>
      <w:r>
        <w:t xml:space="preserve"> is observed (</w:t>
      </w:r>
      <m:oMath>
        <m:r>
          <m:t>p</m:t>
        </m:r>
        <m:r>
          <m:t>=</m:t>
        </m:r>
        <m:r>
          <m:t>0</m:t>
        </m:r>
        <m:r>
          <m:t>.</m:t>
        </m:r>
        <m:r>
          <m:t>435</m:t>
        </m:r>
      </m:oMath>
      <w:r>
        <w:t xml:space="preserve"> for </w:t>
      </w:r>
      <m:oMath>
        <m:r>
          <m:t>k</m:t>
        </m:r>
        <m:r>
          <m:t>=</m:t>
        </m:r>
        <m:r>
          <m:t>1</m:t>
        </m:r>
      </m:oMath>
      <w:r>
        <w:t xml:space="preserve">, </w:t>
      </w:r>
      <m:oMath>
        <m:r>
          <m:t>p</m:t>
        </m:r>
        <m:r>
          <m:t>=</m:t>
        </m:r>
        <m:r>
          <m:t>0</m:t>
        </m:r>
        <m:r>
          <m:t>.</m:t>
        </m:r>
        <m:r>
          <m:t>777</m:t>
        </m:r>
      </m:oMath>
      <w:r>
        <w:t xml:space="preserve"> for </w:t>
      </w:r>
      <m:oMath>
        <m:r>
          <m:t>k</m:t>
        </m:r>
        <m:r>
          <m:t>=</m:t>
        </m:r>
        <m:r>
          <m:t>3</m:t>
        </m:r>
      </m:oMath>
      <w:r>
        <w:t xml:space="preserve">, </w:t>
      </w:r>
      <m:oMath>
        <m:r>
          <m:t>p</m:t>
        </m:r>
        <m:r>
          <m:t>=</m:t>
        </m:r>
        <m:r>
          <m:t>0</m:t>
        </m:r>
        <m:r>
          <m:t>.</m:t>
        </m:r>
        <m:r>
          <m:t>677</m:t>
        </m:r>
      </m:oMath>
      <w:r>
        <w:t xml:space="preserve"> for </w:t>
      </w:r>
      <m:oMath>
        <m:r>
          <m:t>k</m:t>
        </m:r>
        <m:r>
          <m:t>=</m:t>
        </m:r>
        <m:r>
          <m:t>5</m:t>
        </m:r>
      </m:oMath>
      <w:r>
        <w:t xml:space="preserve">, and </w:t>
      </w:r>
      <m:oMath>
        <m:r>
          <m:t>p</m:t>
        </m:r>
        <m:r>
          <m:t>=</m:t>
        </m:r>
        <m:r>
          <m:t>0</m:t>
        </m:r>
        <m:r>
          <m:t>.</m:t>
        </m:r>
        <m:r>
          <m:t>422</m:t>
        </m:r>
      </m:oMath>
      <w:r>
        <w:t xml:space="preserve"> for </w:t>
      </w:r>
      <m:oMath>
        <m:r>
          <m:t>k</m:t>
        </m:r>
        <m:r>
          <m:t>=</m:t>
        </m:r>
        <m:r>
          <m:t>10</m:t>
        </m:r>
      </m:oMath>
      <w:r>
        <w:t>, all unadjusted for multiple testing).</w:t>
      </w:r>
    </w:p>
    <w:p>
      <w:r>
        <w:t xml:space="preserve">In accordance with strict scientific boundaries, </w:t>
      </w:r>
      <w:r>
        <w:rPr>
          <w:b/>
        </w:rPr>
        <w:t>we explicitly refrain from declaring any retrieval configuration a "statistically significant winner" or asserting a confirmed operational benefit for RAG in this setting</w:t>
      </w:r>
      <w:r>
        <w:t xml:space="preserve">. While </w:t>
      </w:r>
      <m:oMath>
        <m:r>
          <m:t>k</m:t>
        </m:r>
        <m:r>
          <m:t>=</m:t>
        </m:r>
        <m:r>
          <m:t>10</m:t>
        </m:r>
      </m:oMath>
      <w:r>
        <w:t xml:space="preserve"> attained the highest observed point accuracy, the empirical evidence demonstrates no statistically significant accuracy difference detected in exploratory tests when compared to unaugmented zero-shot reasoning by the evaluated model (</w:t>
      </w:r>
      <w:r>
        <w:rPr>
          <w:rFonts w:ascii="Consolas" w:hAnsi="Consolas"/>
          <w:color w:val="8A1F11"/>
          <w:sz w:val="19"/>
        </w:rPr>
        <w:t>gpt-5.6-luna</w:t>
      </w:r>
      <w:r>
        <w:t xml:space="preserve">, </w:t>
      </w:r>
      <w:r>
        <w:rPr>
          <w:rFonts w:ascii="Consolas" w:hAnsi="Consolas"/>
          <w:color w:val="8A1F11"/>
          <w:sz w:val="19"/>
        </w:rPr>
        <w:t>reasoning_effort=xhigh</w:t>
      </w:r>
      <w:r>
        <w:t>).</w:t>
      </w:r>
    </w:p>
    <w:p>
      <w:r>
        <w:t xml:space="preserve">Distinct from headline accuracy, 474-class Macro-F1 across conditions is evaluated strictly over the complete, frozen Enterprise ATT&amp;CK v19.2 Windows ontology, yielding values spanning 0.0126083660 (0.0126 for </w:t>
      </w:r>
      <w:r>
        <w:rPr>
          <w:rFonts w:ascii="Consolas" w:hAnsi="Consolas"/>
          <w:color w:val="8A1F11"/>
          <w:sz w:val="19"/>
        </w:rPr>
        <w:t>no_rag</w:t>
      </w:r>
      <w:r>
        <w:t xml:space="preserve">) to 0.0140237999 (0.0140 for </w:t>
      </w:r>
      <w:r>
        <w:rPr>
          <w:rFonts w:ascii="Consolas" w:hAnsi="Consolas"/>
          <w:color w:val="8A1F11"/>
          <w:sz w:val="19"/>
        </w:rPr>
        <w:t>rag_k10</w:t>
      </w:r>
      <w:r>
        <w:t>). As established in Section 5.3.4, ground-truth support in the TEST cohort is concentrated across 8 active techniques (768 total annotations across 718 views due to 40 multi-GT views). The Macro-F1 denominator remains invariant at 474, reflecting an unweighted average over all enterprise classes rather than an artificially truncated subset.</w:t>
      </w:r>
    </w:p>
    <w:p>
      <w:pPr>
        <w:pStyle w:val="Heading3"/>
        <w:keepNext/>
        <w:spacing w:before="160" w:after="40"/>
      </w:pPr>
      <w:r>
        <w:rPr>
          <w:rFonts w:ascii="Calibri" w:hAnsi="Calibri"/>
          <w:b/>
          <w:i/>
          <w:color w:val="333344"/>
          <w:sz w:val="22"/>
        </w:rPr>
        <w:t>Single-Event vs. Contextual-Event Performance Breakdown</w:t>
      </w:r>
    </w:p>
    <w:p>
      <w:r>
        <w:t>Table 3 and Table 3b schema the comparative performance partitioned by telemetry representation (278 Single-Event Views vs. 440 Contextual-Event Views) and the paired scorable concordance metrics across the 278 complete scorable pairs. Crucially, comparisons between single-event and contextual-event views represent non-causal observational contrasts rather than controlled causal effects due to representation confounding and unequal partition sizes (</w:t>
      </w:r>
      <m:oMath>
        <m:r>
          <m:t>N</m:t>
        </m:r>
        <m:r>
          <m:t>=</m:t>
        </m:r>
        <m:r>
          <m:t>278</m:t>
        </m:r>
      </m:oMath>
      <w:r>
        <w:t xml:space="preserve"> single vs. </w:t>
      </w:r>
      <m:oMath>
        <m:r>
          <m:t>N</m:t>
        </m:r>
        <m:r>
          <m:t>=</m:t>
        </m:r>
        <m:r>
          <m:t>440</m:t>
        </m:r>
      </m:oMath>
      <w:r>
        <w:t xml:space="preserve"> contextual).</w:t>
      </w:r>
    </w:p>
    <w:p>
      <w:pPr>
        <w:keepNext/>
        <w:spacing w:before="160" w:after="60"/>
      </w:pPr>
      <w:r>
        <w:rPr>
          <w:i/>
          <w:color w:val="1F2328"/>
          <w:sz w:val="20"/>
        </w:rPr>
        <w:t>Table 3: Representation Stratification: Single-Event vs. Contextual-Event Views.</w:t>
      </w:r>
    </w:p>
    <w:tbl>
      <w:tblPr>
        <w:tblW w:type="auto" w:w="0"/>
        <w:jc w:val="center"/>
        <w:tblLayout w:type="fixed"/>
        <w:tblLook w:firstColumn="1" w:firstRow="1" w:lastColumn="0" w:lastRow="0" w:noHBand="0" w:noVBand="1" w:val="04A0"/>
        <w:tblCaption w:val="Table 3: Representation Stratification (Single vs Contextual)"/>
        <w:tblDescription w:val="table_3"/>
      </w:tblPr>
      <w:tblGrid>
        <w:gridCol w:w="1440"/>
        <w:gridCol w:w="1656"/>
        <w:gridCol w:w="1800"/>
        <w:gridCol w:w="1512"/>
        <w:gridCol w:w="1512"/>
        <w:gridCol w:w="1440"/>
      </w:tblGrid>
      <w:tr>
        <w:trPr>
          <w:cantSplit/>
          <w:tblHeader/>
        </w:trPr>
        <w:tc>
          <w:tcPr>
            <w:tcW w:type="dxa" w:w="144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0"/>
                <w:alias w:val="table_3 Row 0 Col 0"/>
              </w:sdtPr>
              <w:sdtContent>
                <w:r/>
                <w:r>
                  <w:rPr>
                    <w:b/>
                    <w:color w:val="FFFFFF"/>
                    <w:sz w:val="18"/>
                  </w:rPr>
                  <w:t>Condition</w:t>
                </w:r>
              </w:sdtContent>
            </w:sdt>
          </w:p>
        </w:tc>
        <w:tc>
          <w:tcPr>
            <w:tcW w:type="dxa" w:w="165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1"/>
                <w:alias w:val="table_3 Row 0 Col 1"/>
              </w:sdtPr>
              <w:sdtContent>
                <w:r/>
                <w:r>
                  <w:rPr>
                    <w:b/>
                    <w:color w:val="FFFFFF"/>
                    <w:sz w:val="18"/>
                  </w:rPr>
                  <w:t xml:space="preserve">Single-Event </w:t>
                </w:r>
                <m:oMath>
                  <m:sSub>
                    <m:e>
                      <m:r>
                        <w:rPr>
                          <w:color w:val="FFFFFF"/>
                          <w:sz w:val="18"/>
                          <w:b/>
                        </w:rPr>
                        <m:rPr>
                          <m:nor/>
                        </m:rPr>
                        <m:t>Acc</m:t>
                      </m:r>
                    </m:e>
                    <m:sub>
                      <m:r>
                        <w:rPr>
                          <w:color w:val="FFFFFF"/>
                          <w:sz w:val="18"/>
                          <w:b/>
                        </w:rPr>
                        <m:rPr>
                          <m:nor/>
                        </m:rPr>
                        <m:t>e2e</m:t>
                      </m:r>
                    </m:sub>
                  </m:sSub>
                </m:oMath>
                <w:r>
                  <w:rPr>
                    <w:b/>
                    <w:color w:val="FFFFFF"/>
                    <w:sz w:val="18"/>
                  </w:rPr>
                  <w:t xml:space="preserve"> (</w:t>
                </w:r>
                <m:oMath>
                  <m:r>
                    <w:rPr>
                      <w:color w:val="FFFFFF"/>
                      <w:sz w:val="18"/>
                      <w:b/>
                    </w:rPr>
                    <m:t>N</m:t>
                  </m:r>
                  <m:r>
                    <w:rPr>
                      <w:color w:val="FFFFFF"/>
                      <w:sz w:val="18"/>
                      <w:b/>
                    </w:rPr>
                    <m:t>=</m:t>
                  </m:r>
                  <m:r>
                    <w:rPr>
                      <w:color w:val="FFFFFF"/>
                      <w:sz w:val="18"/>
                      <w:b/>
                    </w:rPr>
                    <m:t>278</m:t>
                  </m:r>
                </m:oMath>
                <w:r>
                  <w:rPr>
                    <w:b/>
                    <w:color w:val="FFFFFF"/>
                    <w:sz w:val="18"/>
                  </w:rPr>
                  <w:t>)</w:t>
                </w:r>
              </w:sdtContent>
            </w:sdt>
          </w:p>
        </w:tc>
        <w:tc>
          <w:tcPr>
            <w:tcW w:type="dxa" w:w="180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2"/>
                <w:alias w:val="table_3 Row 0 Col 2"/>
              </w:sdtPr>
              <w:sdtContent>
                <w:r/>
                <w:r>
                  <w:rPr>
                    <w:b/>
                    <w:color w:val="FFFFFF"/>
                    <w:sz w:val="18"/>
                  </w:rPr>
                  <w:t xml:space="preserve">Contextual-Event </w:t>
                </w:r>
                <m:oMath>
                  <m:sSub>
                    <m:e>
                      <m:r>
                        <w:rPr>
                          <w:color w:val="FFFFFF"/>
                          <w:sz w:val="18"/>
                          <w:b/>
                        </w:rPr>
                        <m:rPr>
                          <m:nor/>
                        </m:rPr>
                        <m:t>Acc</m:t>
                      </m:r>
                    </m:e>
                    <m:sub>
                      <m:r>
                        <w:rPr>
                          <w:color w:val="FFFFFF"/>
                          <w:sz w:val="18"/>
                          <w:b/>
                        </w:rPr>
                        <m:rPr>
                          <m:nor/>
                        </m:rPr>
                        <m:t>e2e</m:t>
                      </m:r>
                    </m:sub>
                  </m:sSub>
                </m:oMath>
                <w:r>
                  <w:rPr>
                    <w:b/>
                    <w:color w:val="FFFFFF"/>
                    <w:sz w:val="18"/>
                  </w:rPr>
                  <w:t xml:space="preserve"> (</w:t>
                </w:r>
                <m:oMath>
                  <m:r>
                    <w:rPr>
                      <w:color w:val="FFFFFF"/>
                      <w:sz w:val="18"/>
                      <w:b/>
                    </w:rPr>
                    <m:t>N</m:t>
                  </m:r>
                  <m:r>
                    <w:rPr>
                      <w:color w:val="FFFFFF"/>
                      <w:sz w:val="18"/>
                      <w:b/>
                    </w:rPr>
                    <m:t>=</m:t>
                  </m:r>
                  <m:r>
                    <w:rPr>
                      <w:color w:val="FFFFFF"/>
                      <w:sz w:val="18"/>
                      <w:b/>
                    </w:rPr>
                    <m:t>440</m:t>
                  </m:r>
                </m:oMath>
                <w:r>
                  <w:rPr>
                    <w:b/>
                    <w:color w:val="FFFFFF"/>
                    <w:sz w:val="18"/>
                  </w:rPr>
                  <w:t>)</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3"/>
                <w:alias w:val="table_3 Row 0 Col 3"/>
              </w:sdtPr>
              <w:sdtContent>
                <w:r/>
                <w:r>
                  <w:rPr>
                    <w:b/>
                    <w:color w:val="FFFFFF"/>
                    <w:sz w:val="18"/>
                  </w:rPr>
                  <w:t>Single Macro-F1</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4"/>
                <w:alias w:val="table_3 Row 0 Col 4"/>
              </w:sdtPr>
              <w:sdtContent>
                <w:r/>
                <w:r>
                  <w:rPr>
                    <w:b/>
                    <w:color w:val="FFFFFF"/>
                    <w:sz w:val="18"/>
                  </w:rPr>
                  <w:t>Contextual Macro-F1</w:t>
                </w:r>
              </w:sdtContent>
            </w:sdt>
          </w:p>
        </w:tc>
        <w:tc>
          <w:tcPr>
            <w:tcW w:type="dxa" w:w="144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5"/>
                <w:alias w:val="table_3 Row 0 Col 5"/>
              </w:sdtPr>
              <w:sdtContent>
                <w:r/>
                <m:oMath>
                  <m:r>
                    <w:rPr>
                      <w:color w:val="FFFFFF"/>
                      <w:sz w:val="18"/>
                      <w:b/>
                    </w:rPr>
                    <m:t>Δ</m:t>
                  </m:r>
                  <m:r>
                    <w:rPr>
                      <w:color w:val="FFFFFF"/>
                      <w:sz w:val="18"/>
                      <w:b/>
                    </w:rPr>
                    <m:rPr>
                      <m:nor/>
                    </m:rPr>
                    <m:t>Acc</m:t>
                  </m:r>
                </m:oMath>
                <w:r>
                  <w:rPr>
                    <w:b/>
                    <w:color w:val="FFFFFF"/>
                    <w:sz w:val="18"/>
                  </w:rPr>
                  <w:t xml:space="preserve"> (Context - Single)</w:t>
                </w:r>
              </w:sdtContent>
            </w:sdt>
          </w:p>
        </w:tc>
      </w:tr>
      <w:tr>
        <w:trPr>
          <w:cantSplit/>
        </w:trPr>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0"/>
                <w:alias w:val="table_3 Row 1 Col 0"/>
              </w:sdtPr>
              <w:sdtContent>
                <w:r/>
                <w:r>
                  <w:rPr>
                    <w:rFonts w:ascii="Consolas" w:hAnsi="Consolas"/>
                    <w:color w:val="8A1F11"/>
                    <w:sz w:val="18"/>
                  </w:rPr>
                  <w:t>no_rag</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1"/>
                <w:alias w:val="table_3 Row 1 Col 1"/>
              </w:sdtPr>
              <w:sdtContent>
                <w:r/>
                <w:r>
                  <w:rPr>
                    <w:color w:val="24292F"/>
                    <w:sz w:val="18"/>
                  </w:rPr>
                  <w:t>87.05%</w:t>
                </w:r>
              </w:sdtContent>
            </w:sdt>
          </w:p>
        </w:tc>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2"/>
                <w:alias w:val="table_3 Row 1 Col 2"/>
              </w:sdtPr>
              <w:sdtContent>
                <w:r/>
                <w:r>
                  <w:rPr>
                    <w:color w:val="24292F"/>
                    <w:sz w:val="18"/>
                  </w:rPr>
                  <w:t>72.27%</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3"/>
                <w:alias w:val="table_3 Row 1 Col 3"/>
              </w:sdtPr>
              <w:sdtContent>
                <w:r/>
                <w:r>
                  <w:rPr>
                    <w:color w:val="24292F"/>
                    <w:sz w:val="18"/>
                  </w:rPr>
                  <w:t>1.33%</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4"/>
                <w:alias w:val="table_3 Row 1 Col 4"/>
              </w:sdtPr>
              <w:sdtContent>
                <w:r/>
                <w:r>
                  <w:rPr>
                    <w:color w:val="24292F"/>
                    <w:sz w:val="18"/>
                  </w:rPr>
                  <w:t>1.20%</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5"/>
                <w:alias w:val="table_3 Row 1 Col 5"/>
              </w:sdtPr>
              <w:sdtContent>
                <w:r/>
                <w:r>
                  <w:rPr>
                    <w:color w:val="24292F"/>
                    <w:sz w:val="18"/>
                  </w:rPr>
                  <w:t>-14.78 pp</w:t>
                </w:r>
              </w:sdtContent>
            </w:sdt>
          </w:p>
        </w:tc>
      </w:tr>
      <w:tr>
        <w:trPr>
          <w:cantSplit/>
        </w:trPr>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0"/>
                <w:alias w:val="table_3 Row 2 Col 0"/>
              </w:sdtPr>
              <w:sdtContent>
                <w:r/>
                <w:r>
                  <w:rPr>
                    <w:rFonts w:ascii="Consolas" w:hAnsi="Consolas"/>
                    <w:color w:val="8A1F11"/>
                    <w:sz w:val="18"/>
                  </w:rPr>
                  <w:t>rag_k1</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1"/>
                <w:alias w:val="table_3 Row 2 Col 1"/>
              </w:sdtPr>
              <w:sdtContent>
                <w:r/>
                <w:r>
                  <w:rPr>
                    <w:color w:val="24292F"/>
                    <w:sz w:val="18"/>
                  </w:rPr>
                  <w:t>85.61%</w:t>
                </w:r>
              </w:sdtContent>
            </w:sdt>
          </w:p>
        </w:tc>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2"/>
                <w:alias w:val="table_3 Row 2 Col 2"/>
              </w:sdtPr>
              <w:sdtContent>
                <w:r/>
                <w:r>
                  <w:rPr>
                    <w:color w:val="24292F"/>
                    <w:sz w:val="18"/>
                  </w:rPr>
                  <w:t>71.59%</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3"/>
                <w:alias w:val="table_3 Row 2 Col 3"/>
              </w:sdtPr>
              <w:sdtContent>
                <w:r/>
                <w:r>
                  <w:rPr>
                    <w:color w:val="24292F"/>
                    <w:sz w:val="18"/>
                  </w:rPr>
                  <w:t>1.31%</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4"/>
                <w:alias w:val="table_3 Row 2 Col 4"/>
              </w:sdtPr>
              <w:sdtContent>
                <w:r/>
                <w:r>
                  <w:rPr>
                    <w:color w:val="24292F"/>
                    <w:sz w:val="18"/>
                  </w:rPr>
                  <w:t>1.21%</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5"/>
                <w:alias w:val="table_3 Row 2 Col 5"/>
              </w:sdtPr>
              <w:sdtContent>
                <w:r/>
                <w:r>
                  <w:rPr>
                    <w:color w:val="24292F"/>
                    <w:sz w:val="18"/>
                  </w:rPr>
                  <w:t>-14.02 pp</w:t>
                </w:r>
              </w:sdtContent>
            </w:sdt>
          </w:p>
        </w:tc>
      </w:tr>
      <w:tr>
        <w:trPr>
          <w:cantSplit/>
        </w:trPr>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0"/>
                <w:alias w:val="table_3 Row 3 Col 0"/>
              </w:sdtPr>
              <w:sdtContent>
                <w:r/>
                <w:r>
                  <w:rPr>
                    <w:rFonts w:ascii="Consolas" w:hAnsi="Consolas"/>
                    <w:color w:val="8A1F11"/>
                    <w:sz w:val="18"/>
                  </w:rPr>
                  <w:t>rag_k3</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1"/>
                <w:alias w:val="table_3 Row 3 Col 1"/>
              </w:sdtPr>
              <w:sdtContent>
                <w:r/>
                <w:r>
                  <w:rPr>
                    <w:color w:val="24292F"/>
                    <w:sz w:val="18"/>
                  </w:rPr>
                  <w:t>84.17%</w:t>
                </w:r>
              </w:sdtContent>
            </w:sdt>
          </w:p>
        </w:tc>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2"/>
                <w:alias w:val="table_3 Row 3 Col 2"/>
              </w:sdtPr>
              <w:sdtContent>
                <w:r/>
                <w:r>
                  <w:rPr>
                    <w:color w:val="24292F"/>
                    <w:sz w:val="18"/>
                  </w:rPr>
                  <w:t>75.00%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3"/>
                <w:alias w:val="table_3 Row 3 Col 3"/>
              </w:sdtPr>
              <w:sdtContent>
                <w:r/>
                <w:r>
                  <w:rPr>
                    <w:color w:val="24292F"/>
                    <w:sz w:val="18"/>
                  </w:rPr>
                  <w:t>1.29%</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4"/>
                <w:alias w:val="table_3 Row 3 Col 4"/>
              </w:sdtPr>
              <w:sdtContent>
                <w:r/>
                <w:r>
                  <w:rPr>
                    <w:color w:val="24292F"/>
                    <w:sz w:val="18"/>
                  </w:rPr>
                  <w:t>1.30%</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5"/>
                <w:alias w:val="table_3 Row 3 Col 5"/>
              </w:sdtPr>
              <w:sdtContent>
                <w:r/>
                <w:r>
                  <w:rPr>
                    <w:color w:val="24292F"/>
                    <w:sz w:val="18"/>
                  </w:rPr>
                  <w:t>-9.17 pp</w:t>
                </w:r>
              </w:sdtContent>
            </w:sdt>
          </w:p>
        </w:tc>
      </w:tr>
      <w:tr>
        <w:trPr>
          <w:cantSplit/>
        </w:trPr>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0"/>
                <w:alias w:val="table_3 Row 4 Col 0"/>
              </w:sdtPr>
              <w:sdtContent>
                <w:r/>
                <w:r>
                  <w:rPr>
                    <w:rFonts w:ascii="Consolas" w:hAnsi="Consolas"/>
                    <w:color w:val="8A1F11"/>
                    <w:sz w:val="18"/>
                  </w:rPr>
                  <w:t>rag_k5</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1"/>
                <w:alias w:val="table_3 Row 4 Col 1"/>
              </w:sdtPr>
              <w:sdtContent>
                <w:r/>
                <w:r>
                  <w:rPr>
                    <w:color w:val="24292F"/>
                    <w:sz w:val="18"/>
                  </w:rPr>
                  <w:t>83.45%</w:t>
                </w:r>
              </w:sdtContent>
            </w:sdt>
          </w:p>
        </w:tc>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2"/>
                <w:alias w:val="table_3 Row 4 Col 2"/>
              </w:sdtPr>
              <w:sdtContent>
                <w:r/>
                <w:r>
                  <w:rPr>
                    <w:color w:val="24292F"/>
                    <w:sz w:val="18"/>
                  </w:rPr>
                  <w:t>75.91%</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3"/>
                <w:alias w:val="table_3 Row 4 Col 3"/>
              </w:sdtPr>
              <w:sdtContent>
                <w:r/>
                <w:r>
                  <w:rPr>
                    <w:color w:val="24292F"/>
                    <w:sz w:val="18"/>
                  </w:rPr>
                  <w:t>1.29%</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4"/>
                <w:alias w:val="table_3 Row 4 Col 4"/>
              </w:sdtPr>
              <w:sdtContent>
                <w:r/>
                <w:r>
                  <w:rPr>
                    <w:color w:val="24292F"/>
                    <w:sz w:val="18"/>
                  </w:rPr>
                  <w:t>1.31%</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5"/>
                <w:alias w:val="table_3 Row 4 Col 5"/>
              </w:sdtPr>
              <w:sdtContent>
                <w:r/>
                <w:r>
                  <w:rPr>
                    <w:color w:val="24292F"/>
                    <w:sz w:val="18"/>
                  </w:rPr>
                  <w:t>-7.54 pp</w:t>
                </w:r>
              </w:sdtContent>
            </w:sdt>
          </w:p>
        </w:tc>
      </w:tr>
      <w:tr>
        <w:trPr>
          <w:cantSplit/>
        </w:trPr>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0"/>
                <w:alias w:val="table_3 Row 5 Col 0"/>
              </w:sdtPr>
              <w:sdtContent>
                <w:r/>
                <w:r>
                  <w:rPr>
                    <w:rFonts w:ascii="Consolas" w:hAnsi="Consolas"/>
                    <w:color w:val="8A1F11"/>
                    <w:sz w:val="18"/>
                  </w:rPr>
                  <w:t>rag_k10</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1"/>
                <w:alias w:val="table_3 Row 5 Col 1"/>
              </w:sdtPr>
              <w:sdtContent>
                <w:r/>
                <w:r>
                  <w:rPr>
                    <w:color w:val="24292F"/>
                    <w:sz w:val="18"/>
                  </w:rPr>
                  <w:t>83.81%</w:t>
                </w:r>
              </w:sdtContent>
            </w:sdt>
          </w:p>
        </w:tc>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2"/>
                <w:alias w:val="table_3 Row 5 Col 2"/>
              </w:sdtPr>
              <w:sdtContent>
                <w:r/>
                <w:r>
                  <w:rPr>
                    <w:color w:val="24292F"/>
                    <w:sz w:val="18"/>
                  </w:rPr>
                  <w:t>76.82%</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3"/>
                <w:alias w:val="table_3 Row 5 Col 3"/>
              </w:sdtPr>
              <w:sdtContent>
                <w:r/>
                <w:r>
                  <w:rPr>
                    <w:color w:val="24292F"/>
                    <w:sz w:val="18"/>
                  </w:rPr>
                  <w:t>1.29%</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4"/>
                <w:alias w:val="table_3 Row 5 Col 4"/>
              </w:sdtPr>
              <w:sdtContent>
                <w:r/>
                <w:r>
                  <w:rPr>
                    <w:color w:val="24292F"/>
                    <w:sz w:val="18"/>
                  </w:rPr>
                  <w:t>1.32%</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5"/>
                <w:alias w:val="table_3 Row 5 Col 5"/>
              </w:sdtPr>
              <w:sdtContent>
                <w:r/>
                <w:r>
                  <w:rPr>
                    <w:color w:val="24292F"/>
                    <w:sz w:val="18"/>
                  </w:rPr>
                  <w:t>-6.99 pp</w:t>
                </w:r>
              </w:sdtContent>
            </w:sdt>
          </w:p>
        </w:tc>
      </w:tr>
    </w:tbl>
    <w:p>
      <w:pPr>
        <w:spacing w:after="120"/>
      </w:pPr>
    </w:p>
    <w:p>
      <w:pPr>
        <w:keepNext/>
        <w:spacing w:before="160" w:after="60"/>
      </w:pPr>
      <w:r>
        <w:rPr>
          <w:i/>
          <w:color w:val="1F2328"/>
          <w:sz w:val="20"/>
        </w:rPr>
        <w:t>Table 3b: Paired Scorable Representation Concordance and McNemar Discordance (</w:t>
      </w:r>
      <m:oMath>
        <m:r>
          <w:rPr>
            <w:color w:val="1F2328"/>
            <w:sz w:val="20"/>
          </w:rPr>
          <m:t>N</m:t>
        </m:r>
        <m:r>
          <w:rPr>
            <w:color w:val="1F2328"/>
            <w:sz w:val="20"/>
          </w:rPr>
          <m:t>=</m:t>
        </m:r>
        <m:r>
          <w:rPr>
            <w:color w:val="1F2328"/>
            <w:sz w:val="20"/>
          </w:rPr>
          <m:t>278</m:t>
        </m:r>
      </m:oMath>
      <w:r>
        <w:rPr>
          <w:i/>
          <w:color w:val="1F2328"/>
          <w:sz w:val="20"/>
        </w:rPr>
        <w:t xml:space="preserve"> complete pairs).</w:t>
      </w:r>
    </w:p>
    <w:tbl>
      <w:tblPr>
        <w:tblW w:type="auto" w:w="0"/>
        <w:jc w:val="center"/>
        <w:tblLayout w:type="fixed"/>
        <w:tblLook w:firstColumn="1" w:firstRow="1" w:lastColumn="0" w:lastRow="0" w:noHBand="0" w:noVBand="1" w:val="04A0"/>
        <w:tblCaption w:val="Table 3b: Paired Scorable Representation Concordance"/>
        <w:tblDescription w:val="table_3b"/>
      </w:tblPr>
      <w:tblGrid>
        <w:gridCol w:w="1584"/>
        <w:gridCol w:w="864"/>
        <w:gridCol w:w="864"/>
        <w:gridCol w:w="864"/>
        <w:gridCol w:w="864"/>
        <w:gridCol w:w="864"/>
        <w:gridCol w:w="864"/>
        <w:gridCol w:w="864"/>
        <w:gridCol w:w="864"/>
        <w:gridCol w:w="864"/>
      </w:tblGrid>
      <w:tr>
        <w:trPr>
          <w:cantSplit/>
          <w:tblHeader/>
        </w:trPr>
        <w:tc>
          <w:tcPr>
            <w:tcW w:type="dxa" w:w="158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0"/>
                <w:alias w:val="table_3b Row 0 Col 0"/>
              </w:sdtPr>
              <w:sdtContent>
                <w:r/>
                <w:r>
                  <w:rPr>
                    <w:b/>
                    <w:color w:val="FFFFFF"/>
                    <w:sz w:val="17"/>
                  </w:rPr>
                  <w:t>Condition</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1"/>
                <w:alias w:val="table_3b Row 0 Col 1"/>
              </w:sdtPr>
              <w:sdtContent>
                <w:r/>
                <w:r>
                  <w:rPr>
                    <w:b/>
                    <w:color w:val="FFFFFF"/>
                    <w:sz w:val="17"/>
                  </w:rPr>
                  <w:t>Complete Pairs (</w:t>
                </w:r>
                <m:oMath>
                  <m:r>
                    <w:rPr>
                      <w:color w:val="FFFFFF"/>
                      <w:sz w:val="17"/>
                      <w:b/>
                    </w:rPr>
                    <m:t>N</m:t>
                  </m:r>
                </m:oMath>
                <w:r>
                  <w:rPr>
                    <w:b/>
                    <w:color w:val="FFFFFF"/>
                    <w:sz w:val="17"/>
                  </w:rPr>
                  <w:t>)</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2"/>
                <w:alias w:val="table_3b Row 0 Col 2"/>
              </w:sdtPr>
              <w:sdtContent>
                <w:r/>
                <w:r>
                  <w:rPr>
                    <w:b/>
                    <w:color w:val="FFFFFF"/>
                    <w:sz w:val="17"/>
                  </w:rPr>
                  <w:t>Single Paired Acc</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3"/>
                <w:alias w:val="table_3b Row 0 Col 3"/>
              </w:sdtPr>
              <w:sdtContent>
                <w:r/>
                <w:r>
                  <w:rPr>
                    <w:b/>
                    <w:color w:val="FFFFFF"/>
                    <w:sz w:val="17"/>
                  </w:rPr>
                  <w:t>Contextual Paired Acc</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4"/>
                <w:alias w:val="table_3b Row 0 Col 4"/>
              </w:sdtPr>
              <w:sdtContent>
                <w:r/>
                <w:r>
                  <w:rPr>
                    <w:b/>
                    <w:color w:val="FFFFFF"/>
                    <w:sz w:val="17"/>
                  </w:rPr>
                  <w:t xml:space="preserve">Paired </w:t>
                </w:r>
                <m:oMath>
                  <m:r>
                    <w:rPr>
                      <w:color w:val="FFFFFF"/>
                      <w:sz w:val="17"/>
                      <w:b/>
                    </w:rPr>
                    <m:t>Δ</m:t>
                  </m:r>
                </m:oMath>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5"/>
                <w:alias w:val="table_3b Row 0 Col 5"/>
              </w:sdtPr>
              <w:sdtContent>
                <w:r/>
                <w:r>
                  <w:rPr>
                    <w:b/>
                    <w:color w:val="FFFFFF"/>
                    <w:sz w:val="17"/>
                  </w:rPr>
                  <w:t>Both Correct</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6"/>
                <w:alias w:val="table_3b Row 0 Col 6"/>
              </w:sdtPr>
              <w:sdtContent>
                <w:r/>
                <w:r>
                  <w:rPr>
                    <w:b/>
                    <w:color w:val="FFFFFF"/>
                    <w:sz w:val="17"/>
                  </w:rPr>
                  <w:t>Single Only</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7"/>
                <w:alias w:val="table_3b Row 0 Col 7"/>
              </w:sdtPr>
              <w:sdtContent>
                <w:r/>
                <w:r>
                  <w:rPr>
                    <w:b/>
                    <w:color w:val="FFFFFF"/>
                    <w:sz w:val="17"/>
                  </w:rPr>
                  <w:t>Contextual Only</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8"/>
                <w:alias w:val="table_3b Row 0 Col 8"/>
              </w:sdtPr>
              <w:sdtContent>
                <w:r/>
                <w:r>
                  <w:rPr>
                    <w:b/>
                    <w:color w:val="FFFFFF"/>
                    <w:sz w:val="17"/>
                  </w:rPr>
                  <w:t>Both Incorrect</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9"/>
                <w:alias w:val="table_3b Row 0 Col 9"/>
              </w:sdtPr>
              <w:sdtContent>
                <w:r/>
                <w:r>
                  <w:rPr>
                    <w:b/>
                    <w:color w:val="FFFFFF"/>
                    <w:sz w:val="17"/>
                  </w:rPr>
                  <w:t xml:space="preserve">McNemar </w:t>
                </w:r>
                <m:oMath>
                  <m:sSub>
                    <m:e>
                      <m:r>
                        <w:rPr>
                          <w:color w:val="FFFFFF"/>
                          <w:sz w:val="17"/>
                          <w:b/>
                        </w:rPr>
                        <m:t>p</m:t>
                      </m:r>
                    </m:e>
                    <m:sub>
                      <m:r>
                        <w:rPr>
                          <w:color w:val="FFFFFF"/>
                          <w:sz w:val="17"/>
                          <w:b/>
                        </w:rPr>
                        <m:rPr>
                          <m:nor/>
                        </m:rPr>
                        <m:t>exact</m:t>
                      </m:r>
                    </m:sub>
                  </m:sSub>
                </m:oMath>
              </w:sdtContent>
            </w:sdt>
          </w:p>
        </w:tc>
      </w:tr>
      <w:tr>
        <w:trPr>
          <w:cantSplit/>
        </w:trPr>
        <w:tc>
          <w:tcPr>
            <w:tcW w:type="dxa" w:w="158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0"/>
                <w:alias w:val="table_3b Row 1 Col 0"/>
              </w:sdtPr>
              <w:sdtContent>
                <w:r/>
                <w:r>
                  <w:rPr>
                    <w:rFonts w:ascii="Consolas" w:hAnsi="Consolas"/>
                    <w:color w:val="8A1F11"/>
                    <w:sz w:val="17"/>
                  </w:rPr>
                  <w:t>no_rag</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1"/>
                <w:alias w:val="table_3b Row 1 Col 1"/>
              </w:sdtPr>
              <w:sdtContent>
                <w:r/>
                <w:r>
                  <w:rPr>
                    <w:color w:val="24292F"/>
                    <w:sz w:val="17"/>
                  </w:rPr>
                  <w:t>278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2"/>
                <w:alias w:val="table_3b Row 1 Col 2"/>
              </w:sdtPr>
              <w:sdtContent>
                <w:r/>
                <w:r>
                  <w:rPr>
                    <w:color w:val="24292F"/>
                    <w:sz w:val="17"/>
                  </w:rPr>
                  <w:t>87.05%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3"/>
                <w:alias w:val="table_3b Row 1 Col 3"/>
              </w:sdtPr>
              <w:sdtContent>
                <w:r/>
                <w:r>
                  <w:rPr>
                    <w:color w:val="24292F"/>
                    <w:sz w:val="17"/>
                  </w:rPr>
                  <w:t>92.45%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4"/>
                <w:alias w:val="table_3b Row 1 Col 4"/>
              </w:sdtPr>
              <w:sdtContent>
                <w:r/>
                <w:r>
                  <w:rPr>
                    <w:color w:val="24292F"/>
                    <w:sz w:val="17"/>
                  </w:rPr>
                  <w:t>+5.40 pp</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5"/>
                <w:alias w:val="table_3b Row 1 Col 5"/>
              </w:sdtPr>
              <w:sdtContent>
                <w:r/>
                <w:r>
                  <w:rPr>
                    <w:color w:val="24292F"/>
                    <w:sz w:val="17"/>
                  </w:rPr>
                  <w:t>228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6"/>
                <w:alias w:val="table_3b Row 1 Col 6"/>
              </w:sdtPr>
              <w:sdtContent>
                <w:r/>
                <w:r>
                  <w:rPr>
                    <w:color w:val="24292F"/>
                    <w:sz w:val="17"/>
                  </w:rPr>
                  <w:t>14</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7"/>
                <w:alias w:val="table_3b Row 1 Col 7"/>
              </w:sdtPr>
              <w:sdtContent>
                <w:r/>
                <w:r>
                  <w:rPr>
                    <w:color w:val="24292F"/>
                    <w:sz w:val="17"/>
                  </w:rPr>
                  <w:t>29</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8"/>
                <w:alias w:val="table_3b Row 1 Col 8"/>
              </w:sdtPr>
              <w:sdtContent>
                <w:r/>
                <w:r>
                  <w:rPr>
                    <w:color w:val="24292F"/>
                    <w:sz w:val="17"/>
                  </w:rPr>
                  <w:t>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9"/>
                <w:alias w:val="table_3b Row 1 Col 9"/>
              </w:sdtPr>
              <w:sdtContent>
                <w:r/>
                <w:r>
                  <w:rPr>
                    <w:color w:val="24292F"/>
                    <w:sz w:val="17"/>
                  </w:rPr>
                  <w:t>0.0315</w:t>
                </w:r>
              </w:sdtContent>
            </w:sdt>
          </w:p>
        </w:tc>
      </w:tr>
      <w:tr>
        <w:trPr>
          <w:cantSplit/>
        </w:trPr>
        <w:tc>
          <w:tcPr>
            <w:tcW w:type="dxa" w:w="158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0"/>
                <w:alias w:val="table_3b Row 2 Col 0"/>
              </w:sdtPr>
              <w:sdtContent>
                <w:r/>
                <w:r>
                  <w:rPr>
                    <w:rFonts w:ascii="Consolas" w:hAnsi="Consolas"/>
                    <w:color w:val="8A1F11"/>
                    <w:sz w:val="17"/>
                  </w:rPr>
                  <w:t>rag_k1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1"/>
                <w:alias w:val="table_3b Row 2 Col 1"/>
              </w:sdtPr>
              <w:sdtContent>
                <w:r/>
                <w:r>
                  <w:rPr>
                    <w:color w:val="24292F"/>
                    <w:sz w:val="17"/>
                  </w:rPr>
                  <w:t>278</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2"/>
                <w:alias w:val="table_3b Row 2 Col 2"/>
              </w:sdtPr>
              <w:sdtContent>
                <w:r/>
                <w:r>
                  <w:rPr>
                    <w:color w:val="24292F"/>
                    <w:sz w:val="17"/>
                  </w:rPr>
                  <w:t>85.61%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3"/>
                <w:alias w:val="table_3b Row 2 Col 3"/>
              </w:sdtPr>
              <w:sdtContent>
                <w:r/>
                <w:r>
                  <w:rPr>
                    <w:color w:val="24292F"/>
                    <w:sz w:val="17"/>
                  </w:rPr>
                  <w:t>92.45%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4"/>
                <w:alias w:val="table_3b Row 2 Col 4"/>
              </w:sdtPr>
              <w:sdtContent>
                <w:r/>
                <w:r>
                  <w:rPr>
                    <w:color w:val="24292F"/>
                    <w:sz w:val="17"/>
                  </w:rPr>
                  <w:t>+6.83 pp</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5"/>
                <w:alias w:val="table_3b Row 2 Col 5"/>
              </w:sdtPr>
              <w:sdtContent>
                <w:r/>
                <w:r>
                  <w:rPr>
                    <w:color w:val="24292F"/>
                    <w:sz w:val="17"/>
                  </w:rPr>
                  <w:t>229</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6"/>
                <w:alias w:val="table_3b Row 2 Col 6"/>
              </w:sdtPr>
              <w:sdtContent>
                <w:r/>
                <w:r>
                  <w:rPr>
                    <w:color w:val="24292F"/>
                    <w:sz w:val="17"/>
                  </w:rPr>
                  <w:t>9</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7"/>
                <w:alias w:val="table_3b Row 2 Col 7"/>
              </w:sdtPr>
              <w:sdtContent>
                <w:r/>
                <w:r>
                  <w:rPr>
                    <w:color w:val="24292F"/>
                    <w:sz w:val="17"/>
                  </w:rPr>
                  <w:t>28</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8"/>
                <w:alias w:val="table_3b Row 2 Col 8"/>
              </w:sdtPr>
              <w:sdtContent>
                <w:r/>
                <w:r>
                  <w:rPr>
                    <w:color w:val="24292F"/>
                    <w:sz w:val="17"/>
                  </w:rPr>
                  <w:t>12</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9"/>
                <w:alias w:val="table_3b Row 2 Col 9"/>
              </w:sdtPr>
              <w:sdtContent>
                <w:r/>
                <w:r>
                  <w:rPr>
                    <w:color w:val="24292F"/>
                    <w:sz w:val="17"/>
                  </w:rPr>
                  <w:t>0.0026</w:t>
                </w:r>
              </w:sdtContent>
            </w:sdt>
          </w:p>
        </w:tc>
      </w:tr>
      <w:tr>
        <w:trPr>
          <w:cantSplit/>
        </w:trPr>
        <w:tc>
          <w:tcPr>
            <w:tcW w:type="dxa" w:w="158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0"/>
                <w:alias w:val="table_3b Row 3 Col 0"/>
              </w:sdtPr>
              <w:sdtContent>
                <w:r/>
                <w:r>
                  <w:rPr>
                    <w:rFonts w:ascii="Consolas" w:hAnsi="Consolas"/>
                    <w:color w:val="8A1F11"/>
                    <w:sz w:val="17"/>
                  </w:rPr>
                  <w:t>rag_k3</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1"/>
                <w:alias w:val="table_3b Row 3 Col 1"/>
              </w:sdtPr>
              <w:sdtContent>
                <w:r/>
                <w:r>
                  <w:rPr>
                    <w:color w:val="24292F"/>
                    <w:sz w:val="17"/>
                  </w:rPr>
                  <w:t>278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2"/>
                <w:alias w:val="table_3b Row 3 Col 2"/>
              </w:sdtPr>
              <w:sdtContent>
                <w:r/>
                <w:r>
                  <w:rPr>
                    <w:color w:val="24292F"/>
                    <w:sz w:val="17"/>
                  </w:rPr>
                  <w:t>84.17%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3"/>
                <w:alias w:val="table_3b Row 3 Col 3"/>
              </w:sdtPr>
              <w:sdtContent>
                <w:r/>
                <w:r>
                  <w:rPr>
                    <w:color w:val="24292F"/>
                    <w:sz w:val="17"/>
                  </w:rPr>
                  <w:t>88.85%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4"/>
                <w:alias w:val="table_3b Row 3 Col 4"/>
              </w:sdtPr>
              <w:sdtContent>
                <w:r/>
                <w:r>
                  <w:rPr>
                    <w:color w:val="24292F"/>
                    <w:sz w:val="17"/>
                  </w:rPr>
                  <w:t>+4.68 pp</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5"/>
                <w:alias w:val="table_3b Row 3 Col 5"/>
              </w:sdtPr>
              <w:sdtContent>
                <w:r/>
                <w:r>
                  <w:rPr>
                    <w:color w:val="24292F"/>
                    <w:sz w:val="17"/>
                  </w:rPr>
                  <w:t>225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6"/>
                <w:alias w:val="table_3b Row 3 Col 6"/>
              </w:sdtPr>
              <w:sdtContent>
                <w:r/>
                <w:r>
                  <w:rPr>
                    <w:color w:val="24292F"/>
                    <w:sz w:val="17"/>
                  </w:rPr>
                  <w:t>9</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7"/>
                <w:alias w:val="table_3b Row 3 Col 7"/>
              </w:sdtPr>
              <w:sdtContent>
                <w:r/>
                <w:r>
                  <w:rPr>
                    <w:color w:val="24292F"/>
                    <w:sz w:val="17"/>
                  </w:rPr>
                  <w:t>22</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8"/>
                <w:alias w:val="table_3b Row 3 Col 8"/>
              </w:sdtPr>
              <w:sdtContent>
                <w:r/>
                <w:r>
                  <w:rPr>
                    <w:color w:val="24292F"/>
                    <w:sz w:val="17"/>
                  </w:rPr>
                  <w:t>22</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9"/>
                <w:alias w:val="table_3b Row 3 Col 9"/>
              </w:sdtPr>
              <w:sdtContent>
                <w:r/>
                <w:r>
                  <w:rPr>
                    <w:color w:val="24292F"/>
                    <w:sz w:val="17"/>
                  </w:rPr>
                  <w:t>0.0294</w:t>
                </w:r>
              </w:sdtContent>
            </w:sdt>
          </w:p>
        </w:tc>
      </w:tr>
      <w:tr>
        <w:trPr>
          <w:cantSplit/>
        </w:trPr>
        <w:tc>
          <w:tcPr>
            <w:tcW w:type="dxa" w:w="158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0"/>
                <w:alias w:val="table_3b Row 4 Col 0"/>
              </w:sdtPr>
              <w:sdtContent>
                <w:r/>
                <w:r>
                  <w:rPr>
                    <w:rFonts w:ascii="Consolas" w:hAnsi="Consolas"/>
                    <w:color w:val="8A1F11"/>
                    <w:sz w:val="17"/>
                  </w:rPr>
                  <w:t>rag_k5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1"/>
                <w:alias w:val="table_3b Row 4 Col 1"/>
              </w:sdtPr>
              <w:sdtContent>
                <w:r/>
                <w:r>
                  <w:rPr>
                    <w:color w:val="24292F"/>
                    <w:sz w:val="17"/>
                  </w:rPr>
                  <w:t>278</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2"/>
                <w:alias w:val="table_3b Row 4 Col 2"/>
              </w:sdtPr>
              <w:sdtContent>
                <w:r/>
                <w:r>
                  <w:rPr>
                    <w:color w:val="24292F"/>
                    <w:sz w:val="17"/>
                  </w:rPr>
                  <w:t>83.45%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3"/>
                <w:alias w:val="table_3b Row 4 Col 3"/>
              </w:sdtPr>
              <w:sdtContent>
                <w:r/>
                <w:r>
                  <w:rPr>
                    <w:color w:val="24292F"/>
                    <w:sz w:val="17"/>
                  </w:rPr>
                  <w:t>85.25%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4"/>
                <w:alias w:val="table_3b Row 4 Col 4"/>
              </w:sdtPr>
              <w:sdtContent>
                <w:r/>
                <w:r>
                  <w:rPr>
                    <w:color w:val="24292F"/>
                    <w:sz w:val="17"/>
                  </w:rPr>
                  <w:t>+1.80 pp</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5"/>
                <w:alias w:val="table_3b Row 4 Col 5"/>
              </w:sdtPr>
              <w:sdtContent>
                <w:r/>
                <w:r>
                  <w:rPr>
                    <w:color w:val="24292F"/>
                    <w:sz w:val="17"/>
                  </w:rPr>
                  <w:t>221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6"/>
                <w:alias w:val="table_3b Row 4 Col 6"/>
              </w:sdtPr>
              <w:sdtContent>
                <w:r/>
                <w:r>
                  <w:rPr>
                    <w:color w:val="24292F"/>
                    <w:sz w:val="17"/>
                  </w:rPr>
                  <w:t>11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7"/>
                <w:alias w:val="table_3b Row 4 Col 7"/>
              </w:sdtPr>
              <w:sdtContent>
                <w:r/>
                <w:r>
                  <w:rPr>
                    <w:color w:val="24292F"/>
                    <w:sz w:val="17"/>
                  </w:rPr>
                  <w:t>16</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8"/>
                <w:alias w:val="table_3b Row 4 Col 8"/>
              </w:sdtPr>
              <w:sdtContent>
                <w:r/>
                <w:r>
                  <w:rPr>
                    <w:color w:val="24292F"/>
                    <w:sz w:val="17"/>
                  </w:rPr>
                  <w:t>30</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9"/>
                <w:alias w:val="table_3b Row 4 Col 9"/>
              </w:sdtPr>
              <w:sdtContent>
                <w:r/>
                <w:r>
                  <w:rPr>
                    <w:color w:val="24292F"/>
                    <w:sz w:val="17"/>
                  </w:rPr>
                  <w:t>0.4421</w:t>
                </w:r>
              </w:sdtContent>
            </w:sdt>
          </w:p>
        </w:tc>
      </w:tr>
      <w:tr>
        <w:trPr>
          <w:cantSplit/>
        </w:trPr>
        <w:tc>
          <w:tcPr>
            <w:tcW w:type="dxa" w:w="158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0"/>
                <w:alias w:val="table_3b Row 5 Col 0"/>
              </w:sdtPr>
              <w:sdtContent>
                <w:r/>
                <w:r>
                  <w:rPr>
                    <w:rFonts w:ascii="Consolas" w:hAnsi="Consolas"/>
                    <w:color w:val="8A1F11"/>
                    <w:sz w:val="17"/>
                  </w:rPr>
                  <w:t>rag_k10</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1"/>
                <w:alias w:val="table_3b Row 5 Col 1"/>
              </w:sdtPr>
              <w:sdtContent>
                <w:r/>
                <w:r>
                  <w:rPr>
                    <w:color w:val="24292F"/>
                    <w:sz w:val="17"/>
                  </w:rPr>
                  <w:t>278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2"/>
                <w:alias w:val="table_3b Row 5 Col 2"/>
              </w:sdtPr>
              <w:sdtContent>
                <w:r/>
                <w:r>
                  <w:rPr>
                    <w:color w:val="24292F"/>
                    <w:sz w:val="17"/>
                  </w:rPr>
                  <w:t>83.81%</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3"/>
                <w:alias w:val="table_3b Row 5 Col 3"/>
              </w:sdtPr>
              <w:sdtContent>
                <w:r/>
                <w:r>
                  <w:rPr>
                    <w:color w:val="24292F"/>
                    <w:sz w:val="17"/>
                  </w:rPr>
                  <w:t>83.81%</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4"/>
                <w:alias w:val="table_3b Row 5 Col 4"/>
              </w:sdtPr>
              <w:sdtContent>
                <w:r/>
                <w:r>
                  <w:rPr>
                    <w:color w:val="24292F"/>
                    <w:sz w:val="17"/>
                  </w:rPr>
                  <w:t>+0.00 pp</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5"/>
                <w:alias w:val="table_3b Row 5 Col 5"/>
              </w:sdtPr>
              <w:sdtContent>
                <w:r/>
                <w:r>
                  <w:rPr>
                    <w:color w:val="24292F"/>
                    <w:sz w:val="17"/>
                  </w:rPr>
                  <w:t>216</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6"/>
                <w:alias w:val="table_3b Row 5 Col 6"/>
              </w:sdtPr>
              <w:sdtContent>
                <w:r/>
                <w:r>
                  <w:rPr>
                    <w:color w:val="24292F"/>
                    <w:sz w:val="17"/>
                  </w:rPr>
                  <w:t>17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7"/>
                <w:alias w:val="table_3b Row 5 Col 7"/>
              </w:sdtPr>
              <w:sdtContent>
                <w:r/>
                <w:r>
                  <w:rPr>
                    <w:color w:val="24292F"/>
                    <w:sz w:val="17"/>
                  </w:rPr>
                  <w:t>17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8"/>
                <w:alias w:val="table_3b Row 5 Col 8"/>
              </w:sdtPr>
              <w:sdtContent>
                <w:r/>
                <w:r>
                  <w:rPr>
                    <w:color w:val="24292F"/>
                    <w:sz w:val="17"/>
                  </w:rPr>
                  <w:t>28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9"/>
                <w:alias w:val="table_3b Row 5 Col 9"/>
              </w:sdtPr>
              <w:sdtContent>
                <w:r/>
                <w:r>
                  <w:rPr>
                    <w:color w:val="24292F"/>
                    <w:sz w:val="17"/>
                  </w:rPr>
                  <w:t>1.0000</w:t>
                </w:r>
              </w:sdtContent>
            </w:sdt>
          </w:p>
        </w:tc>
      </w:tr>
    </w:tbl>
    <w:p>
      <w:pPr>
        <w:spacing w:after="120"/>
      </w:pPr>
    </w:p>
    <w:p>
      <w:pPr>
        <w:pStyle w:val="Heading3"/>
        <w:keepNext/>
        <w:spacing w:before="160" w:after="40"/>
      </w:pPr>
      <w:r>
        <w:rPr>
          <w:rFonts w:ascii="Calibri" w:hAnsi="Calibri"/>
          <w:b/>
          <w:i/>
          <w:color w:val="333344"/>
          <w:sz w:val="22"/>
        </w:rPr>
        <w:t>Representation Concordance and Label-Shift Dynamics</w:t>
      </w:r>
    </w:p>
    <w:p>
      <w:r>
        <w:t>To evaluate telemetry representation effects within a strictly paired experimental design, Table 3b reports attribution accuracy and concordance across the 278 complete scorable pairs (scenarios for which both single-event and contextual-event views are present and scorable in the TEST set).</w:t>
      </w:r>
    </w:p>
    <w:p>
      <w:r>
        <w:t>In the unaugmented baseline (</w:t>
      </w:r>
      <w:r>
        <w:rPr>
          <w:rFonts w:ascii="Consolas" w:hAnsi="Consolas"/>
          <w:color w:val="8A1F11"/>
          <w:sz w:val="19"/>
        </w:rPr>
        <w:t>no_rag</w:t>
      </w:r>
      <w:r>
        <w:t xml:space="preserve">), Contextual views achieved an accuracy of </w:t>
      </w:r>
      <m:oMath>
        <m:r>
          <m:t>92</m:t>
        </m:r>
        <m:r>
          <m:t>.</m:t>
        </m:r>
        <m:r>
          <m:t>446</m:t>
        </m:r>
        <m:r>
          <m:t>%</m:t>
        </m:r>
      </m:oMath>
      <w:r>
        <w:t xml:space="preserve"> (257/278) compared to </w:t>
      </w:r>
      <m:oMath>
        <m:r>
          <m:t>87</m:t>
        </m:r>
        <m:r>
          <m:t>.</m:t>
        </m:r>
        <m:r>
          <m:t>050</m:t>
        </m:r>
        <m:r>
          <m:t>%</m:t>
        </m:r>
      </m:oMath>
      <w:r>
        <w:t xml:space="preserve"> (242/278) for Single views, yielding an observed paired difference of </w:t>
      </w:r>
      <m:oMath>
        <m:r>
          <m:t>Δ</m:t>
        </m:r>
        <m:r>
          <m:t>=</m:t>
        </m:r>
        <m:r>
          <m:t>+</m:t>
        </m:r>
        <m:r>
          <m:t>5</m:t>
        </m:r>
        <m:r>
          <m:t>.</m:t>
        </m:r>
        <m:r>
          <m:t>396</m:t>
        </m:r>
        <m:r>
          <m:rPr>
            <m:nor/>
          </m:rPr>
          <m:t> pp</m:t>
        </m:r>
      </m:oMath>
      <w:r>
        <w:t xml:space="preserve"> (+15 net views; both correct = 228, single only = 14, contextual only = 29, both incorrect = 7; McNemar </w:t>
      </w:r>
      <m:oMath>
        <m:sSub>
          <m:e>
            <m:r>
              <m:t>p</m:t>
            </m:r>
          </m:e>
          <m:sub>
            <m:r>
              <m:rPr>
                <m:nor/>
              </m:rPr>
              <m:t>exact</m:t>
            </m:r>
          </m:sub>
        </m:sSub>
        <m:r>
          <m:t>=</m:t>
        </m:r>
        <m:r>
          <m:t>0</m:t>
        </m:r>
        <m:r>
          <m:t>.</m:t>
        </m:r>
        <m:r>
          <m:t>032</m:t>
        </m:r>
      </m:oMath>
      <w:r>
        <w:t xml:space="preserve">). Under RAG at </w:t>
      </w:r>
      <m:oMath>
        <m:r>
          <m:t>k</m:t>
        </m:r>
        <m:r>
          <m:t>=</m:t>
        </m:r>
        <m:r>
          <m:t>1</m:t>
        </m:r>
      </m:oMath>
      <w:r>
        <w:t xml:space="preserve">, Contextual views attained </w:t>
      </w:r>
      <m:oMath>
        <m:r>
          <m:t>92</m:t>
        </m:r>
        <m:r>
          <m:t>.</m:t>
        </m:r>
        <m:r>
          <m:t>446</m:t>
        </m:r>
        <m:r>
          <m:t>%</m:t>
        </m:r>
      </m:oMath>
      <w:r>
        <w:t xml:space="preserve"> (257/278) vs. </w:t>
      </w:r>
      <m:oMath>
        <m:r>
          <m:t>85</m:t>
        </m:r>
        <m:r>
          <m:t>.</m:t>
        </m:r>
        <m:r>
          <m:t>612</m:t>
        </m:r>
        <m:r>
          <m:t>%</m:t>
        </m:r>
      </m:oMath>
      <w:r>
        <w:t xml:space="preserve"> (238/278) for Single views, yielding </w:t>
      </w:r>
      <m:oMath>
        <m:r>
          <m:t>Δ</m:t>
        </m:r>
        <m:r>
          <m:t>=</m:t>
        </m:r>
        <m:r>
          <m:t>+</m:t>
        </m:r>
        <m:r>
          <m:t>6</m:t>
        </m:r>
        <m:r>
          <m:t>.</m:t>
        </m:r>
        <m:r>
          <m:t>835</m:t>
        </m:r>
        <m:r>
          <m:rPr>
            <m:nor/>
          </m:rPr>
          <m:t> pp</m:t>
        </m:r>
      </m:oMath>
      <w:r>
        <w:t xml:space="preserve"> (+19 net views; both correct = 229, single only = 9, contextual only = 28, both incorrect = 12; McNemar </w:t>
      </w:r>
      <m:oMath>
        <m:sSub>
          <m:e>
            <m:r>
              <m:t>p</m:t>
            </m:r>
          </m:e>
          <m:sub>
            <m:r>
              <m:rPr>
                <m:nor/>
              </m:rPr>
              <m:t>exact</m:t>
            </m:r>
          </m:sub>
        </m:sSub>
        <m:r>
          <m:t>=</m:t>
        </m:r>
        <m:r>
          <m:t>0</m:t>
        </m:r>
        <m:r>
          <m:t>.</m:t>
        </m:r>
        <m:r>
          <m:t>003</m:t>
        </m:r>
      </m:oMath>
      <w:r>
        <w:t xml:space="preserve">). In deeper retrieval conditions, the paired gap narrowed: </w:t>
      </w:r>
      <m:oMath>
        <m:r>
          <m:t>Δ</m:t>
        </m:r>
        <m:r>
          <m:t>=</m:t>
        </m:r>
        <m:r>
          <m:t>+</m:t>
        </m:r>
        <m:r>
          <m:t>4</m:t>
        </m:r>
        <m:r>
          <m:t>.</m:t>
        </m:r>
        <m:r>
          <m:t>676</m:t>
        </m:r>
        <m:r>
          <m:rPr>
            <m:nor/>
          </m:rPr>
          <m:t> pp</m:t>
        </m:r>
      </m:oMath>
      <w:r>
        <w:t xml:space="preserve"> for </w:t>
      </w:r>
      <m:oMath>
        <m:r>
          <m:t>k</m:t>
        </m:r>
        <m:r>
          <m:t>=</m:t>
        </m:r>
        <m:r>
          <m:t>3</m:t>
        </m:r>
      </m:oMath>
      <w:r>
        <w:t xml:space="preserve"> (</w:t>
      </w:r>
      <m:oMath>
        <m:sSub>
          <m:e>
            <m:r>
              <m:t>p</m:t>
            </m:r>
          </m:e>
          <m:sub>
            <m:r>
              <m:rPr>
                <m:nor/>
              </m:rPr>
              <m:t>exact</m:t>
            </m:r>
          </m:sub>
        </m:sSub>
        <m:r>
          <m:t>=</m:t>
        </m:r>
        <m:r>
          <m:t>0</m:t>
        </m:r>
        <m:r>
          <m:t>.</m:t>
        </m:r>
        <m:r>
          <m:t>029</m:t>
        </m:r>
      </m:oMath>
      <w:r>
        <w:t xml:space="preserve">), </w:t>
      </w:r>
      <m:oMath>
        <m:r>
          <m:t>Δ</m:t>
        </m:r>
        <m:r>
          <m:t>=</m:t>
        </m:r>
        <m:r>
          <m:t>+</m:t>
        </m:r>
        <m:r>
          <m:t>1</m:t>
        </m:r>
        <m:r>
          <m:t>.</m:t>
        </m:r>
        <m:r>
          <m:t>799</m:t>
        </m:r>
        <m:r>
          <m:rPr>
            <m:nor/>
          </m:rPr>
          <m:t> pp</m:t>
        </m:r>
      </m:oMath>
      <w:r>
        <w:t xml:space="preserve"> for </w:t>
      </w:r>
      <m:oMath>
        <m:r>
          <m:t>k</m:t>
        </m:r>
        <m:r>
          <m:t>=</m:t>
        </m:r>
        <m:r>
          <m:t>5</m:t>
        </m:r>
      </m:oMath>
      <w:r>
        <w:t xml:space="preserve"> (</w:t>
      </w:r>
      <m:oMath>
        <m:sSub>
          <m:e>
            <m:r>
              <m:t>p</m:t>
            </m:r>
          </m:e>
          <m:sub>
            <m:r>
              <m:rPr>
                <m:nor/>
              </m:rPr>
              <m:t>exact</m:t>
            </m:r>
          </m:sub>
        </m:sSub>
        <m:r>
          <m:t>=</m:t>
        </m:r>
        <m:r>
          <m:t>0</m:t>
        </m:r>
        <m:r>
          <m:t>.</m:t>
        </m:r>
        <m:r>
          <m:t>442</m:t>
        </m:r>
      </m:oMath>
      <w:r>
        <w:t xml:space="preserve">), and </w:t>
      </w:r>
      <m:oMath>
        <m:r>
          <m:t>Δ</m:t>
        </m:r>
        <m:r>
          <m:t>=</m:t>
        </m:r>
        <m:r>
          <m:t>+</m:t>
        </m:r>
        <m:r>
          <m:t>0</m:t>
        </m:r>
        <m:r>
          <m:t>.</m:t>
        </m:r>
        <m:r>
          <m:t>000</m:t>
        </m:r>
        <m:r>
          <m:rPr>
            <m:nor/>
          </m:rPr>
          <m:t> pp</m:t>
        </m:r>
      </m:oMath>
      <w:r>
        <w:t xml:space="preserve"> for </w:t>
      </w:r>
      <m:oMath>
        <m:r>
          <m:t>k</m:t>
        </m:r>
        <m:r>
          <m:t>=</m:t>
        </m:r>
        <m:r>
          <m:t>10</m:t>
        </m:r>
      </m:oMath>
      <w:r>
        <w:t xml:space="preserve"> (</w:t>
      </w:r>
      <m:oMath>
        <m:sSub>
          <m:e>
            <m:r>
              <m:t>p</m:t>
            </m:r>
          </m:e>
          <m:sub>
            <m:r>
              <m:rPr>
                <m:nor/>
              </m:rPr>
              <m:t>exact</m:t>
            </m:r>
          </m:sub>
        </m:sSub>
        <m:r>
          <m:t>=</m:t>
        </m:r>
        <m:r>
          <m:t>1</m:t>
        </m:r>
        <m:r>
          <m:t>.</m:t>
        </m:r>
        <m:r>
          <m:t>000</m:t>
        </m:r>
      </m:oMath>
      <w:r>
        <w:t>).</w:t>
      </w:r>
    </w:p>
    <w:p>
      <w:r>
        <w:t>However, forensic decomposition reveals that this observed performance variation across representations is associatively confounded by synthetic scenario label divergence:</w:t>
      </w:r>
    </w:p>
    <w:p>
      <w:pPr>
        <w:spacing w:after="40" w:line="276" w:lineRule="auto"/>
        <w:ind w:left="432" w:hanging="288"/>
      </w:pPr>
      <w:r>
        <w:rPr>
          <w:rFonts w:ascii="Calibri" w:hAnsi="Calibri"/>
          <w:b/>
          <w:color w:val="24292F"/>
        </w:rPr>
        <w:t xml:space="preserve">1. </w:t>
      </w:r>
      <w:r>
        <w:rPr>
          <w:b/>
        </w:rPr>
        <w:t>Composition of Paired Scenarios (</w:t>
      </w:r>
      <m:oMath>
        <m:r>
          <w:rPr>
            <w:b/>
          </w:rPr>
          <m:t>N</m:t>
        </m:r>
        <m:r>
          <w:rPr>
            <w:b/>
          </w:rPr>
          <m:t>=</m:t>
        </m:r>
        <m:r>
          <w:rPr>
            <w:b/>
          </w:rPr>
          <m:t>278</m:t>
        </m:r>
      </m:oMath>
      <w:r>
        <w:rPr>
          <w:b/>
        </w:rPr>
        <w:t xml:space="preserve"> Primary Benchmark Census):</w:t>
      </w:r>
      <w:r>
        <w:t xml:space="preserve"> Across all 278 complete pairs, 238 pairs possess identical ground-truth technique label sets between their single and contextual views, while 40 pairs exhibit divergent ground-truth label sets arising from multi-stage attack scenarios where surrounding multi-event telemetry captures secondary or alternative valid technique manifestations.</w:t>
      </w:r>
    </w:p>
    <w:p>
      <w:pPr>
        <w:keepNext/>
        <w:spacing w:after="40" w:line="276" w:lineRule="auto"/>
        <w:ind w:left="432" w:hanging="288"/>
      </w:pPr>
      <w:r>
        <w:rPr>
          <w:rFonts w:ascii="Calibri" w:hAnsi="Calibri"/>
          <w:b/>
          <w:color w:val="24292F"/>
        </w:rPr>
        <w:t xml:space="preserve">2. </w:t>
      </w:r>
      <w:r>
        <w:rPr>
          <w:b/>
        </w:rPr>
        <w:t>Secondary Stratified Concordance Analysis:</w:t>
      </w:r>
    </w:p>
    <w:p>
      <w:pPr>
        <w:pStyle w:val="ListBullet"/>
        <w:spacing w:after="40" w:line="276" w:lineRule="auto"/>
      </w:pPr>
      <w:r>
        <w:t xml:space="preserve">In </w:t>
      </w:r>
      <w:r>
        <w:rPr>
          <w:rFonts w:ascii="Consolas" w:hAnsi="Consolas"/>
          <w:color w:val="8A1F11"/>
          <w:sz w:val="19"/>
        </w:rPr>
        <w:t>no_rag</w:t>
      </w:r>
      <w:r>
        <w:t xml:space="preserve">, 12 net contextual wins occurred across the 40 mismatched GT pairs (12 net wins / 40 pairs, representing a paired accuracy difference of </w:t>
      </w:r>
      <m:oMath>
        <m:r>
          <m:t>+</m:t>
        </m:r>
        <m:r>
          <m:t>30</m:t>
        </m:r>
        <m:r>
          <m:t>.</m:t>
        </m:r>
        <m:r>
          <m:t>00</m:t>
        </m:r>
        <m:r>
          <m:rPr>
            <m:nor/>
          </m:rPr>
          <m:t> pp</m:t>
        </m:r>
      </m:oMath>
      <w:r>
        <w:t xml:space="preserve">), whereas the 238 identical GT pairs contributed only 3 net wins (3 net wins / 238 pairs, representing a paired accuracy difference of </w:t>
      </w:r>
      <m:oMath>
        <m:r>
          <m:t>+</m:t>
        </m:r>
        <m:r>
          <m:t>1</m:t>
        </m:r>
        <m:r>
          <m:t>.</m:t>
        </m:r>
        <m:r>
          <m:t>26</m:t>
        </m:r>
        <m:r>
          <m:rPr>
            <m:nor/>
          </m:rPr>
          <m:t> pp</m:t>
        </m:r>
      </m:oMath>
      <w:r>
        <w:t>).</w:t>
      </w:r>
    </w:p>
    <w:p>
      <w:pPr>
        <w:pStyle w:val="ListBullet"/>
        <w:spacing w:after="40" w:line="276" w:lineRule="auto"/>
      </w:pPr>
      <w:r>
        <w:t xml:space="preserve">In </w:t>
      </w:r>
      <w:r>
        <w:rPr>
          <w:rFonts w:ascii="Consolas" w:hAnsi="Consolas"/>
          <w:color w:val="8A1F11"/>
          <w:sz w:val="19"/>
        </w:rPr>
        <w:t>rag_k1</w:t>
      </w:r>
      <w:r>
        <w:t xml:space="preserve">, all 19 net contextual wins occurred across the 40 mismatched GT pairs (19 net wins / 40 pairs, </w:t>
      </w:r>
      <m:oMath>
        <m:r>
          <m:t>+</m:t>
        </m:r>
        <m:r>
          <m:t>47</m:t>
        </m:r>
        <m:r>
          <m:t>.</m:t>
        </m:r>
        <m:r>
          <m:t>50</m:t>
        </m:r>
        <m:r>
          <m:rPr>
            <m:nor/>
          </m:rPr>
          <m:t> pp</m:t>
        </m:r>
      </m:oMath>
      <w:r>
        <w:t xml:space="preserve"> paired difference), whereas the 238 identical GT pairs exhibited exactly zero net difference (single-correct equals context-correct, </w:t>
      </w:r>
      <m:oMath>
        <m:r>
          <m:t>+</m:t>
        </m:r>
        <m:r>
          <m:t>0</m:t>
        </m:r>
        <m:r>
          <m:t>.</m:t>
        </m:r>
        <m:r>
          <m:t>00</m:t>
        </m:r>
        <m:r>
          <m:rPr>
            <m:nor/>
          </m:rPr>
          <m:t> pp</m:t>
        </m:r>
      </m:oMath>
      <w:r>
        <w:t>).</w:t>
      </w:r>
    </w:p>
    <w:p>
      <w:r>
        <w:t>Crucially, the primary benchmark evaluation remains grounded in the full, unpruned census of all 278 complete scorable pairs. We characterize the label divergence between single-event and contextual views as a confounding association rather than a proven causal mechanism or evidence against reasoning capability. Researchers must account for representation label shift before asserting causal attribution benefits for contextual log windowing.</w:t>
      </w:r>
    </w:p>
    <w:p>
      <w:pPr>
        <w:pStyle w:val="Heading2"/>
        <w:keepNext/>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pPr>
        <w:keepNext/>
        <w:spacing w:before="160" w:after="60"/>
      </w:pPr>
      <w:r>
        <w:rPr>
          <w:i/>
          <w:color w:val="1F2328"/>
          <w:sz w:val="20"/>
        </w:rPr>
        <w:t>Table 4: Decoupled Failure Decomposition Matrix.</w:t>
      </w:r>
    </w:p>
    <w:tbl>
      <w:tblPr>
        <w:tblW w:type="auto" w:w="0"/>
        <w:jc w:val="center"/>
        <w:tblLayout w:type="fixed"/>
        <w:tblLook w:firstColumn="1" w:firstRow="1" w:lastColumn="0" w:lastRow="0" w:noHBand="0" w:noVBand="1" w:val="04A0"/>
        <w:tblCaption w:val="Table 4: Decoupled Failure Decomposition Matrix"/>
        <w:tblDescription w:val="table_4"/>
      </w:tblPr>
      <w:tblGrid>
        <w:gridCol w:w="1296"/>
        <w:gridCol w:w="1152"/>
        <w:gridCol w:w="1296"/>
        <w:gridCol w:w="1368"/>
        <w:gridCol w:w="1368"/>
        <w:gridCol w:w="1008"/>
        <w:gridCol w:w="936"/>
        <w:gridCol w:w="936"/>
      </w:tblGrid>
      <w:tr>
        <w:trPr>
          <w:cantSplit/>
          <w:tblHeader/>
        </w:trPr>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0"/>
                <w:alias w:val="table_4 Row 0 Col 0"/>
              </w:sdtPr>
              <w:sdtContent>
                <w:r/>
                <w:r>
                  <w:rPr>
                    <w:b/>
                    <w:color w:val="FFFFFF"/>
                    <w:sz w:val="17"/>
                  </w:rPr>
                  <w:t>Condition</w:t>
                </w:r>
              </w:sdtContent>
            </w:sdt>
          </w:p>
        </w:tc>
        <w:tc>
          <w:tcPr>
            <w:tcW w:type="dxa" w:w="1152"/>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1"/>
                <w:alias w:val="table_4 Row 0 Col 1"/>
              </w:sdtPr>
              <w:sdtContent>
                <w:r/>
                <w:r>
                  <w:rPr>
                    <w:b/>
                    <w:color w:val="FFFFFF"/>
                    <w:sz w:val="17"/>
                  </w:rPr>
                  <w:t>Total Errors</w:t>
                </w:r>
              </w:sdtContent>
            </w:sdt>
          </w:p>
        </w:tc>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2"/>
                <w:alias w:val="table_4 Row 0 Col 2"/>
              </w:sdtPr>
              <w:sdtContent>
                <w:r/>
                <w:r>
                  <w:rPr>
                    <w:b/>
                    <w:color w:val="FFFFFF"/>
                    <w:sz w:val="17"/>
                  </w:rPr>
                  <w:t>Upstream Retrieval Miss (</w:t>
                </w:r>
                <m:oMath>
                  <m:r>
                    <w:rPr>
                      <w:color w:val="FFFFFF"/>
                      <w:sz w:val="17"/>
                      <w:b/>
                    </w:rPr>
                    <m:t>GT</m:t>
                  </m:r>
                  <m:r>
                    <w:rPr>
                      <w:color w:val="FFFFFF"/>
                      <w:sz w:val="17"/>
                      <w:b/>
                    </w:rPr>
                    <m:t>∉</m:t>
                  </m:r>
                  <m:r>
                    <w:rPr>
                      <w:color w:val="FFFFFF"/>
                      <w:sz w:val="17"/>
                      <w:b/>
                    </w:rPr>
                    <m:rPr>
                      <m:nor/>
                    </m:rPr>
                    <m:t>Top-</m:t>
                  </m:r>
                  <m:r>
                    <w:rPr>
                      <w:color w:val="FFFFFF"/>
                      <w:sz w:val="17"/>
                      <w:b/>
                    </w:rPr>
                    <m:t>k</m:t>
                  </m:r>
                </m:oMath>
                <w:r>
                  <w:rPr>
                    <w:b/>
                    <w:color w:val="FFFFFF"/>
                    <w:sz w:val="17"/>
                  </w:rPr>
                  <w:t>)</w:t>
                </w:r>
              </w:sdtContent>
            </w:sdt>
          </w:p>
        </w:tc>
        <w:tc>
          <w:tcPr>
            <w:tcW w:type="dxa" w:w="136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3"/>
                <w:alias w:val="table_4 Row 0 Col 3"/>
              </w:sdtPr>
              <w:sdtContent>
                <w:r/>
                <w:r>
                  <w:rPr>
                    <w:b/>
                    <w:color w:val="FFFFFF"/>
                    <w:sz w:val="17"/>
                  </w:rPr>
                  <w:t>Downstream Selection Failure (</w:t>
                </w:r>
                <m:oMath>
                  <m:r>
                    <w:rPr>
                      <w:color w:val="FFFFFF"/>
                      <w:sz w:val="17"/>
                      <w:b/>
                    </w:rPr>
                    <m:t>GT</m:t>
                  </m:r>
                  <m:r>
                    <w:rPr>
                      <w:color w:val="FFFFFF"/>
                      <w:sz w:val="17"/>
                      <w:b/>
                    </w:rPr>
                    <m:t>∈</m:t>
                  </m:r>
                  <m:r>
                    <w:rPr>
                      <w:color w:val="FFFFFF"/>
                      <w:sz w:val="17"/>
                      <w:b/>
                    </w:rPr>
                    <m:rPr>
                      <m:nor/>
                    </m:rPr>
                    <m:t>Top-</m:t>
                  </m:r>
                  <m:r>
                    <w:rPr>
                      <w:color w:val="FFFFFF"/>
                      <w:sz w:val="17"/>
                      <w:b/>
                    </w:rPr>
                    <m:t>k</m:t>
                  </m:r>
                  <m:r>
                    <w:rPr>
                      <w:color w:val="FFFFFF"/>
                      <w:sz w:val="17"/>
                      <w:b/>
                    </w:rPr>
                    <m:t>∧</m:t>
                  </m:r>
                  <m:r>
                    <w:rPr>
                      <w:color w:val="FFFFFF"/>
                      <w:sz w:val="17"/>
                      <w:b/>
                    </w:rPr>
                    <m:rPr>
                      <m:nor/>
                    </m:rPr>
                    <m:t>Wrong</m:t>
                  </m:r>
                </m:oMath>
                <w:r>
                  <w:rPr>
                    <w:b/>
                    <w:color w:val="FFFFFF"/>
                    <w:sz w:val="17"/>
                  </w:rPr>
                  <w:t>)</w:t>
                </w:r>
              </w:sdtContent>
            </w:sdt>
          </w:p>
        </w:tc>
        <w:tc>
          <w:tcPr>
            <w:tcW w:type="dxa" w:w="136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4"/>
                <w:alias w:val="table_4 Row 0 Col 4"/>
              </w:sdtPr>
              <w:sdtContent>
                <w:r/>
                <w:r>
                  <w:rPr>
                    <w:b/>
                    <w:color w:val="FFFFFF"/>
                    <w:sz w:val="17"/>
                  </w:rPr>
                  <w:t>Correct output despite GT-label miss (</w:t>
                </w:r>
                <m:oMath>
                  <m:r>
                    <w:rPr>
                      <w:color w:val="FFFFFF"/>
                      <w:sz w:val="17"/>
                      <w:b/>
                    </w:rPr>
                    <m:t>GT</m:t>
                  </m:r>
                  <m:r>
                    <w:rPr>
                      <w:color w:val="FFFFFF"/>
                      <w:sz w:val="17"/>
                      <w:b/>
                    </w:rPr>
                    <m:t>∉</m:t>
                  </m:r>
                  <m:r>
                    <w:rPr>
                      <w:color w:val="FFFFFF"/>
                      <w:sz w:val="17"/>
                      <w:b/>
                    </w:rPr>
                    <m:rPr>
                      <m:nor/>
                    </m:rPr>
                    <m:t>Top-</m:t>
                  </m:r>
                  <m:r>
                    <w:rPr>
                      <w:color w:val="FFFFFF"/>
                      <w:sz w:val="17"/>
                      <w:b/>
                    </w:rPr>
                    <m:t>k</m:t>
                  </m:r>
                  <m:r>
                    <w:rPr>
                      <w:color w:val="FFFFFF"/>
                      <w:sz w:val="17"/>
                      <w:b/>
                    </w:rPr>
                    <m:t>∧</m:t>
                  </m:r>
                  <m:r>
                    <w:rPr>
                      <w:color w:val="FFFFFF"/>
                      <w:sz w:val="17"/>
                      <w:b/>
                    </w:rPr>
                    <m:rPr>
                      <m:nor/>
                    </m:rPr>
                    <m:t>Correct</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5"/>
                <w:alias w:val="table_4 Row 0 Col 5"/>
              </w:sdtPr>
              <w:sdtContent>
                <w:r/>
                <w:r>
                  <w:rPr>
                    <w:b/>
                    <w:color w:val="FFFFFF"/>
                    <w:sz w:val="17"/>
                  </w:rPr>
                  <w:t>Invalid ATT&amp;CK ID</w:t>
                </w:r>
              </w:sdtContent>
            </w:sdt>
          </w:p>
        </w:tc>
        <w:tc>
          <w:tcPr>
            <w:tcW w:type="dxa" w:w="93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6"/>
                <w:alias w:val="table_4 Row 0 Col 6"/>
              </w:sdtPr>
              <w:sdtContent>
                <w:r/>
                <w:r>
                  <w:rPr>
                    <w:b/>
                    <w:color w:val="FFFFFF"/>
                    <w:sz w:val="17"/>
                  </w:rPr>
                  <w:t>Parse Failure</w:t>
                </w:r>
              </w:sdtContent>
            </w:sdt>
          </w:p>
        </w:tc>
        <w:tc>
          <w:tcPr>
            <w:tcW w:type="dxa" w:w="93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7"/>
                <w:alias w:val="table_4 Row 0 Col 7"/>
              </w:sdtPr>
              <w:sdtContent>
                <w:r/>
                <w:r>
                  <w:rPr>
                    <w:b/>
                    <w:color w:val="FFFFFF"/>
                    <w:sz w:val="17"/>
                  </w:rPr>
                  <w:t>Provider / Timeout Failure</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0"/>
                <w:alias w:val="table_4 Row 1 Col 0"/>
              </w:sdtPr>
              <w:sdtContent>
                <w:r/>
                <w:r>
                  <w:rPr>
                    <w:rFonts w:ascii="Consolas" w:hAnsi="Consolas"/>
                    <w:color w:val="8A1F11"/>
                    <w:sz w:val="17"/>
                  </w:rPr>
                  <w:t>no_rag</w:t>
                </w:r>
              </w:sdtContent>
            </w:sdt>
          </w:p>
        </w:tc>
        <w:tc>
          <w:tcPr>
            <w:tcW w:type="dxa" w:w="1152"/>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1"/>
                <w:alias w:val="table_4 Row 1 Col 1"/>
              </w:sdtPr>
              <w:sdtContent>
                <w:r/>
                <w:r>
                  <w:rPr>
                    <w:color w:val="24292F"/>
                    <w:sz w:val="17"/>
                  </w:rPr>
                  <w:t>158</w:t>
                </w:r>
              </w:sdtContent>
            </w:sdt>
          </w:p>
        </w:tc>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2"/>
                <w:alias w:val="table_4 Row 1 Col 2"/>
              </w:sdtPr>
              <w:sdtContent>
                <w:r/>
                <w:r>
                  <w:rPr>
                    <w:color w:val="24292F"/>
                    <w:sz w:val="17"/>
                  </w:rPr>
                  <w:t>N/A</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3"/>
                <w:alias w:val="table_4 Row 1 Col 3"/>
              </w:sdtPr>
              <w:sdtContent>
                <w:r/>
                <w:r>
                  <w:rPr>
                    <w:color w:val="24292F"/>
                    <w:sz w:val="17"/>
                  </w:rPr>
                  <w:t>N/A</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4"/>
                <w:alias w:val="table_4 Row 1 Col 4"/>
              </w:sdtPr>
              <w:sdtContent>
                <w:r/>
                <w:r>
                  <w:rPr>
                    <w:color w:val="24292F"/>
                    <w:sz w:val="17"/>
                  </w:rPr>
                  <w:t>N/A</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5"/>
                <w:alias w:val="table_4 Row 1 Col 5"/>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6"/>
                <w:alias w:val="table_4 Row 1 Col 6"/>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7"/>
                <w:alias w:val="table_4 Row 1 Col 7"/>
              </w:sdtPr>
              <w:sdtContent>
                <w:r/>
                <w:r>
                  <w:rPr>
                    <w:color w:val="24292F"/>
                    <w:sz w:val="17"/>
                  </w:rPr>
                  <w:t>0</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0"/>
                <w:alias w:val="table_4 Row 2 Col 0"/>
              </w:sdtPr>
              <w:sdtContent>
                <w:r/>
                <w:r>
                  <w:rPr>
                    <w:rFonts w:ascii="Consolas" w:hAnsi="Consolas"/>
                    <w:color w:val="8A1F11"/>
                    <w:sz w:val="17"/>
                  </w:rPr>
                  <w:t>rag_k1</w:t>
                </w:r>
              </w:sdtContent>
            </w:sdt>
          </w:p>
        </w:tc>
        <w:tc>
          <w:tcPr>
            <w:tcW w:type="dxa" w:w="1152"/>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1"/>
                <w:alias w:val="table_4 Row 2 Col 1"/>
              </w:sdtPr>
              <w:sdtContent>
                <w:r/>
                <w:r>
                  <w:rPr>
                    <w:color w:val="24292F"/>
                    <w:sz w:val="17"/>
                  </w:rPr>
                  <w:t>165</w:t>
                </w:r>
              </w:sdtContent>
            </w:sdt>
          </w:p>
        </w:tc>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2"/>
                <w:alias w:val="table_4 Row 2 Col 2"/>
              </w:sdtPr>
              <w:sdtContent>
                <w:r/>
                <w:r>
                  <w:rPr>
                    <w:color w:val="24292F"/>
                    <w:sz w:val="17"/>
                  </w:rPr>
                  <w:t>691</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3"/>
                <w:alias w:val="table_4 Row 2 Col 3"/>
              </w:sdtPr>
              <w:sdtContent>
                <w:r/>
                <w:r>
                  <w:rPr>
                    <w:color w:val="24292F"/>
                    <w:sz w:val="17"/>
                  </w:rPr>
                  <w:t>0</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4"/>
                <w:alias w:val="table_4 Row 2 Col 4"/>
              </w:sdtPr>
              <w:sdtContent>
                <w:r/>
                <w:r>
                  <w:rPr>
                    <w:color w:val="24292F"/>
                    <w:sz w:val="17"/>
                  </w:rPr>
                  <w:t>526</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5"/>
                <w:alias w:val="table_4 Row 2 Col 5"/>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6"/>
                <w:alias w:val="table_4 Row 2 Col 6"/>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7"/>
                <w:alias w:val="table_4 Row 2 Col 7"/>
              </w:sdtPr>
              <w:sdtContent>
                <w:r/>
                <w:r>
                  <w:rPr>
                    <w:color w:val="24292F"/>
                    <w:sz w:val="17"/>
                  </w:rPr>
                  <w:t>0</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0"/>
                <w:alias w:val="table_4 Row 3 Col 0"/>
              </w:sdtPr>
              <w:sdtContent>
                <w:r/>
                <w:r>
                  <w:rPr>
                    <w:rFonts w:ascii="Consolas" w:hAnsi="Consolas"/>
                    <w:color w:val="8A1F11"/>
                    <w:sz w:val="17"/>
                  </w:rPr>
                  <w:t>rag_k3</w:t>
                </w:r>
              </w:sdtContent>
            </w:sdt>
          </w:p>
        </w:tc>
        <w:tc>
          <w:tcPr>
            <w:tcW w:type="dxa" w:w="1152"/>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1"/>
                <w:alias w:val="table_4 Row 3 Col 1"/>
              </w:sdtPr>
              <w:sdtContent>
                <w:r/>
                <w:r>
                  <w:rPr>
                    <w:color w:val="24292F"/>
                    <w:sz w:val="17"/>
                  </w:rPr>
                  <w:t>154</w:t>
                </w:r>
              </w:sdtContent>
            </w:sdt>
          </w:p>
        </w:tc>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2"/>
                <w:alias w:val="table_4 Row 3 Col 2"/>
              </w:sdtPr>
              <w:sdtContent>
                <w:r/>
                <w:r>
                  <w:rPr>
                    <w:color w:val="24292F"/>
                    <w:sz w:val="17"/>
                  </w:rPr>
                  <w:t>600</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3"/>
                <w:alias w:val="table_4 Row 3 Col 3"/>
              </w:sdtPr>
              <w:sdtContent>
                <w:r/>
                <w:r>
                  <w:rPr>
                    <w:color w:val="24292F"/>
                    <w:sz w:val="17"/>
                  </w:rPr>
                  <w:t>3</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4"/>
                <w:alias w:val="table_4 Row 3 Col 4"/>
              </w:sdtPr>
              <w:sdtContent>
                <w:r/>
                <w:r>
                  <w:rPr>
                    <w:color w:val="24292F"/>
                    <w:sz w:val="17"/>
                  </w:rPr>
                  <w:t>449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5"/>
                <w:alias w:val="table_4 Row 3 Col 5"/>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6"/>
                <w:alias w:val="table_4 Row 3 Col 6"/>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7"/>
                <w:alias w:val="table_4 Row 3 Col 7"/>
              </w:sdtPr>
              <w:sdtContent>
                <w:r/>
                <w:r>
                  <w:rPr>
                    <w:color w:val="24292F"/>
                    <w:sz w:val="17"/>
                  </w:rPr>
                  <w:t>0</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0"/>
                <w:alias w:val="table_4 Row 4 Col 0"/>
              </w:sdtPr>
              <w:sdtContent>
                <w:r/>
                <w:r>
                  <w:rPr>
                    <w:rFonts w:ascii="Consolas" w:hAnsi="Consolas"/>
                    <w:color w:val="8A1F11"/>
                    <w:sz w:val="17"/>
                  </w:rPr>
                  <w:t>rag_k5</w:t>
                </w:r>
              </w:sdtContent>
            </w:sdt>
          </w:p>
        </w:tc>
        <w:tc>
          <w:tcPr>
            <w:tcW w:type="dxa" w:w="1152"/>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1"/>
                <w:alias w:val="table_4 Row 4 Col 1"/>
              </w:sdtPr>
              <w:sdtContent>
                <w:r/>
                <w:r>
                  <w:rPr>
                    <w:color w:val="24292F"/>
                    <w:sz w:val="17"/>
                  </w:rPr>
                  <w:t>152</w:t>
                </w:r>
              </w:sdtContent>
            </w:sdt>
          </w:p>
        </w:tc>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2"/>
                <w:alias w:val="table_4 Row 4 Col 2"/>
              </w:sdtPr>
              <w:sdtContent>
                <w:r/>
                <w:r>
                  <w:rPr>
                    <w:color w:val="24292F"/>
                    <w:sz w:val="17"/>
                  </w:rPr>
                  <w:t>545</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3"/>
                <w:alias w:val="table_4 Row 4 Col 3"/>
              </w:sdtPr>
              <w:sdtContent>
                <w:r/>
                <w:r>
                  <w:rPr>
                    <w:color w:val="24292F"/>
                    <w:sz w:val="17"/>
                  </w:rPr>
                  <w:t>5</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4"/>
                <w:alias w:val="table_4 Row 4 Col 4"/>
              </w:sdtPr>
              <w:sdtContent>
                <w:r/>
                <w:r>
                  <w:rPr>
                    <w:color w:val="24292F"/>
                    <w:sz w:val="17"/>
                  </w:rPr>
                  <w:t>398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5"/>
                <w:alias w:val="table_4 Row 4 Col 5"/>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6"/>
                <w:alias w:val="table_4 Row 4 Col 6"/>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7"/>
                <w:alias w:val="table_4 Row 4 Col 7"/>
              </w:sdtPr>
              <w:sdtContent>
                <w:r/>
                <w:r>
                  <w:rPr>
                    <w:color w:val="24292F"/>
                    <w:sz w:val="17"/>
                  </w:rPr>
                  <w:t>0</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0"/>
                <w:alias w:val="table_4 Row 5 Col 0"/>
              </w:sdtPr>
              <w:sdtContent>
                <w:r/>
                <w:r>
                  <w:rPr>
                    <w:rFonts w:ascii="Consolas" w:hAnsi="Consolas"/>
                    <w:color w:val="8A1F11"/>
                    <w:sz w:val="17"/>
                  </w:rPr>
                  <w:t>rag_k10</w:t>
                </w:r>
              </w:sdtContent>
            </w:sdt>
          </w:p>
        </w:tc>
        <w:tc>
          <w:tcPr>
            <w:tcW w:type="dxa" w:w="1152"/>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1"/>
                <w:alias w:val="table_4 Row 5 Col 1"/>
              </w:sdtPr>
              <w:sdtContent>
                <w:r/>
                <w:r>
                  <w:rPr>
                    <w:color w:val="24292F"/>
                    <w:sz w:val="17"/>
                  </w:rPr>
                  <w:t>147</w:t>
                </w:r>
              </w:sdtContent>
            </w:sdt>
          </w:p>
        </w:tc>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2"/>
                <w:alias w:val="table_4 Row 5 Col 2"/>
              </w:sdtPr>
              <w:sdtContent>
                <w:r/>
                <w:r>
                  <w:rPr>
                    <w:color w:val="24292F"/>
                    <w:sz w:val="17"/>
                  </w:rPr>
                  <w:t>397</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3"/>
                <w:alias w:val="table_4 Row 5 Col 3"/>
              </w:sdtPr>
              <w:sdtContent>
                <w:r/>
                <w:r>
                  <w:rPr>
                    <w:color w:val="24292F"/>
                    <w:sz w:val="17"/>
                  </w:rPr>
                  <w:t>28</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4"/>
                <w:alias w:val="table_4 Row 5 Col 4"/>
              </w:sdtPr>
              <w:sdtContent>
                <w:r/>
                <w:r>
                  <w:rPr>
                    <w:color w:val="24292F"/>
                    <w:sz w:val="17"/>
                  </w:rPr>
                  <w:t>278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5"/>
                <w:alias w:val="table_4 Row 5 Col 5"/>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6"/>
                <w:alias w:val="table_4 Row 5 Col 6"/>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7"/>
                <w:alias w:val="table_4 Row 5 Col 7"/>
              </w:sdtPr>
              <w:sdtContent>
                <w:r/>
                <w:r>
                  <w:rPr>
                    <w:color w:val="24292F"/>
                    <w:sz w:val="17"/>
                  </w:rPr>
                  <w:t>0</w:t>
                </w:r>
              </w:sdtContent>
            </w:sdt>
          </w:p>
        </w:tc>
      </w:tr>
    </w:tbl>
    <w:p>
      <w:pPr>
        <w:spacing w:after="120"/>
      </w:pPr>
    </w:p>
    <w:p>
      <w:pPr>
        <w:keepNext/>
        <w:spacing w:before="200" w:after="60"/>
        <w:jc w:val="center"/>
      </w:pPr>
      <w:sdt>
        <w:sdtPr>
          <w:tag w:val="fig_4"/>
          <w:alias w:val="Figure 4"/>
        </w:sdtPr>
        <w:sdtContent>
          <w:r>
            <w:drawing>
              <wp:inline xmlns:a="http://schemas.openxmlformats.org/drawingml/2006/main" xmlns:pic="http://schemas.openxmlformats.org/drawingml/2006/picture">
                <wp:extent cx="5943600" cy="3566160"/>
                <wp:docPr id="4" name="Picture 4"/>
                <wp:cNvGraphicFramePr>
                  <a:graphicFrameLocks noChangeAspect="1"/>
                </wp:cNvGraphicFramePr>
                <a:graphic>
                  <a:graphicData uri="http://schemas.openxmlformats.org/drawingml/2006/picture">
                    <pic:pic>
                      <pic:nvPicPr>
                        <pic:cNvPr id="0" name="fig4_retrieval_hit_rate.png"/>
                        <pic:cNvPicPr/>
                      </pic:nvPicPr>
                      <pic:blipFill>
                        <a:blip r:embed="rId13"/>
                        <a:stretch>
                          <a:fillRect/>
                        </a:stretch>
                      </pic:blipFill>
                      <pic:spPr>
                        <a:xfrm>
                          <a:off x="0" y="0"/>
                          <a:ext cx="5943600" cy="3566160"/>
                        </a:xfrm>
                        <a:prstGeom prst="rect"/>
                      </pic:spPr>
                    </pic:pic>
                  </a:graphicData>
                </a:graphic>
              </wp:inline>
            </w:drawing>
          </w:r>
        </w:sdtContent>
      </w:sdt>
    </w:p>
    <w:p>
      <w:pPr>
        <w:spacing w:before="40" w:after="200"/>
        <w:jc w:val="center"/>
      </w:pPr>
      <w:r>
        <w:rPr>
          <w:i/>
          <w:color w:val="57606A"/>
          <w:sz w:val="19"/>
        </w:rPr>
        <w:t>Figure 4: Standalone Retrieval Hit Rate across Depths k=1, 3, 5, 10 on 718 Scorable TEST Views.</w:t>
      </w:r>
    </w:p>
    <w:p>
      <w:pPr>
        <w:keepNext/>
        <w:spacing w:before="200" w:after="60"/>
        <w:jc w:val="center"/>
      </w:pPr>
      <w:sdt>
        <w:sdtPr>
          <w:tag w:val="fig_5"/>
          <w:alias w:val="Figure 5"/>
        </w:sdtPr>
        <w:sdtContent>
          <w:r>
            <w:drawing>
              <wp:inline xmlns:a="http://schemas.openxmlformats.org/drawingml/2006/main" xmlns:pic="http://schemas.openxmlformats.org/drawingml/2006/picture">
                <wp:extent cx="5943600" cy="3962400"/>
                <wp:docPr id="5" name="Picture 5"/>
                <wp:cNvGraphicFramePr>
                  <a:graphicFrameLocks noChangeAspect="1"/>
                </wp:cNvGraphicFramePr>
                <a:graphic>
                  <a:graphicData uri="http://schemas.openxmlformats.org/drawingml/2006/picture">
                    <pic:pic>
                      <pic:nvPicPr>
                        <pic:cNvPr id="0" name="fig5_conditional_accuracy.png"/>
                        <pic:cNvPicPr/>
                      </pic:nvPicPr>
                      <pic:blipFill>
                        <a:blip r:embed="rId14"/>
                        <a:stretch>
                          <a:fillRect/>
                        </a:stretch>
                      </pic:blipFill>
                      <pic:spPr>
                        <a:xfrm>
                          <a:off x="0" y="0"/>
                          <a:ext cx="5943600" cy="3962400"/>
                        </a:xfrm>
                        <a:prstGeom prst="rect"/>
                      </pic:spPr>
                    </pic:pic>
                  </a:graphicData>
                </a:graphic>
              </wp:inline>
            </w:drawing>
          </w:r>
        </w:sdtContent>
      </w:sdt>
    </w:p>
    <w:p>
      <w:pPr>
        <w:spacing w:before="40" w:after="200"/>
        <w:jc w:val="center"/>
      </w:pPr>
      <w:r>
        <w:rPr>
          <w:i/>
          <w:color w:val="57606A"/>
          <w:sz w:val="19"/>
        </w:rPr>
        <w:t>Figure 5: Conditional Attribution Accuracy: P(Correct | Retrieved) vs. P(Correct | Absent) across Retrieval Depths.</w:t>
      </w:r>
    </w:p>
    <w:p>
      <w:pPr>
        <w:pStyle w:val="Heading3"/>
        <w:keepNext/>
        <w:spacing w:before="160" w:after="40"/>
      </w:pPr>
      <w:r>
        <w:rPr>
          <w:rFonts w:ascii="Calibri" w:hAnsi="Calibri"/>
          <w:b/>
          <w:i/>
          <w:color w:val="333344"/>
          <w:sz w:val="22"/>
        </w:rPr>
        <w:t>Canonical Retrieval Performance and Historical Diagnostic Baseline</w:t>
      </w:r>
    </w:p>
    <w:p>
      <w:r>
        <w:t>In the canonical experimental execution, end-to-end evaluation is completed across the 718 scorable TEST views. To contextualize these findings, we distinguish between the preliminary exploratory baseline conducted in Task T20 across 756 positive benchmark views (718 TEST + 38 DEV views) and the certified canonical evaluation restricted strictly to the 718 scorable TEST views:</w:t>
      </w:r>
    </w:p>
    <w:p>
      <w:pPr>
        <w:keepNext/>
        <w:spacing w:after="40" w:line="276" w:lineRule="auto"/>
        <w:ind w:left="432" w:hanging="288"/>
      </w:pPr>
      <w:r>
        <w:rPr>
          <w:rFonts w:ascii="Calibri" w:hAnsi="Calibri"/>
          <w:b/>
          <w:color w:val="24292F"/>
        </w:rPr>
        <w:t xml:space="preserve">1. </w:t>
      </w:r>
      <w:r>
        <w:rPr>
          <w:b/>
        </w:rPr>
        <w:t>Independent Failure Axes and Overlap Accounting:</w:t>
      </w:r>
    </w:p>
    <w:p>
      <w:r>
        <w:t>Upstream retrieval misses (</w:t>
      </w:r>
      <m:oMath>
        <m:r>
          <m:t>GT</m:t>
        </m:r>
        <m:r>
          <m:t>∉</m:t>
        </m:r>
        <m:r>
          <m:rPr>
            <m:nor/>
          </m:rPr>
          <m:t>Top-</m:t>
        </m:r>
        <m:r>
          <m:t>k</m:t>
        </m:r>
      </m:oMath>
      <w:r>
        <w:t>) and downstream misclassifications represent independent diagnostic measurement axes with substantial overlap rather than mutually exclusive partitions:</w:t>
      </w:r>
    </w:p>
    <w:p>
      <w:pPr>
        <w:pStyle w:val="ListBullet"/>
        <w:spacing w:after="40" w:line="276" w:lineRule="auto"/>
      </w:pPr>
      <w:r>
        <w:rPr>
          <w:i/>
        </w:rPr>
        <w:t>Retrieval Misses across 718 Scorable Views:</w:t>
      </w:r>
      <w:r>
        <w:t xml:space="preserve"> 691 views at </w:t>
      </w:r>
      <m:oMath>
        <m:r>
          <m:t>k</m:t>
        </m:r>
        <m:r>
          <m:t>=</m:t>
        </m:r>
        <m:r>
          <m:t>1</m:t>
        </m:r>
      </m:oMath>
      <w:r>
        <w:t xml:space="preserve"> (96.24%), 600 views at </w:t>
      </w:r>
      <m:oMath>
        <m:r>
          <m:t>k</m:t>
        </m:r>
        <m:r>
          <m:t>=</m:t>
        </m:r>
        <m:r>
          <m:t>3</m:t>
        </m:r>
      </m:oMath>
      <w:r>
        <w:t xml:space="preserve"> (83.57%), 545 views at </w:t>
      </w:r>
      <m:oMath>
        <m:r>
          <m:t>k</m:t>
        </m:r>
        <m:r>
          <m:t>=</m:t>
        </m:r>
        <m:r>
          <m:t>5</m:t>
        </m:r>
      </m:oMath>
      <w:r>
        <w:t xml:space="preserve"> (75.91%), and 397 views at </w:t>
      </w:r>
      <m:oMath>
        <m:r>
          <m:t>k</m:t>
        </m:r>
        <m:r>
          <m:t>=</m:t>
        </m:r>
        <m:r>
          <m:t>10</m:t>
        </m:r>
      </m:oMath>
      <w:r>
        <w:t xml:space="preserve"> (55.29%).</w:t>
      </w:r>
    </w:p>
    <w:p>
      <w:pPr>
        <w:pStyle w:val="ListBullet"/>
        <w:spacing w:after="40" w:line="276" w:lineRule="auto"/>
      </w:pPr>
      <w:r>
        <w:rPr>
          <w:i/>
        </w:rPr>
        <w:t>Classification Errors across Conditions:</w:t>
      </w:r>
      <w:r>
        <w:t xml:space="preserve"> 158 in </w:t>
      </w:r>
      <w:r>
        <w:rPr>
          <w:rFonts w:ascii="Consolas" w:hAnsi="Consolas"/>
          <w:color w:val="8A1F11"/>
          <w:sz w:val="19"/>
        </w:rPr>
        <w:t>no_rag</w:t>
      </w:r>
      <w:r>
        <w:t xml:space="preserve">, 165 at </w:t>
      </w:r>
      <m:oMath>
        <m:r>
          <m:t>k</m:t>
        </m:r>
        <m:r>
          <m:t>=</m:t>
        </m:r>
        <m:r>
          <m:t>1</m:t>
        </m:r>
      </m:oMath>
      <w:r>
        <w:t xml:space="preserve">, 154 at </w:t>
      </w:r>
      <m:oMath>
        <m:r>
          <m:t>k</m:t>
        </m:r>
        <m:r>
          <m:t>=</m:t>
        </m:r>
        <m:r>
          <m:t>3</m:t>
        </m:r>
      </m:oMath>
      <w:r>
        <w:t xml:space="preserve">, 152 at </w:t>
      </w:r>
      <m:oMath>
        <m:r>
          <m:t>k</m:t>
        </m:r>
        <m:r>
          <m:t>=</m:t>
        </m:r>
        <m:r>
          <m:t>5</m:t>
        </m:r>
      </m:oMath>
      <w:r>
        <w:t xml:space="preserve">, and 147 at </w:t>
      </w:r>
      <m:oMath>
        <m:r>
          <m:t>k</m:t>
        </m:r>
        <m:r>
          <m:t>=</m:t>
        </m:r>
        <m:r>
          <m:t>10</m:t>
        </m:r>
      </m:oMath>
      <w:r>
        <w:t>.</w:t>
      </w:r>
    </w:p>
    <w:p>
      <w:pPr>
        <w:pStyle w:val="ListBullet"/>
        <w:spacing w:after="40" w:line="276" w:lineRule="auto"/>
      </w:pPr>
      <w:r>
        <w:t xml:space="preserve">Because models can emit the correct technique even when it was absent from retrieved candidates (e.g., 278 views at </w:t>
      </w:r>
      <m:oMath>
        <m:r>
          <m:t>k</m:t>
        </m:r>
        <m:r>
          <m:t>=</m:t>
        </m:r>
        <m:r>
          <m:t>10</m:t>
        </m:r>
      </m:oMath>
      <w:r>
        <w:t>), retrieval misses and error counts must not be summed together.</w:t>
      </w:r>
    </w:p>
    <w:p>
      <w:pPr>
        <w:keepNext/>
        <w:spacing w:after="40" w:line="276" w:lineRule="auto"/>
        <w:ind w:left="432" w:hanging="288"/>
      </w:pPr>
      <w:r>
        <w:rPr>
          <w:rFonts w:ascii="Calibri" w:hAnsi="Calibri"/>
          <w:b/>
          <w:color w:val="24292F"/>
        </w:rPr>
        <w:t xml:space="preserve">2. </w:t>
      </w:r>
      <w:r>
        <w:rPr>
          <w:b/>
        </w:rPr>
        <w:t xml:space="preserve">Conditional Accuracy and Error Breakdown at </w:t>
      </w:r>
      <m:oMath>
        <m:r>
          <w:rPr>
            <w:b/>
          </w:rPr>
          <m:t>k</m:t>
        </m:r>
        <m:r>
          <w:rPr>
            <w:b/>
          </w:rPr>
          <m:t>=</m:t>
        </m:r>
        <m:r>
          <w:rPr>
            <w:b/>
          </w:rPr>
          <m:t>10</m:t>
        </m:r>
      </m:oMath>
      <w:r>
        <w:rPr>
          <w:b/>
        </w:rPr>
        <w:t>:</w:t>
      </w:r>
    </w:p>
    <w:p>
      <w:r>
        <w:t xml:space="preserve">At retrieval depth </w:t>
      </w:r>
      <m:oMath>
        <m:r>
          <m:t>k</m:t>
        </m:r>
        <m:r>
          <m:t>=</m:t>
        </m:r>
        <m:r>
          <m:t>10</m:t>
        </m:r>
      </m:oMath>
      <w:r>
        <w:t>, the standalone retriever placed at least one ground-truth technique in Top-10 for 321 scorable views (44.71%), while missing ground truth in 397 views (55.29% miss rate):</w:t>
      </w:r>
    </w:p>
    <w:p>
      <w:pPr>
        <w:pStyle w:val="ListBullet"/>
        <w:spacing w:after="40" w:line="276" w:lineRule="auto"/>
      </w:pPr>
      <w:r>
        <w:rPr>
          <w:i/>
        </w:rPr>
        <w:t>When Ground Truth was Retrieved:</w:t>
      </w:r>
      <w:r>
        <w:t xml:space="preserve"> The model selected the correct technique in 293 of 321 views, yielding </w:t>
      </w:r>
      <m:oMath>
        <m:r>
          <m:t>P</m:t>
        </m:r>
        <m:r>
          <m:t>(</m:t>
        </m:r>
        <m:r>
          <m:rPr>
            <m:nor/>
          </m:rPr>
          <m:t>Correct</m:t>
        </m:r>
        <m:r>
          <m:t>|</m:t>
        </m:r>
        <m:r>
          <m:rPr>
            <m:nor/>
          </m:rPr>
          <m:t>Retrieved</m:t>
        </m:r>
        <m:r>
          <m:t>)</m:t>
        </m:r>
        <m:r>
          <m:t>=</m:t>
        </m:r>
        <m:r>
          <m:t>91</m:t>
        </m:r>
        <m:r>
          <m:t>.</m:t>
        </m:r>
        <m:r>
          <m:t>28</m:t>
        </m:r>
        <m:r>
          <m:t>%</m:t>
        </m:r>
      </m:oMath>
      <w:r>
        <w:t xml:space="preserve"> (</w:t>
      </w:r>
      <m:oMath>
        <m:r>
          <m:t>293</m:t>
        </m:r>
        <m:r>
          <m:t>/</m:t>
        </m:r>
        <m:r>
          <m:t>321</m:t>
        </m:r>
        <m:r>
          <m:t>=</m:t>
        </m:r>
        <m:r>
          <m:t>91</m:t>
        </m:r>
        <m:r>
          <m:t>.</m:t>
        </m:r>
        <m:r>
          <m:t>2773</m:t>
        </m:r>
        <m:r>
          <m:t>%</m:t>
        </m:r>
      </m:oMath>
      <w:r>
        <w:t>), with 28 downstream selection failures.</w:t>
      </w:r>
    </w:p>
    <w:p>
      <w:pPr>
        <w:pStyle w:val="ListBullet"/>
        <w:spacing w:after="40" w:line="276" w:lineRule="auto"/>
      </w:pPr>
      <w:r>
        <w:rPr>
          <w:i/>
        </w:rPr>
        <w:t>When Ground Truth was Absent:</w:t>
      </w:r>
      <w:r>
        <w:t xml:space="preserve"> The model still achieved correct attribution in 278 of 397 views, yielding </w:t>
      </w:r>
      <m:oMath>
        <m:r>
          <m:t>P</m:t>
        </m:r>
        <m:r>
          <m:t>(</m:t>
        </m:r>
        <m:r>
          <m:rPr>
            <m:nor/>
          </m:rPr>
          <m:t>Correct</m:t>
        </m:r>
        <m:r>
          <m:t>|</m:t>
        </m:r>
        <m:r>
          <m:rPr>
            <m:nor/>
          </m:rPr>
          <m:t>Absent</m:t>
        </m:r>
        <m:r>
          <m:t>)</m:t>
        </m:r>
        <m:r>
          <m:t>=</m:t>
        </m:r>
        <m:r>
          <m:t>70</m:t>
        </m:r>
        <m:r>
          <m:t>.</m:t>
        </m:r>
        <m:r>
          <m:t>03</m:t>
        </m:r>
        <m:r>
          <m:t>%</m:t>
        </m:r>
      </m:oMath>
      <w:r>
        <w:t xml:space="preserve"> (</w:t>
      </w:r>
      <m:oMath>
        <m:r>
          <m:t>278</m:t>
        </m:r>
        <m:r>
          <m:t>/</m:t>
        </m:r>
        <m:r>
          <m:t>397</m:t>
        </m:r>
        <m:r>
          <m:t>=</m:t>
        </m:r>
        <m:r>
          <m:t>70</m:t>
        </m:r>
        <m:r>
          <m:t>.</m:t>
        </m:r>
        <m:r>
          <m:t>0252</m:t>
        </m:r>
        <m:r>
          <m:t>%</m:t>
        </m:r>
      </m:oMath>
      <w:r>
        <w:t>), with 119 downstream misclassifications.</w:t>
      </w:r>
    </w:p>
    <w:p>
      <w:pPr>
        <w:pStyle w:val="ListBullet"/>
        <w:spacing w:after="40" w:line="276" w:lineRule="auto"/>
      </w:pPr>
      <w:r>
        <w:rPr>
          <w:i/>
        </w:rPr>
        <w:t>Primary Error Locus:</w:t>
      </w:r>
      <w:r>
        <w:t xml:space="preserve"> Consequently, </w:t>
      </w:r>
      <w:r>
        <w:rPr>
          <w:b/>
        </w:rPr>
        <w:t xml:space="preserve">80.95% of all classification errors at </w:t>
      </w:r>
      <m:oMath>
        <m:r>
          <w:rPr>
            <w:b/>
          </w:rPr>
          <m:t>k</m:t>
        </m:r>
        <m:r>
          <w:rPr>
            <w:b/>
          </w:rPr>
          <m:t>=</m:t>
        </m:r>
        <m:r>
          <w:rPr>
            <w:b/>
          </w:rPr>
          <m:t>10</m:t>
        </m:r>
      </m:oMath>
      <w:r>
        <w:rPr>
          <w:b/>
        </w:rPr>
        <w:t xml:space="preserve"> (119 of 147)</w:t>
      </w:r>
      <w:r>
        <w:t xml:space="preserve"> occurred in the retrieval miss branch (</w:t>
      </w:r>
      <m:oMath>
        <m:r>
          <m:t>GT</m:t>
        </m:r>
        <m:r>
          <m:t>∉</m:t>
        </m:r>
        <m:r>
          <m:rPr>
            <m:nor/>
          </m:rPr>
          <m:t>Top-</m:t>
        </m:r>
        <m:r>
          <m:t>10</m:t>
        </m:r>
      </m:oMath>
      <w:r>
        <w:t>). Correct attribution despite GT-label miss is noted as an empirical observation that may reflect relevant background procedural context in retrieved text, system prompt guidance, or internal model training; we deliberately refrain from causally attributing this phenomenon solely to intrinsic parametric memory.</w:t>
      </w:r>
    </w:p>
    <w:p>
      <w:pPr>
        <w:keepNext/>
        <w:spacing w:before="200" w:after="60"/>
        <w:jc w:val="center"/>
      </w:pPr>
      <w:sdt>
        <w:sdtPr>
          <w:tag w:val="fig_8"/>
          <w:alias w:val="Figure 8"/>
        </w:sdtPr>
        <w:sdtContent>
          <w:r>
            <w:drawing>
              <wp:inline xmlns:a="http://schemas.openxmlformats.org/drawingml/2006/main" xmlns:pic="http://schemas.openxmlformats.org/drawingml/2006/picture">
                <wp:extent cx="5943600" cy="3724656"/>
                <wp:docPr id="6" name="Picture 6"/>
                <wp:cNvGraphicFramePr>
                  <a:graphicFrameLocks noChangeAspect="1"/>
                </wp:cNvGraphicFramePr>
                <a:graphic>
                  <a:graphicData uri="http://schemas.openxmlformats.org/drawingml/2006/picture">
                    <pic:pic>
                      <pic:nvPicPr>
                        <pic:cNvPr id="0" name="fig8_failure_decomposition.png"/>
                        <pic:cNvPicPr/>
                      </pic:nvPicPr>
                      <pic:blipFill>
                        <a:blip r:embed="rId15"/>
                        <a:stretch>
                          <a:fillRect/>
                        </a:stretch>
                      </pic:blipFill>
                      <pic:spPr>
                        <a:xfrm>
                          <a:off x="0" y="0"/>
                          <a:ext cx="5943600" cy="3724656"/>
                        </a:xfrm>
                        <a:prstGeom prst="rect"/>
                      </pic:spPr>
                    </pic:pic>
                  </a:graphicData>
                </a:graphic>
              </wp:inline>
            </w:drawing>
          </w:r>
        </w:sdtContent>
      </w:sdt>
    </w:p>
    <w:p>
      <w:pPr>
        <w:spacing w:before="40" w:after="200"/>
        <w:jc w:val="center"/>
      </w:pPr>
      <w:r>
        <w:rPr>
          <w:i/>
          <w:color w:val="57606A"/>
          <w:sz w:val="19"/>
        </w:rPr>
        <w:t>Figure 8: Decoupled Independent Failure Decomposition and Empirical Overlap Breakdown at Retrieval Depth k=10.</w:t>
      </w:r>
    </w:p>
    <w:p>
      <w:pPr>
        <w:keepNext/>
        <w:spacing w:after="40" w:line="276" w:lineRule="auto"/>
        <w:ind w:left="432" w:hanging="288"/>
      </w:pPr>
      <w:r>
        <w:rPr>
          <w:rFonts w:ascii="Calibri" w:hAnsi="Calibri"/>
          <w:b/>
          <w:color w:val="24292F"/>
        </w:rPr>
        <w:t xml:space="preserve">3. </w:t>
      </w:r>
      <w:r>
        <w:rPr>
          <w:b/>
        </w:rPr>
        <w:t>Technique-Specific Divergence and Retrieval Hypotheses (Historical T20 Pilot Cohort):</w:t>
      </w:r>
    </w:p>
    <w:p>
      <w:r>
        <w:rPr>
          <w:i/>
        </w:rPr>
        <w:t>Historical Pilot Scope Note:</w:t>
      </w:r>
      <w:r>
        <w:t xml:space="preserve"> The granular technique-level recall figures below were derived during the preliminary historical T20 pilot across 756 positive views (prior to the canonical 718 scorable TEST cohort freeze). We retain these diagnostic patterns to illustrate specific failure modes and retrieval dynamics across individual ATT&amp;CK classes, while noting that overall study conclusions rest on the canonical 718 TEST evaluations:</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m:oMath>
        <m:r>
          <w:rPr>
            <w:b/>
          </w:rPr>
          <m:t>98</m:t>
        </m:r>
        <m:r>
          <w:rPr>
            <w:b/>
          </w:rPr>
          <m:t>.</m:t>
        </m:r>
        <m:r>
          <w:rPr>
            <w:b/>
          </w:rPr>
          <m:t>39</m:t>
        </m:r>
        <m:r>
          <w:rPr>
            <w:b/>
          </w:rPr>
          <m:t>%</m:t>
        </m:r>
      </m:oMath>
      <w:r>
        <w:rPr>
          <w:b/>
        </w:rPr>
        <w:t xml:space="preserve">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m:oMath>
        <m:r>
          <w:rPr>
            <w:b/>
          </w:rPr>
          <m:t>92</m:t>
        </m:r>
        <m:r>
          <w:rPr>
            <w:b/>
          </w:rPr>
          <m:t>.</m:t>
        </m:r>
        <m:r>
          <w:rPr>
            <w:b/>
          </w:rPr>
          <m:t>45</m:t>
        </m:r>
        <m:r>
          <w:rPr>
            <w:b/>
          </w:rPr>
          <m:t>%</m:t>
        </m:r>
      </m:oMath>
      <w:r>
        <w:rPr>
          <w:b/>
        </w:rPr>
        <w:t xml:space="preserve">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m:oMath>
        <m:r>
          <w:rPr>
            <w:b/>
          </w:rPr>
          <m:t>0</m:t>
        </m:r>
        <m:r>
          <w:rPr>
            <w:b/>
          </w:rPr>
          <m:t>.</m:t>
        </m:r>
        <m:r>
          <w:rPr>
            <w:b/>
          </w:rPr>
          <m:t>0</m:t>
        </m:r>
        <m:r>
          <w:rPr>
            <w:b/>
          </w:rPr>
          <m:t>%</m:t>
        </m:r>
      </m:oMath>
      <w:r>
        <w:rPr>
          <w:b/>
        </w:rPr>
        <w:t xml:space="preserve">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w:t>
      </w:r>
      <m:oMath>
        <m:r>
          <m:t>15</m:t>
        </m:r>
        <m:r>
          <m:t>.</m:t>
        </m:r>
        <m:r>
          <m:t>79</m:t>
        </m:r>
        <m:r>
          <m:t>%</m:t>
        </m:r>
      </m:oMath>
      <w:r>
        <w:t xml:space="preserve">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w:t>
      </w:r>
      <m:oMath>
        <m:r>
          <m:t>42</m:t>
        </m:r>
        <m:r>
          <m:t>.</m:t>
        </m:r>
        <m:r>
          <m:t>1</m:t>
        </m:r>
        <m:r>
          <m:t>%</m:t>
        </m:r>
      </m:oMath>
      <w:r>
        <w:t xml:space="preserve"> of cases, crowding out </w:t>
      </w:r>
      <w:r>
        <w:rPr>
          <w:rFonts w:ascii="Consolas" w:hAnsi="Consolas"/>
          <w:color w:val="8A1F11"/>
          <w:sz w:val="19"/>
        </w:rPr>
        <w:t>T1105</w:t>
      </w:r>
      <w:r>
        <w:t>.</w:t>
      </w:r>
    </w:p>
    <w:p>
      <w:pPr>
        <w:pStyle w:val="ListBullet"/>
        <w:spacing w:after="40" w:line="276" w:lineRule="auto"/>
      </w:pPr>
      <w:r>
        <w:rPr>
          <w:i/>
        </w:rPr>
        <w:t>Contextual Event Dilution Hypothesis:</w:t>
      </w:r>
      <w:r>
        <w:t xml:space="preserve"> In an anchor-technique pairwise comparison across 296 eligible scenario pairs, adding multi-event context degraded ground-truth retrieval rank in </w:t>
      </w:r>
      <m:oMath>
        <m:r>
          <w:rPr>
            <w:b/>
          </w:rPr>
          <m:t>22</m:t>
        </m:r>
        <m:r>
          <w:rPr>
            <w:b/>
          </w:rPr>
          <m:t>.</m:t>
        </m:r>
        <m:r>
          <w:rPr>
            <w:b/>
          </w:rPr>
          <m:t>0</m:t>
        </m:r>
        <m:r>
          <w:rPr>
            <w:b/>
          </w:rPr>
          <m:t>%</m:t>
        </m:r>
      </m:oMath>
      <w:r>
        <w:rPr>
          <w:b/>
        </w:rPr>
        <w:t xml:space="preserve"> of pairs (65/296)</w:t>
      </w:r>
      <w:r>
        <w:t xml:space="preserve">, while improving it in only </w:t>
      </w:r>
      <m:oMath>
        <m:r>
          <w:rPr>
            <w:b/>
          </w:rPr>
          <m:t>7</m:t>
        </m:r>
        <m:r>
          <w:rPr>
            <w:b/>
          </w:rPr>
          <m:t>.</m:t>
        </m:r>
        <m:r>
          <w:rPr>
            <w:b/>
          </w:rPr>
          <m:t>8</m:t>
        </m:r>
        <m:r>
          <w:rPr>
            <w:b/>
          </w:rPr>
          <m:t>%</m:t>
        </m:r>
      </m:oMath>
      <w:r>
        <w:rPr>
          <w:b/>
        </w:rPr>
        <w:t xml:space="preserve"> (23/296)</w:t>
      </w:r>
      <w:r>
        <w:t>. We hypothesize that multi-event sequences introduce background operational tokens (</w:t>
      </w:r>
      <w:r>
        <w:rPr>
          <w:rFonts w:ascii="Consolas" w:hAnsi="Consolas"/>
          <w:color w:val="8A1F11"/>
          <w:sz w:val="19"/>
        </w:rPr>
        <w:t>svchost.exe</w:t>
      </w:r>
      <w:r>
        <w:t>, RPC calls, thread IDs) that dilute dense vector embeddings away from primary attack signatures; this observational hypothesis requires further empirical validation across diverse retrievers.</w:t>
      </w:r>
    </w:p>
    <w:p>
      <w:pPr>
        <w:pStyle w:val="Heading2"/>
        <w:keepNext/>
        <w:spacing w:before="200" w:after="80"/>
      </w:pPr>
      <w:r>
        <w:rPr>
          <w:rFonts w:ascii="Calibri" w:hAnsi="Calibri"/>
          <w:b/>
          <w:color w:val="1F2328"/>
          <w:sz w:val="24"/>
        </w:rPr>
        <w:t>6.3 RQ3: Retrieval Depth, API Cost, and Latency Trade-Offs</w:t>
      </w:r>
    </w:p>
    <w:p>
      <w:r>
        <w:t xml:space="preserve">Table 5 defines the schema for evaluating the operational costs, latencies, and token consumption scaling as retrieval depth increases from </w:t>
      </w:r>
      <m:oMath>
        <m:r>
          <m:t>k</m:t>
        </m:r>
        <m:r>
          <m:t>=</m:t>
        </m:r>
        <m:r>
          <m:t>1</m:t>
        </m:r>
      </m:oMath>
      <w:r>
        <w:t xml:space="preserve"> to </w:t>
      </w:r>
      <m:oMath>
        <m:r>
          <m:t>k</m:t>
        </m:r>
        <m:r>
          <m:t>=</m:t>
        </m:r>
        <m:r>
          <m:t>10</m:t>
        </m:r>
      </m:oMath>
      <w:r>
        <w:t>. Table 5b presents the whole-study financial ledger and budget reconciliation.</w:t>
      </w:r>
    </w:p>
    <w:p>
      <w:pPr>
        <w:keepNext/>
        <w:spacing w:before="160" w:after="60"/>
      </w:pPr>
      <w:r>
        <w:rPr>
          <w:i/>
          <w:color w:val="1F2328"/>
          <w:sz w:val="20"/>
        </w:rPr>
        <w:t>Table 5: Resource Consumption and Latency Scaling Across Retrieval Depths.</w:t>
      </w:r>
    </w:p>
    <w:tbl>
      <w:tblPr>
        <w:tblW w:type="auto" w:w="0"/>
        <w:jc w:val="center"/>
        <w:tblLayout w:type="fixed"/>
        <w:tblLook w:firstColumn="1" w:firstRow="1" w:lastColumn="0" w:lastRow="0" w:noHBand="0" w:noVBand="1" w:val="04A0"/>
        <w:tblCaption w:val="Table 5: Resource Consumption and Latency Scaling"/>
        <w:tblDescription w:val="table_5"/>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0"/>
                <w:alias w:val="table_5 Row 0 Col 0"/>
              </w:sdtPr>
              <w:sdtContent>
                <w:r/>
                <w:r>
                  <w:rPr>
                    <w:b/>
                    <w:color w:val="FFFFFF"/>
                    <w:sz w:val="17"/>
                  </w:rPr>
                  <w:t>Condition</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1"/>
                <w:alias w:val="table_5 Row 0 Col 1"/>
              </w:sdtPr>
              <w:sdtContent>
                <w:r/>
                <w:r>
                  <w:rPr>
                    <w:b/>
                    <w:color w:val="FFFFFF"/>
                    <w:sz w:val="17"/>
                  </w:rPr>
                  <w:t>Total Input Tokens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2"/>
                <w:alias w:val="table_5 Row 0 Col 2"/>
              </w:sdtPr>
              <w:sdtContent>
                <w:r/>
                <w:r>
                  <w:rPr>
                    <w:b/>
                    <w:color w:val="FFFFFF"/>
                    <w:sz w:val="17"/>
                  </w:rPr>
                  <w:t>Total Output Tokens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3"/>
                <w:alias w:val="table_5 Row 0 Col 3"/>
              </w:sdtPr>
              <w:sdtContent>
                <w:r/>
                <w:r>
                  <w:rPr>
                    <w:b/>
                    <w:color w:val="FFFFFF"/>
                    <w:sz w:val="17"/>
                  </w:rPr>
                  <w:t>Mean Output Tokens / Req</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4"/>
                <w:alias w:val="table_5 Row 0 Col 4"/>
              </w:sdtPr>
              <w:sdtContent>
                <w:r/>
                <w:r>
                  <w:rPr>
                    <w:b/>
                    <w:color w:val="FFFFFF"/>
                    <w:sz w:val="17"/>
                  </w:rPr>
                  <w:t>Mean Latency (s)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5"/>
                <w:alias w:val="table_5 Row 0 Col 5"/>
              </w:sdtPr>
              <w:sdtContent>
                <w:r/>
                <w:r>
                  <w:rPr>
                    <w:b/>
                    <w:color w:val="FFFFFF"/>
                    <w:sz w:val="17"/>
                  </w:rPr>
                  <w:t>Median Latency (s)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6"/>
                <w:alias w:val="table_5 Row 0 Col 6"/>
              </w:sdtPr>
              <w:sdtContent>
                <w:r/>
                <w:r>
                  <w:rPr>
                    <w:b/>
                    <w:color w:val="FFFFFF"/>
                    <w:sz w:val="17"/>
                  </w:rPr>
                  <w:t>P95 Latency (s)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7"/>
                <w:alias w:val="table_5 Row 0 Col 7"/>
              </w:sdtPr>
              <w:sdtContent>
                <w:r/>
                <w:r>
                  <w:rPr>
                    <w:b/>
                    <w:color w:val="FFFFFF"/>
                    <w:sz w:val="17"/>
                  </w:rPr>
                  <w:t>Total Cost (USD)</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8"/>
                <w:alias w:val="table_5 Row 0 Col 8"/>
              </w:sdtPr>
              <w:sdtContent>
                <w:r/>
                <w:r>
                  <w:rPr>
                    <w:b/>
                    <w:color w:val="FFFFFF"/>
                    <w:sz w:val="17"/>
                  </w:rPr>
                  <w:t>Mean Cost / Query (USD)</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0"/>
                <w:alias w:val="table_5 Row 1 Col 0"/>
              </w:sdtPr>
              <w:sdtContent>
                <w:r/>
                <w:r>
                  <w:rPr>
                    <w:rFonts w:ascii="Consolas" w:hAnsi="Consolas"/>
                    <w:color w:val="8A1F11"/>
                    <w:sz w:val="17"/>
                  </w:rPr>
                  <w:t>no_rag</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1"/>
                <w:alias w:val="table_5 Row 1 Col 1"/>
              </w:sdtPr>
              <w:sdtContent>
                <w:r/>
                <w:r>
                  <w:rPr>
                    <w:color w:val="24292F"/>
                    <w:sz w:val="17"/>
                  </w:rPr>
                  <w:t>863,139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2"/>
                <w:alias w:val="table_5 Row 1 Col 2"/>
              </w:sdtPr>
              <w:sdtContent>
                <w:r/>
                <w:r>
                  <w:rPr>
                    <w:color w:val="24292F"/>
                    <w:sz w:val="17"/>
                  </w:rPr>
                  <w:t>209,466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3"/>
                <w:alias w:val="table_5 Row 1 Col 3"/>
              </w:sdtPr>
              <w:sdtContent>
                <w:r/>
                <w:r>
                  <w:rPr>
                    <w:color w:val="24292F"/>
                    <w:sz w:val="17"/>
                  </w:rPr>
                  <w:t>163.6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4"/>
                <w:alias w:val="table_5 Row 1 Col 4"/>
              </w:sdtPr>
              <w:sdtContent>
                <w:r/>
                <w:r>
                  <w:rPr>
                    <w:color w:val="24292F"/>
                    <w:sz w:val="17"/>
                  </w:rPr>
                  <w:t>2.90s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5"/>
                <w:alias w:val="table_5 Row 1 Col 5"/>
              </w:sdtPr>
              <w:sdtContent>
                <w:r/>
                <w:r>
                  <w:rPr>
                    <w:color w:val="24292F"/>
                    <w:sz w:val="17"/>
                  </w:rPr>
                  <w:t>2.30s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6"/>
                <w:alias w:val="table_5 Row 1 Col 6"/>
              </w:sdtPr>
              <w:sdtContent>
                <w:r/>
                <w:r>
                  <w:rPr>
                    <w:color w:val="24292F"/>
                    <w:sz w:val="17"/>
                  </w:rPr>
                  <w:t>NOT REPORTED</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7"/>
                <w:alias w:val="table_5 Row 1 Col 7"/>
              </w:sdtPr>
              <w:sdtContent>
                <w:r/>
                <w:r>
                  <w:rPr>
                    <w:color w:val="24292F"/>
                    <w:sz w:val="17"/>
                  </w:rPr>
                  <w:t>USD 0.47</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8"/>
                <w:alias w:val="table_5 Row 1 Col 8"/>
              </w:sdtPr>
              <w:sdtContent>
                <w:r/>
                <w:r>
                  <w:rPr>
                    <w:color w:val="24292F"/>
                    <w:sz w:val="17"/>
                  </w:rPr>
                  <w:t>USD 0.000365</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0"/>
                <w:alias w:val="table_5 Row 2 Col 0"/>
              </w:sdtPr>
              <w:sdtContent>
                <w:r/>
                <w:r>
                  <w:rPr>
                    <w:rFonts w:ascii="Consolas" w:hAnsi="Consolas"/>
                    <w:color w:val="8A1F11"/>
                    <w:sz w:val="17"/>
                  </w:rPr>
                  <w:t>rag_k1</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1"/>
                <w:alias w:val="table_5 Row 2 Col 1"/>
              </w:sdtPr>
              <w:sdtContent>
                <w:r/>
                <w:r>
                  <w:rPr>
                    <w:color w:val="24292F"/>
                    <w:sz w:val="17"/>
                  </w:rPr>
                  <w:t>1,595,554</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2"/>
                <w:alias w:val="table_5 Row 2 Col 2"/>
              </w:sdtPr>
              <w:sdtContent>
                <w:r/>
                <w:r>
                  <w:rPr>
                    <w:color w:val="24292F"/>
                    <w:sz w:val="17"/>
                  </w:rPr>
                  <w:t>299,128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3"/>
                <w:alias w:val="table_5 Row 2 Col 3"/>
              </w:sdtPr>
              <w:sdtContent>
                <w:r/>
                <w:r>
                  <w:rPr>
                    <w:color w:val="24292F"/>
                    <w:sz w:val="17"/>
                  </w:rPr>
                  <w:t>233.7</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4"/>
                <w:alias w:val="table_5 Row 2 Col 4"/>
              </w:sdtPr>
              <w:sdtContent>
                <w:r/>
                <w:r>
                  <w:rPr>
                    <w:color w:val="24292F"/>
                    <w:sz w:val="17"/>
                  </w:rPr>
                  <w:t>3.51s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5"/>
                <w:alias w:val="table_5 Row 2 Col 5"/>
              </w:sdtPr>
              <w:sdtContent>
                <w:r/>
                <w:r>
                  <w:rPr>
                    <w:color w:val="24292F"/>
                    <w:sz w:val="17"/>
                  </w:rPr>
                  <w:t>2.62s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6"/>
                <w:alias w:val="table_5 Row 2 Col 6"/>
              </w:sdtPr>
              <w:sdtContent>
                <w:r/>
                <w:r>
                  <w:rPr>
                    <w:color w:val="24292F"/>
                    <w:sz w:val="17"/>
                  </w:rPr>
                  <w:t>NOT REPORTED</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7"/>
                <w:alias w:val="table_5 Row 2 Col 7"/>
              </w:sdtPr>
              <w:sdtContent>
                <w:r/>
                <w:r>
                  <w:rPr>
                    <w:color w:val="24292F"/>
                    <w:sz w:val="17"/>
                  </w:rPr>
                  <w:t>USD 1.30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8"/>
                <w:alias w:val="table_5 Row 2 Col 8"/>
              </w:sdtPr>
              <w:sdtContent>
                <w:r/>
                <w:r>
                  <w:rPr>
                    <w:color w:val="24292F"/>
                    <w:sz w:val="17"/>
                  </w:rPr>
                  <w:t>USD 0.001013</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0"/>
                <w:alias w:val="table_5 Row 3 Col 0"/>
              </w:sdtPr>
              <w:sdtContent>
                <w:r/>
                <w:r>
                  <w:rPr>
                    <w:rFonts w:ascii="Consolas" w:hAnsi="Consolas"/>
                    <w:color w:val="8A1F11"/>
                    <w:sz w:val="17"/>
                  </w:rPr>
                  <w:t>rag_k3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1"/>
                <w:alias w:val="table_5 Row 3 Col 1"/>
              </w:sdtPr>
              <w:sdtContent>
                <w:r/>
                <w:r>
                  <w:rPr>
                    <w:color w:val="24292F"/>
                    <w:sz w:val="17"/>
                  </w:rPr>
                  <w:t>2,780,640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2"/>
                <w:alias w:val="table_5 Row 3 Col 2"/>
              </w:sdtPr>
              <w:sdtContent>
                <w:r/>
                <w:r>
                  <w:rPr>
                    <w:color w:val="24292F"/>
                    <w:sz w:val="17"/>
                  </w:rPr>
                  <w:t>403,100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3"/>
                <w:alias w:val="table_5 Row 3 Col 3"/>
              </w:sdtPr>
              <w:sdtContent>
                <w:r/>
                <w:r>
                  <w:rPr>
                    <w:color w:val="24292F"/>
                    <w:sz w:val="17"/>
                  </w:rPr>
                  <w:t>314.9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4"/>
                <w:alias w:val="table_5 Row 3 Col 4"/>
              </w:sdtPr>
              <w:sdtContent>
                <w:r/>
                <w:r>
                  <w:rPr>
                    <w:color w:val="24292F"/>
                    <w:sz w:val="17"/>
                  </w:rPr>
                  <w:t>4.22s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5"/>
                <w:alias w:val="table_5 Row 3 Col 5"/>
              </w:sdtPr>
              <w:sdtContent>
                <w:r/>
                <w:r>
                  <w:rPr>
                    <w:color w:val="24292F"/>
                    <w:sz w:val="17"/>
                  </w:rPr>
                  <w:t>2.74s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6"/>
                <w:alias w:val="table_5 Row 3 Col 6"/>
              </w:sdtPr>
              <w:sdtContent>
                <w:r/>
                <w:r>
                  <w:rPr>
                    <w:color w:val="24292F"/>
                    <w:sz w:val="17"/>
                  </w:rPr>
                  <w:t>NOT REPORTED</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7"/>
                <w:alias w:val="table_5 Row 3 Col 7"/>
              </w:sdtPr>
              <w:sdtContent>
                <w:r/>
                <w:r>
                  <w:rPr>
                    <w:color w:val="24292F"/>
                    <w:sz w:val="17"/>
                  </w:rPr>
                  <w:t>USD 1.18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8"/>
                <w:alias w:val="table_5 Row 3 Col 8"/>
              </w:sdtPr>
              <w:sdtContent>
                <w:r/>
                <w:r>
                  <w:rPr>
                    <w:color w:val="24292F"/>
                    <w:sz w:val="17"/>
                  </w:rPr>
                  <w:t>USD 0.000921</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0"/>
                <w:alias w:val="table_5 Row 4 Col 0"/>
              </w:sdtPr>
              <w:sdtContent>
                <w:r/>
                <w:r>
                  <w:rPr>
                    <w:rFonts w:ascii="Consolas" w:hAnsi="Consolas"/>
                    <w:color w:val="8A1F11"/>
                    <w:sz w:val="17"/>
                  </w:rPr>
                  <w:t>rag_k5</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1"/>
                <w:alias w:val="table_5 Row 4 Col 1"/>
              </w:sdtPr>
              <w:sdtContent>
                <w:r/>
                <w:r>
                  <w:rPr>
                    <w:color w:val="24292F"/>
                    <w:sz w:val="17"/>
                  </w:rPr>
                  <w:t>3,917,047</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2"/>
                <w:alias w:val="table_5 Row 4 Col 2"/>
              </w:sdtPr>
              <w:sdtContent>
                <w:r/>
                <w:r>
                  <w:rPr>
                    <w:color w:val="24292F"/>
                    <w:sz w:val="17"/>
                  </w:rPr>
                  <w:t>419,880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3"/>
                <w:alias w:val="table_5 Row 4 Col 3"/>
              </w:sdtPr>
              <w:sdtContent>
                <w:r/>
                <w:r>
                  <w:rPr>
                    <w:color w:val="24292F"/>
                    <w:sz w:val="17"/>
                  </w:rPr>
                  <w:t>328.0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4"/>
                <w:alias w:val="table_5 Row 4 Col 4"/>
              </w:sdtPr>
              <w:sdtContent>
                <w:r/>
                <w:r>
                  <w:rPr>
                    <w:color w:val="24292F"/>
                    <w:sz w:val="17"/>
                  </w:rPr>
                  <w:t>4.33s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5"/>
                <w:alias w:val="table_5 Row 4 Col 5"/>
              </w:sdtPr>
              <w:sdtContent>
                <w:r/>
                <w:r>
                  <w:rPr>
                    <w:color w:val="24292F"/>
                    <w:sz w:val="17"/>
                  </w:rPr>
                  <w:t>2.87s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6"/>
                <w:alias w:val="table_5 Row 4 Col 6"/>
              </w:sdtPr>
              <w:sdtContent>
                <w:r/>
                <w:r>
                  <w:rPr>
                    <w:color w:val="24292F"/>
                    <w:sz w:val="17"/>
                  </w:rPr>
                  <w:t>NOT REPORTED</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7"/>
                <w:alias w:val="table_5 Row 4 Col 7"/>
              </w:sdtPr>
              <w:sdtContent>
                <w:r/>
                <w:r>
                  <w:rPr>
                    <w:color w:val="24292F"/>
                    <w:sz w:val="17"/>
                  </w:rPr>
                  <w:t>USD 1.48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8"/>
                <w:alias w:val="table_5 Row 4 Col 8"/>
              </w:sdtPr>
              <w:sdtContent>
                <w:r/>
                <w:r>
                  <w:rPr>
                    <w:color w:val="24292F"/>
                    <w:sz w:val="17"/>
                  </w:rPr>
                  <w:t>USD 0.001159</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0"/>
                <w:alias w:val="table_5 Row 5 Col 0"/>
              </w:sdtPr>
              <w:sdtContent>
                <w:r/>
                <w:r>
                  <w:rPr>
                    <w:rFonts w:ascii="Consolas" w:hAnsi="Consolas"/>
                    <w:color w:val="8A1F11"/>
                    <w:sz w:val="17"/>
                  </w:rPr>
                  <w:t>rag_k10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1"/>
                <w:alias w:val="table_5 Row 5 Col 1"/>
              </w:sdtPr>
              <w:sdtContent>
                <w:r/>
                <w:r>
                  <w:rPr>
                    <w:color w:val="24292F"/>
                    <w:sz w:val="17"/>
                  </w:rPr>
                  <w:t>6,546,274</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2"/>
                <w:alias w:val="table_5 Row 5 Col 2"/>
              </w:sdtPr>
              <w:sdtContent>
                <w:r/>
                <w:r>
                  <w:rPr>
                    <w:color w:val="24292F"/>
                    <w:sz w:val="17"/>
                  </w:rPr>
                  <w:t>427,346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3"/>
                <w:alias w:val="table_5 Row 5 Col 3"/>
              </w:sdtPr>
              <w:sdtContent>
                <w:r/>
                <w:r>
                  <w:rPr>
                    <w:color w:val="24292F"/>
                    <w:sz w:val="17"/>
                  </w:rPr>
                  <w:t>333.9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4"/>
                <w:alias w:val="table_5 Row 5 Col 4"/>
              </w:sdtPr>
              <w:sdtContent>
                <w:r/>
                <w:r>
                  <w:rPr>
                    <w:color w:val="24292F"/>
                    <w:sz w:val="17"/>
                  </w:rPr>
                  <w:t>4.37s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5"/>
                <w:alias w:val="table_5 Row 5 Col 5"/>
              </w:sdtPr>
              <w:sdtContent>
                <w:r/>
                <w:r>
                  <w:rPr>
                    <w:color w:val="24292F"/>
                    <w:sz w:val="17"/>
                  </w:rPr>
                  <w:t>2.67s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6"/>
                <w:alias w:val="table_5 Row 5 Col 6"/>
              </w:sdtPr>
              <w:sdtContent>
                <w:r/>
                <w:r>
                  <w:rPr>
                    <w:color w:val="24292F"/>
                    <w:sz w:val="17"/>
                  </w:rPr>
                  <w:t>NOT REPORTED</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7"/>
                <w:alias w:val="table_5 Row 5 Col 7"/>
              </w:sdtPr>
              <w:sdtContent>
                <w:r/>
                <w:r>
                  <w:rPr>
                    <w:color w:val="24292F"/>
                    <w:sz w:val="17"/>
                  </w:rPr>
                  <w:t>USD 2.15</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8"/>
                <w:alias w:val="table_5 Row 5 Col 8"/>
              </w:sdtPr>
              <w:sdtContent>
                <w:r/>
                <w:r>
                  <w:rPr>
                    <w:color w:val="24292F"/>
                    <w:sz w:val="17"/>
                  </w:rPr>
                  <w:t>USD 0.001679</w:t>
                </w:r>
              </w:sdtContent>
            </w:sdt>
          </w:p>
        </w:tc>
      </w:tr>
    </w:tbl>
    <w:p>
      <w:pPr>
        <w:spacing w:after="120"/>
      </w:pPr>
    </w:p>
    <w:p>
      <w:pPr>
        <w:keepNext/>
        <w:spacing w:before="200" w:after="60"/>
        <w:jc w:val="center"/>
      </w:pPr>
      <w:sdt>
        <w:sdtPr>
          <w:tag w:val="fig_6"/>
          <w:alias w:val="Figure 6"/>
        </w:sdtPr>
        <w:sdtContent>
          <w:r>
            <w:drawing>
              <wp:inline xmlns:a="http://schemas.openxmlformats.org/drawingml/2006/main" xmlns:pic="http://schemas.openxmlformats.org/drawingml/2006/picture">
                <wp:extent cx="5943600" cy="3645408"/>
                <wp:docPr id="7" name="Picture 7"/>
                <wp:cNvGraphicFramePr>
                  <a:graphicFrameLocks noChangeAspect="1"/>
                </wp:cNvGraphicFramePr>
                <a:graphic>
                  <a:graphicData uri="http://schemas.openxmlformats.org/drawingml/2006/picture">
                    <pic:pic>
                      <pic:nvPicPr>
                        <pic:cNvPr id="0" name="fig6_latency_vs_k.png"/>
                        <pic:cNvPicPr/>
                      </pic:nvPicPr>
                      <pic:blipFill>
                        <a:blip r:embed="rId16"/>
                        <a:stretch>
                          <a:fillRect/>
                        </a:stretch>
                      </pic:blipFill>
                      <pic:spPr>
                        <a:xfrm>
                          <a:off x="0" y="0"/>
                          <a:ext cx="5943600" cy="3645408"/>
                        </a:xfrm>
                        <a:prstGeom prst="rect"/>
                      </pic:spPr>
                    </pic:pic>
                  </a:graphicData>
                </a:graphic>
              </wp:inline>
            </w:drawing>
          </w:r>
        </w:sdtContent>
      </w:sdt>
    </w:p>
    <w:p>
      <w:pPr>
        <w:spacing w:before="40" w:after="200"/>
        <w:jc w:val="center"/>
      </w:pPr>
      <w:r>
        <w:rPr>
          <w:i/>
          <w:color w:val="57606A"/>
          <w:sz w:val="19"/>
        </w:rPr>
        <w:t>Figure 6: Request Inference Latency Scaling: Mean and Median Duration (ms) across Conditions (P95 Withheld per Protocol).</w:t>
      </w:r>
    </w:p>
    <w:p>
      <w:pPr>
        <w:keepNext/>
        <w:spacing w:before="200" w:after="60"/>
        <w:jc w:val="center"/>
      </w:pPr>
      <w:sdt>
        <w:sdtPr>
          <w:tag w:val="fig_7"/>
          <w:alias w:val="Figure 7"/>
        </w:sdtPr>
        <w:sdtContent>
          <w:r>
            <w:drawing>
              <wp:inline xmlns:a="http://schemas.openxmlformats.org/drawingml/2006/main" xmlns:pic="http://schemas.openxmlformats.org/drawingml/2006/picture">
                <wp:extent cx="5943600" cy="3962400"/>
                <wp:docPr id="8" name="Picture 8"/>
                <wp:cNvGraphicFramePr>
                  <a:graphicFrameLocks noChangeAspect="1"/>
                </wp:cNvGraphicFramePr>
                <a:graphic>
                  <a:graphicData uri="http://schemas.openxmlformats.org/drawingml/2006/picture">
                    <pic:pic>
                      <pic:nvPicPr>
                        <pic:cNvPr id="0" name="fig7_cost_and_tokens_vs_k.png"/>
                        <pic:cNvPicPr/>
                      </pic:nvPicPr>
                      <pic:blipFill>
                        <a:blip r:embed="rId17"/>
                        <a:stretch>
                          <a:fillRect/>
                        </a:stretch>
                      </pic:blipFill>
                      <pic:spPr>
                        <a:xfrm>
                          <a:off x="0" y="0"/>
                          <a:ext cx="5943600" cy="3962400"/>
                        </a:xfrm>
                        <a:prstGeom prst="rect"/>
                      </pic:spPr>
                    </pic:pic>
                  </a:graphicData>
                </a:graphic>
              </wp:inline>
            </w:drawing>
          </w:r>
        </w:sdtContent>
      </w:sdt>
    </w:p>
    <w:p>
      <w:pPr>
        <w:spacing w:before="40" w:after="200"/>
        <w:jc w:val="center"/>
      </w:pPr>
      <w:r>
        <w:rPr>
          <w:i/>
          <w:color w:val="57606A"/>
          <w:sz w:val="19"/>
        </w:rPr>
        <w:t>Figure 7: Settled Financial Spend (USD) and Aggregate Token Consumption across Experimental Conditions.</w:t>
      </w:r>
    </w:p>
    <w:p>
      <w:pPr>
        <w:keepNext/>
        <w:spacing w:before="160" w:after="60"/>
      </w:pPr>
      <w:r>
        <w:rPr>
          <w:i/>
          <w:color w:val="1F2328"/>
          <w:sz w:val="20"/>
        </w:rPr>
        <w:t>Table 5b: Whole-Study Financial Ledger and Budget Reconciliation.</w:t>
      </w:r>
    </w:p>
    <w:tbl>
      <w:tblPr>
        <w:tblW w:type="auto" w:w="0"/>
        <w:jc w:val="center"/>
        <w:tblLayout w:type="fixed"/>
        <w:tblLook w:firstColumn="1" w:firstRow="1" w:lastColumn="0" w:lastRow="0" w:noHBand="0" w:noVBand="1" w:val="04A0"/>
        <w:tblCaption w:val="Table 5b: Whole-Study Financial Ledger and Budget Reconciliation"/>
        <w:tblDescription w:val="table_5b"/>
      </w:tblPr>
      <w:tblGrid>
        <w:gridCol w:w="2304"/>
        <w:gridCol w:w="2592"/>
        <w:gridCol w:w="1296"/>
        <w:gridCol w:w="3168"/>
      </w:tblGrid>
      <w:tr>
        <w:trPr>
          <w:cantSplit/>
          <w:tblHeader/>
        </w:trPr>
        <w:tc>
          <w:tcPr>
            <w:tcW w:type="dxa" w:w="230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0"/>
                <w:alias w:val="table_5b Row 0 Col 0"/>
              </w:sdtPr>
              <w:sdtContent>
                <w:r/>
                <w:r>
                  <w:rPr>
                    <w:b/>
                    <w:color w:val="FFFFFF"/>
                    <w:sz w:val="18"/>
                  </w:rPr>
                  <w:t>Accounting Dimension</w:t>
                </w:r>
              </w:sdtContent>
            </w:sdt>
          </w:p>
        </w:tc>
        <w:tc>
          <w:tcPr>
            <w:tcW w:type="dxa" w:w="259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1"/>
                <w:alias w:val="table_5b Row 0 Col 1"/>
              </w:sdtPr>
              <w:sdtContent>
                <w:r/>
                <w:r>
                  <w:rPr>
                    <w:b/>
                    <w:color w:val="FFFFFF"/>
                    <w:sz w:val="18"/>
                  </w:rPr>
                  <w:t>Ledger Allocation / Metric</w:t>
                </w:r>
              </w:sdtContent>
            </w:sdt>
          </w:p>
        </w:tc>
        <w:tc>
          <w:tcPr>
            <w:tcW w:type="dxa" w:w="129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2"/>
                <w:alias w:val="table_5b Row 0 Col 2"/>
              </w:sdtPr>
              <w:sdtContent>
                <w:r/>
                <w:r>
                  <w:rPr>
                    <w:b/>
                    <w:color w:val="FFFFFF"/>
                    <w:sz w:val="18"/>
                  </w:rPr>
                  <w:t>Value</w:t>
                </w:r>
              </w:sdtContent>
            </w:sdt>
          </w:p>
        </w:tc>
        <w:tc>
          <w:tcPr>
            <w:tcW w:type="dxa" w:w="3168"/>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3"/>
                <w:alias w:val="table_5b Row 0 Col 3"/>
              </w:sdtPr>
              <w:sdtContent>
                <w:r/>
                <w:r>
                  <w:rPr>
                    <w:b/>
                    <w:color w:val="FFFFFF"/>
                    <w:sz w:val="18"/>
                  </w:rPr>
                  <w:t>Currency</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0"/>
                <w:alias w:val="table_5b Row 1 Col 0"/>
              </w:sdtPr>
              <w:sdtContent>
                <w:r/>
                <w:r>
                  <w:rPr>
                    <w:b/>
                    <w:color w:val="24292F"/>
                    <w:sz w:val="18"/>
                  </w:rPr>
                  <w:t>Total Study Authorized Budget Ceiling</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1"/>
                <w:alias w:val="table_5b Row 1 Col 1"/>
              </w:sdtPr>
              <w:sdtContent>
                <w:r/>
                <w:r>
                  <w:rPr>
                    <w:rFonts w:ascii="Consolas" w:hAnsi="Consolas"/>
                    <w:color w:val="8A1F11"/>
                    <w:sz w:val="18"/>
                  </w:rPr>
                  <w:t>total_study_budget_usd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2"/>
                <w:alias w:val="table_5b Row 1 Col 2"/>
              </w:sdtPr>
              <w:sdtContent>
                <w:r/>
                <w:r>
                  <w:rPr>
                    <w:color w:val="24292F"/>
                    <w:sz w:val="18"/>
                  </w:rPr>
                  <w:t>19.99</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3"/>
                <w:alias w:val="table_5b Row 1 Col 3"/>
              </w:sdtPr>
              <w:sdtContent>
                <w:r/>
                <w:r>
                  <w:rPr>
                    <w:color w:val="24292F"/>
                    <w:sz w:val="18"/>
                  </w:rPr>
                  <w:t>USD</w:t>
                </w:r>
              </w:sdtContent>
            </w:sdt>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0"/>
                <w:alias w:val="table_5b Row 2 Col 0"/>
              </w:sdtPr>
              <w:sdtContent>
                <w:r/>
                <w:r>
                  <w:rPr>
                    <w:b/>
                    <w:color w:val="24292F"/>
                    <w:sz w:val="18"/>
                  </w:rPr>
                  <w:t>Canonical Conditions Total Spend</w:t>
                </w:r>
              </w:sdtContent>
            </w:sdt>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1"/>
                <w:alias w:val="table_5b Row 2 Col 1"/>
              </w:sdtPr>
              <w:sdtContent>
                <w:r/>
                <w:r>
                  <w:rPr>
                    <w:rFonts w:ascii="Consolas" w:hAnsi="Consolas"/>
                    <w:color w:val="8A1F11"/>
                    <w:sz w:val="18"/>
                  </w:rPr>
                  <w:t>canonical_conditions_total_usd</w:t>
                </w:r>
              </w:sdtContent>
            </w:sdt>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2"/>
                <w:alias w:val="table_5b Row 2 Col 2"/>
              </w:sdtPr>
              <w:sdtContent>
                <w:r/>
                <w:r>
                  <w:rPr>
                    <w:color w:val="24292F"/>
                    <w:sz w:val="18"/>
                  </w:rPr>
                  <w:t>6.5758</w:t>
                </w:r>
              </w:sdtContent>
            </w:sdt>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3"/>
                <w:alias w:val="table_5b Row 2 Col 3"/>
              </w:sdtPr>
              <w:sdtContent>
                <w:r/>
                <w:r>
                  <w:rPr>
                    <w:color w:val="24292F"/>
                    <w:sz w:val="18"/>
                  </w:rPr>
                  <w:t>USD</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0"/>
                <w:alias w:val="table_5b Row 3 Col 0"/>
              </w:sdtPr>
              <w:sdtContent>
                <w:r/>
                <w:r>
                  <w:rPr>
                    <w:b/>
                    <w:color w:val="24292F"/>
                    <w:sz w:val="18"/>
                  </w:rPr>
                  <w:t>Prior Pilot Exploratory Hold</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1"/>
                <w:alias w:val="table_5b Row 3 Col 1"/>
              </w:sdtPr>
              <w:sdtContent>
                <w:r/>
                <w:r>
                  <w:rPr>
                    <w:rFonts w:ascii="Consolas" w:hAnsi="Consolas"/>
                    <w:color w:val="8A1F11"/>
                    <w:sz w:val="18"/>
                  </w:rPr>
                  <w:t>prior_pilot_provisional_hold_usd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2"/>
                <w:alias w:val="table_5b Row 3 Col 2"/>
              </w:sdtPr>
              <w:sdtContent>
                <w:r/>
                <w:r>
                  <w:rPr>
                    <w:color w:val="24292F"/>
                    <w:sz w:val="18"/>
                  </w:rPr>
                  <w:t>0.0526</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3"/>
                <w:alias w:val="table_5b Row 3 Col 3"/>
              </w:sdtPr>
              <w:sdtContent>
                <w:r/>
                <w:r>
                  <w:rPr>
                    <w:color w:val="24292F"/>
                    <w:sz w:val="18"/>
                  </w:rPr>
                  <w:t>USD</w:t>
                </w:r>
              </w:sdtContent>
            </w:sdt>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0"/>
                <w:alias w:val="table_5b Row 4 Col 0"/>
              </w:sdtPr>
              <w:sdtContent>
                <w:r/>
                <w:r>
                  <w:rPr>
                    <w:b/>
                    <w:color w:val="24292F"/>
                    <w:sz w:val="18"/>
                  </w:rPr>
                  <w:t>Active Unsettled Reservations</w:t>
                </w:r>
              </w:sdtContent>
            </w:sdt>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1"/>
                <w:alias w:val="table_5b Row 4 Col 1"/>
              </w:sdtPr>
              <w:sdtContent>
                <w:r/>
                <w:r>
                  <w:rPr>
                    <w:rFonts w:ascii="Consolas" w:hAnsi="Consolas"/>
                    <w:color w:val="8A1F11"/>
                    <w:sz w:val="18"/>
                  </w:rPr>
                  <w:t>active_reservations_usd</w:t>
                </w:r>
              </w:sdtContent>
            </w:sdt>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2"/>
                <w:alias w:val="table_5b Row 4 Col 2"/>
              </w:sdtPr>
              <w:sdtContent>
                <w:r/>
                <w:r>
                  <w:rPr>
                    <w:color w:val="24292F"/>
                    <w:sz w:val="18"/>
                  </w:rPr>
                  <w:t>0.00</w:t>
                </w:r>
              </w:sdtContent>
            </w:sdt>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3"/>
                <w:alias w:val="table_5b Row 4 Col 3"/>
              </w:sdtPr>
              <w:sdtContent>
                <w:r/>
                <w:r>
                  <w:rPr>
                    <w:color w:val="24292F"/>
                    <w:sz w:val="18"/>
                  </w:rPr>
                  <w:t>USD</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0"/>
                <w:alias w:val="table_5b Row 5 Col 0"/>
              </w:sdtPr>
              <w:sdtContent>
                <w:r/>
                <w:r>
                  <w:rPr>
                    <w:b/>
                    <w:color w:val="24292F"/>
                    <w:sz w:val="18"/>
                  </w:rPr>
                  <w:t>Orphaned Budget Claims</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1"/>
                <w:alias w:val="table_5b Row 5 Col 1"/>
              </w:sdtPr>
              <w:sdtContent>
                <w:r/>
                <w:r>
                  <w:rPr>
                    <w:rFonts w:ascii="Consolas" w:hAnsi="Consolas"/>
                    <w:color w:val="8A1F11"/>
                    <w:sz w:val="18"/>
                  </w:rPr>
                  <w:t>orphan_reservations_usd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2"/>
                <w:alias w:val="table_5b Row 5 Col 2"/>
              </w:sdtPr>
              <w:sdtContent>
                <w:r/>
                <w:r>
                  <w:rPr>
                    <w:color w:val="24292F"/>
                    <w:sz w:val="18"/>
                  </w:rPr>
                  <w:t>0.00</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3"/>
                <w:alias w:val="table_5b Row 5 Col 3"/>
              </w:sdtPr>
              <w:sdtContent>
                <w:r/>
                <w:r>
                  <w:rPr>
                    <w:color w:val="24292F"/>
                    <w:sz w:val="18"/>
                  </w:rPr>
                  <w:t>USD</w:t>
                </w:r>
              </w:sdtContent>
            </w:sdt>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0"/>
                <w:alias w:val="table_5b Row 6 Col 0"/>
              </w:sdtPr>
              <w:sdtContent>
                <w:r/>
                <w:r>
                  <w:rPr>
                    <w:b/>
                    <w:color w:val="24292F"/>
                    <w:sz w:val="18"/>
                  </w:rPr>
                  <w:t>Total Study Committed Spend</w:t>
                </w:r>
              </w:sdtContent>
            </w:sdt>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1"/>
                <w:alias w:val="table_5b Row 6 Col 1"/>
              </w:sdtPr>
              <w:sdtContent>
                <w:r/>
                <w:r>
                  <w:rPr>
                    <w:rFonts w:ascii="Consolas" w:hAnsi="Consolas"/>
                    <w:color w:val="8A1F11"/>
                    <w:sz w:val="18"/>
                  </w:rPr>
                  <w:t>total_study_committed_spend_usd</w:t>
                </w:r>
              </w:sdtContent>
            </w:sdt>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2"/>
                <w:alias w:val="table_5b Row 6 Col 2"/>
              </w:sdtPr>
              <w:sdtContent>
                <w:r/>
                <w:r>
                  <w:rPr>
                    <w:color w:val="24292F"/>
                    <w:sz w:val="18"/>
                  </w:rPr>
                  <w:t>6.6284</w:t>
                </w:r>
              </w:sdtContent>
            </w:sdt>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3"/>
                <w:alias w:val="table_5b Row 6 Col 3"/>
              </w:sdtPr>
              <w:sdtContent>
                <w:r/>
                <w:r>
                  <w:rPr>
                    <w:color w:val="24292F"/>
                    <w:sz w:val="18"/>
                  </w:rPr>
                  <w:t>USD</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0"/>
                <w:alias w:val="table_5b Row 7 Col 0"/>
              </w:sdtPr>
              <w:sdtContent>
                <w:r/>
                <w:r>
                  <w:rPr>
                    <w:b/>
                    <w:color w:val="24292F"/>
                    <w:sz w:val="18"/>
                  </w:rPr>
                  <w:t>Net Remaining Uncommitted Budget</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1"/>
                <w:alias w:val="table_5b Row 7 Col 1"/>
              </w:sdtPr>
              <w:sdtContent>
                <w:r/>
                <w:r>
                  <w:rPr>
                    <w:rFonts w:ascii="Consolas" w:hAnsi="Consolas"/>
                    <w:color w:val="8A1F11"/>
                    <w:sz w:val="18"/>
                  </w:rPr>
                  <w:t>net_remaining_uncommitted_budget_usd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2"/>
                <w:alias w:val="table_5b Row 7 Col 2"/>
              </w:sdtPr>
              <w:sdtContent>
                <w:r/>
                <w:r>
                  <w:rPr>
                    <w:color w:val="24292F"/>
                    <w:sz w:val="18"/>
                  </w:rPr>
                  <w:t>13.3616</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3"/>
                <w:alias w:val="table_5b Row 7 Col 3"/>
              </w:sdtPr>
              <w:sdtContent>
                <w:r/>
                <w:r>
                  <w:rPr>
                    <w:color w:val="24292F"/>
                    <w:sz w:val="18"/>
                  </w:rPr>
                  <w:t>USD</w:t>
                </w:r>
              </w:sdtContent>
            </w:sdt>
          </w:p>
        </w:tc>
      </w:tr>
    </w:tbl>
    <w:p>
      <w:pPr>
        <w:spacing w:after="120"/>
      </w:pPr>
    </w:p>
    <w:p>
      <w:pPr>
        <w:pStyle w:val="Heading3"/>
        <w:keepNext/>
        <w:spacing w:before="160" w:after="40"/>
      </w:pPr>
      <w:r>
        <w:rPr>
          <w:rFonts w:ascii="Calibri" w:hAnsi="Calibri"/>
          <w:b/>
          <w:i/>
          <w:color w:val="333344"/>
          <w:sz w:val="22"/>
        </w:rPr>
        <w:t>Provider Reliability and Financial Reconciliation</w:t>
      </w:r>
    </w:p>
    <w:p>
      <w:r>
        <w:t>Across the entire experimental campaign, 6,400 logical inference requests were scheduled and dispatched across all study conditions against the upstream provider (</w:t>
      </w:r>
      <w:r>
        <w:rPr>
          <w:rFonts w:ascii="Consolas" w:hAnsi="Consolas"/>
          <w:color w:val="8A1F11"/>
          <w:sz w:val="19"/>
        </w:rPr>
        <w:t>gpt-5.6-luna</w:t>
      </w:r>
      <w:r>
        <w:t xml:space="preserve">, </w:t>
      </w:r>
      <w:r>
        <w:rPr>
          <w:rFonts w:ascii="Consolas" w:hAnsi="Consolas"/>
          <w:color w:val="8A1F11"/>
          <w:sz w:val="19"/>
        </w:rPr>
        <w:t>reasoning_effort=xhigh</w:t>
      </w:r>
      <w:r>
        <w:t xml:space="preserve">). All 6,400 logical records achieved terminal journal completion (100%), partitioned into 6,387 VALID responses and 13 INCOMPLETE responses. The VALID-output fraction was </w:t>
      </w:r>
      <m:oMath>
        <m:r>
          <m:t>99</m:t>
        </m:r>
        <m:r>
          <m:t>.</m:t>
        </m:r>
        <m:r>
          <m:t>80</m:t>
        </m:r>
        <m:r>
          <m:t>%</m:t>
        </m:r>
      </m:oMath>
      <w:r>
        <w:t xml:space="preserve">. Upstream execution recorded 6,401 physical attempts: 6,400 primary attempts plus 1 retry on </w:t>
      </w:r>
      <w:r>
        <w:rPr>
          <w:rFonts w:ascii="Consolas" w:hAnsi="Consolas"/>
          <w:color w:val="8A1F11"/>
          <w:sz w:val="19"/>
        </w:rPr>
        <w:t>("view_d870d574", "rag_k1")</w:t>
      </w:r>
      <w:r>
        <w:t xml:space="preserve"> (</w:t>
      </w:r>
      <w:r>
        <w:rPr>
          <w:rFonts w:ascii="Consolas" w:hAnsi="Consolas"/>
          <w:color w:val="8A1F11"/>
          <w:sz w:val="19"/>
        </w:rPr>
        <w:t>run_id="live-66b94b1676bf46a9"</w:t>
      </w:r>
      <w:r>
        <w:t xml:space="preserve">, </w:t>
      </w:r>
      <w:r>
        <w:rPr>
          <w:rFonts w:ascii="Consolas" w:hAnsi="Consolas"/>
          <w:color w:val="8A1F11"/>
          <w:sz w:val="19"/>
        </w:rPr>
        <w:t>inputs/request_journal.jsonl</w:t>
      </w:r>
      <w:r>
        <w:t xml:space="preserve"> lines </w:t>
      </w:r>
      <w:r>
        <w:rPr>
          <w:rFonts w:ascii="Consolas" w:hAnsi="Consolas"/>
          <w:color w:val="8A1F11"/>
          <w:sz w:val="19"/>
        </w:rPr>
        <w:t>48479–48482</w:t>
      </w:r>
      <w:r>
        <w:t xml:space="preserve">, lifecycle </w:t>
      </w:r>
      <w:r>
        <w:rPr>
          <w:rFonts w:ascii="Consolas" w:hAnsi="Consolas"/>
          <w:color w:val="8A1F11"/>
          <w:sz w:val="19"/>
        </w:rPr>
        <w:t>48476–48485</w:t>
      </w:r>
      <w:r>
        <w:t xml:space="preserve">: </w:t>
      </w:r>
      <w:r>
        <w:rPr>
          <w:rFonts w:ascii="Consolas" w:hAnsi="Consolas"/>
          <w:color w:val="8A1F11"/>
          <w:sz w:val="19"/>
        </w:rPr>
        <w:t>ordinal=5387</w:t>
      </w:r>
      <w:r>
        <w:t xml:space="preserve"> </w:t>
      </w:r>
      <w:r>
        <w:rPr>
          <w:rFonts w:ascii="Consolas" w:hAnsi="Consolas"/>
          <w:color w:val="8A1F11"/>
          <w:sz w:val="19"/>
        </w:rPr>
        <w:t>attempt_index=0</w:t>
      </w:r>
      <w:r>
        <w:t xml:space="preserve"> </w:t>
      </w:r>
      <w:r>
        <w:rPr>
          <w:rFonts w:ascii="Consolas" w:hAnsi="Consolas"/>
          <w:color w:val="8A1F11"/>
          <w:sz w:val="19"/>
        </w:rPr>
        <w:t>API_FAILURE</w:t>
      </w:r>
      <w:r>
        <w:t>/</w:t>
      </w:r>
      <w:r>
        <w:rPr>
          <w:rFonts w:ascii="Consolas" w:hAnsi="Consolas"/>
          <w:color w:val="8A1F11"/>
          <w:sz w:val="19"/>
        </w:rPr>
        <w:t>InternalServerError</w:t>
      </w:r>
      <w:r>
        <w:t xml:space="preserve"> </w:t>
      </w:r>
      <m:oMath>
        <m:r>
          <m:t>→</m:t>
        </m:r>
      </m:oMath>
      <w:r>
        <w:t xml:space="preserve"> </w:t>
      </w:r>
      <w:r>
        <w:rPr>
          <w:rFonts w:ascii="Consolas" w:hAnsi="Consolas"/>
          <w:color w:val="8A1F11"/>
          <w:sz w:val="19"/>
        </w:rPr>
        <w:t>ordinal=5388</w:t>
      </w:r>
      <w:r>
        <w:t xml:space="preserve"> </w:t>
      </w:r>
      <w:r>
        <w:rPr>
          <w:rFonts w:ascii="Consolas" w:hAnsi="Consolas"/>
          <w:color w:val="8A1F11"/>
          <w:sz w:val="19"/>
        </w:rPr>
        <w:t>attempt_index=1</w:t>
      </w:r>
      <w:r>
        <w:t xml:space="preserve"> </w:t>
      </w:r>
      <w:r>
        <w:rPr>
          <w:rFonts w:ascii="Consolas" w:hAnsi="Consolas"/>
          <w:color w:val="8A1F11"/>
          <w:sz w:val="19"/>
        </w:rPr>
        <w:t>SUCCESS</w:t>
      </w:r>
      <w:r>
        <w:t xml:space="preserve">, </w:t>
      </w:r>
      <w:r>
        <w:rPr>
          <w:rFonts w:ascii="Consolas" w:hAnsi="Consolas"/>
          <w:color w:val="8A1F11"/>
          <w:sz w:val="19"/>
        </w:rPr>
        <w:t>1543</w:t>
      </w:r>
      <w:r>
        <w:t xml:space="preserve"> in / </w:t>
      </w:r>
      <w:r>
        <w:rPr>
          <w:rFonts w:ascii="Consolas" w:hAnsi="Consolas"/>
          <w:color w:val="8A1F11"/>
          <w:sz w:val="19"/>
        </w:rPr>
        <w:t>1540</w:t>
      </w:r>
      <w:r>
        <w:t xml:space="preserve"> cached / </w:t>
      </w:r>
      <w:r>
        <w:rPr>
          <w:rFonts w:ascii="Consolas" w:hAnsi="Consolas"/>
          <w:color w:val="8A1F11"/>
          <w:sz w:val="19"/>
        </w:rPr>
        <w:t>104</w:t>
      </w:r>
      <w:r>
        <w:t xml:space="preserve"> out tokens, complete at line </w:t>
      </w:r>
      <w:r>
        <w:rPr>
          <w:rFonts w:ascii="Consolas" w:hAnsi="Consolas"/>
          <w:color w:val="8A1F11"/>
          <w:sz w:val="19"/>
        </w:rPr>
        <w:t>48485</w:t>
      </w:r>
      <w:r>
        <w:t>).</w:t>
      </w:r>
    </w:p>
    <w:p>
      <w:r>
        <w:t>Crucially, the 13 incomplete responses (each reaching the configured 8,192 output-token ceiling; these are INCOMPLETE responses, not wall-clock TIMEOUT records) occurred exclusively within the 562 non-scorable cohort views (11 unmapped and 2 ambiguous scenario representations) evaluated during the completed canonical TEST experiment. In the 718 scorable mapped positive TEST cohort across all 5 conditions (</w:t>
      </w:r>
      <m:oMath>
        <m:r>
          <m:t>5</m:t>
        </m:r>
        <m:r>
          <m:t>×</m:t>
        </m:r>
        <m:r>
          <m:t>718</m:t>
        </m:r>
        <m:r>
          <m:t>=</m:t>
        </m:r>
        <m:r>
          <m:t>3</m:t>
        </m:r>
        <m:r>
          <m:t>,</m:t>
        </m:r>
        <m:r>
          <m:t>590</m:t>
        </m:r>
        <m:r>
          <m:t>=</m:t>
        </m:r>
        <m:r>
          <m:t>3</m:t>
        </m:r>
        <m:r>
          <m:t>,</m:t>
        </m:r>
        <m:r>
          <m:t>590</m:t>
        </m:r>
      </m:oMath>
      <w:r>
        <w:t xml:space="preserve"> dispatches), the provider failure rate was exactly zero (</w:t>
      </w:r>
      <m:oMath>
        <m:r>
          <m:t>0</m:t>
        </m:r>
        <m:r>
          <m:t>/</m:t>
        </m:r>
        <m:r>
          <m:t>3</m:t>
        </m:r>
        <m:r>
          <m:t>,</m:t>
        </m:r>
        <m:r>
          <m:t>590</m:t>
        </m:r>
        <m:r>
          <m:t>=</m:t>
        </m:r>
        <m:r>
          <m:t>0</m:t>
        </m:r>
        <m:r>
          <m:t>.</m:t>
        </m:r>
        <m:r>
          <m:t>0</m:t>
        </m:r>
        <m:r>
          <m:t>%</m:t>
        </m:r>
      </m:oMath>
      <w:r>
        <w:t>). Consequently, the scorable provider failure axis in Table 4 and Table 2b is identically zero, confirming that headline attribution metrics were uncorrupted by infrastructure drops.</w:t>
      </w:r>
    </w:p>
    <w:p>
      <w:r>
        <w:t>Across the 6,400 terminal records (</w:t>
      </w:r>
      <m:oMath>
        <m:r>
          <m:t>N</m:t>
        </m:r>
        <m:r>
          <m:t>=</m:t>
        </m:r>
        <m:r>
          <m:t>1</m:t>
        </m:r>
        <m:r>
          <m:t>,</m:t>
        </m:r>
        <m:r>
          <m:t>280</m:t>
        </m:r>
      </m:oMath>
      <w:r>
        <w:t xml:space="preserve"> per experimental condition), aggregate model cache accounting recorded 1,540 cached prompt tokens across the study, with </w:t>
      </w:r>
      <w:r>
        <w:rPr>
          <w:rFonts w:ascii="Consolas" w:hAnsi="Consolas"/>
          <w:color w:val="8A1F11"/>
          <w:sz w:val="19"/>
        </w:rPr>
        <w:t>rag_k1</w:t>
      </w:r>
      <w:r>
        <w:t xml:space="preserve"> exhibiting a condition mean of 1.203125 cached tokens per logical request and zero cache hits observed across the remaining four conditions. Cached tokens represent prompt tokens served directly from the provider's context cache and are accounted without double-counting in total token volume or financial billing (with 1 physical attempt having unknown usage receipts due to upstream transient interruption).</w:t>
      </w:r>
    </w:p>
    <w:p>
      <w:r>
        <w:t>Table 5b presents the authoritative whole-study financial ledger and budget reconciliation, cryptographically enforced under Protocol Decision D5:</w:t>
      </w:r>
    </w:p>
    <w:p>
      <w:pPr>
        <w:pStyle w:val="ListBullet"/>
        <w:spacing w:after="40" w:line="276" w:lineRule="auto"/>
      </w:pPr>
      <w:r>
        <w:rPr>
          <w:b/>
        </w:rPr>
        <w:t>Authorized Budget Ceiling:</w:t>
      </w:r>
      <w:r>
        <w:t xml:space="preserve"> USD 19.99000000.</w:t>
      </w:r>
    </w:p>
    <w:p>
      <w:pPr>
        <w:pStyle w:val="ListBullet"/>
        <w:spacing w:after="40" w:line="276" w:lineRule="auto"/>
      </w:pPr>
      <w:r>
        <w:rPr>
          <w:b/>
        </w:rPr>
        <w:t>Canonical Conditions Total Spend:</w:t>
      </w:r>
      <w:r>
        <w:t xml:space="preserve"> USD 6.57575890 settled spend across 6,400 runs.</w:t>
      </w:r>
    </w:p>
    <w:p>
      <w:pPr>
        <w:pStyle w:val="ListBullet"/>
        <w:spacing w:after="40" w:line="276" w:lineRule="auto"/>
      </w:pPr>
      <w:r>
        <w:rPr>
          <w:b/>
        </w:rPr>
        <w:t>Prior Pilot Exploratory Hold:</w:t>
      </w:r>
      <w:r>
        <w:t xml:space="preserve"> USD 0.05264010 (committed during preliminary exploratory validation).</w:t>
      </w:r>
    </w:p>
    <w:p>
      <w:pPr>
        <w:pStyle w:val="ListBullet"/>
        <w:spacing w:after="40" w:line="276" w:lineRule="auto"/>
      </w:pPr>
      <w:r>
        <w:rPr>
          <w:b/>
        </w:rPr>
        <w:t>Active Unsettled Reservations:</w:t>
      </w:r>
      <w:r>
        <w:t xml:space="preserve"> USD 0.00000000.</w:t>
      </w:r>
    </w:p>
    <w:p>
      <w:pPr>
        <w:pStyle w:val="ListBullet"/>
        <w:spacing w:after="40" w:line="276" w:lineRule="auto"/>
      </w:pPr>
      <w:r>
        <w:rPr>
          <w:b/>
        </w:rPr>
        <w:t>Orphaned Budget Claims:</w:t>
      </w:r>
      <w:r>
        <w:t xml:space="preserve"> USD 0.00000000.</w:t>
      </w:r>
    </w:p>
    <w:p>
      <w:pPr>
        <w:pStyle w:val="ListBullet"/>
        <w:spacing w:after="40" w:line="276" w:lineRule="auto"/>
      </w:pPr>
      <w:r>
        <w:rPr>
          <w:b/>
        </w:rPr>
        <w:t>Total Study Committed Spend:</w:t>
      </w:r>
      <w:r>
        <w:t xml:space="preserve"> USD 6.62839900 (USD 6.57575890 canonical settled cost, already including the one missing-usage attempt charged USD 0.53974560, plus USD 0.05264010 prior pilot provisional hold). The missing-usage charge is not an additional pilot allocation; active and orphan reservations are zero. The missing-usage cost of USD 0.53974560 represents a conservative budget reservation rule enforced by our financial ledger policy, not a punitive provider penalty or commercial vendor invoice.</w:t>
      </w:r>
    </w:p>
    <w:p>
      <w:pPr>
        <w:pStyle w:val="ListBullet"/>
        <w:spacing w:after="40" w:line="276" w:lineRule="auto"/>
      </w:pPr>
      <w:r>
        <w:rPr>
          <w:b/>
        </w:rPr>
        <w:t>Net Remaining Uncommitted Budget:</w:t>
      </w:r>
      <w:r>
        <w:t xml:space="preserve"> USD 13.36160100 (</w:t>
      </w:r>
      <m:oMath>
        <m:r>
          <m:t>66</m:t>
        </m:r>
        <m:r>
          <m:t>.</m:t>
        </m:r>
        <m:r>
          <m:t>84</m:t>
        </m:r>
        <m:r>
          <m:t>%</m:t>
        </m:r>
      </m:oMath>
      <w:r>
        <w:t xml:space="preserve"> under budget ceiling).</w:t>
      </w:r>
    </w:p>
    <w:p>
      <w:r>
        <w:t>This fiscal audit confirms complete containment under the authorized ceiling without requiring financial resets, orphaned claims, or budget breaches at any point during execution.</w:t>
      </w:r>
    </w:p>
    <w:p>
      <w:pPr>
        <w:spacing w:before="120" w:after="120"/>
        <w:pBdr>
          <w:bottom w:val="single" w:sz="6" w:space="1" w:color="D0D7DE"/>
        </w:pBdr>
      </w:pPr>
    </w:p>
    <w:p>
      <w:pPr>
        <w:pStyle w:val="Heading1"/>
        <w:keepNext/>
        <w:spacing w:before="280" w:after="120"/>
      </w:pPr>
      <w:r>
        <w:rPr>
          <w:rFonts w:ascii="Georgia" w:hAnsi="Georgia"/>
          <w:b/>
          <w:color w:val="0A2540"/>
          <w:sz w:val="28"/>
        </w:rPr>
        <w:t>7. Discussion and Limitations</w:t>
      </w:r>
    </w:p>
    <w:p>
      <w:pPr>
        <w:pStyle w:val="Heading2"/>
        <w:keepNext/>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keepNext/>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keepNext/>
        <w:spacing w:before="200" w:after="80"/>
      </w:pPr>
      <w:r>
        <w:rPr>
          <w:rFonts w:ascii="Calibri" w:hAnsi="Calibri"/>
          <w:b/>
          <w:color w:val="1F2328"/>
          <w:sz w:val="24"/>
        </w:rPr>
        <w:t>7.3 Latency and Cost Implications for Security Operations</w:t>
      </w:r>
    </w:p>
    <w:p>
      <w:r>
        <w:t>In evaluating the operational viability of frontier reasoning models (</w:t>
      </w:r>
      <w:r>
        <w:rPr>
          <w:rFonts w:ascii="Consolas" w:hAnsi="Consolas"/>
          <w:color w:val="8A1F11"/>
          <w:sz w:val="19"/>
        </w:rPr>
        <w:t>gpt-5.6-luna</w:t>
      </w:r>
      <w:r>
        <w:t xml:space="preserve">, </w:t>
      </w:r>
      <w:r>
        <w:rPr>
          <w:rFonts w:ascii="Consolas" w:hAnsi="Consolas"/>
          <w:color w:val="8A1F11"/>
          <w:sz w:val="19"/>
        </w:rPr>
        <w:t>reasoning_effort=xhigh</w:t>
      </w:r>
      <w:r>
        <w:t xml:space="preserve">) for SOC automation, latency and token overhead represent crucial operational trade-offs. In the canonical live study, observed mean inference latency across conditions ranged between </w:t>
      </w:r>
      <m:oMath>
        <m:r>
          <m:t>2</m:t>
        </m:r>
        <m:r>
          <m:t>.</m:t>
        </m:r>
        <m:r>
          <m:t>90</m:t>
        </m:r>
        <m:r>
          <m:rPr>
            <m:nor/>
          </m:rPr>
          <m:t> s</m:t>
        </m:r>
      </m:oMath>
      <w:r>
        <w:t xml:space="preserve"> and </w:t>
      </w:r>
      <m:oMath>
        <m:r>
          <m:t>4</m:t>
        </m:r>
        <m:r>
          <m:t>.</m:t>
        </m:r>
        <m:r>
          <m:t>37</m:t>
        </m:r>
        <m:r>
          <m:rPr>
            <m:nor/>
          </m:rPr>
          <m:t> s</m:t>
        </m:r>
      </m:oMath>
      <w:r>
        <w:t xml:space="preserve"> (with median latencies between </w:t>
      </w:r>
      <m:oMath>
        <m:r>
          <m:t>2</m:t>
        </m:r>
        <m:r>
          <m:t>.</m:t>
        </m:r>
        <m:r>
          <m:t>30</m:t>
        </m:r>
        <m:r>
          <m:rPr>
            <m:nor/>
          </m:rPr>
          <m:t> s</m:t>
        </m:r>
      </m:oMath>
      <w:r>
        <w:t xml:space="preserve"> and </w:t>
      </w:r>
      <m:oMath>
        <m:r>
          <m:t>2</m:t>
        </m:r>
        <m:r>
          <m:t>.</m:t>
        </m:r>
        <m:r>
          <m:t>87</m:t>
        </m:r>
        <m:r>
          <m:rPr>
            <m:nor/>
          </m:rPr>
          <m:t> s</m:t>
        </m:r>
      </m:oMath>
      <w:r>
        <w:t>; P95 latency is NOT REPORTED per scientific protocol and Root policy), as detailed in Table 5. The earlier DEV pilot figure (</w:t>
      </w:r>
      <m:oMath>
        <m:r>
          <m:t>~</m:t>
        </m:r>
        <m:r>
          <m:t>8</m:t>
        </m:r>
        <m:r>
          <m:t>.</m:t>
        </m:r>
        <m:r>
          <m:t>13</m:t>
        </m:r>
        <m:r>
          <m:rPr>
            <m:nor/>
          </m:rPr>
          <m:t> s</m:t>
        </m:r>
      </m:oMath>
      <w:r>
        <w:t xml:space="preserve"> mean latency, </w:t>
      </w:r>
      <m:oMath>
        <m:r>
          <m:t>~</m:t>
        </m:r>
        <m:r>
          <m:t>657</m:t>
        </m:r>
      </m:oMath>
      <w:r>
        <w:t xml:space="preserve"> output tokens per request) represented a preliminary historical calibration benchmark under unconstrained exploratory settings. We explicitly distinguish this historical calibration artifact from canonical benchmark timings to avoid misinterpreting exploratory latency ceilings as operational live baselines.</w:t>
      </w:r>
    </w:p>
    <w:p>
      <w:r>
        <w:t>Nonetheless, in a high-throughput production SOC ingesting tens of thousands of security alerts per hour, routing raw endpoint telemetry indiscriminately to high-effort reasoning models remains economically and operationally challenging. 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keepNext/>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keepLines/>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To prevent premature aborts, the launcher wrapper incorporates a 12-retry policy around atomic ledger writes using deterministic exponential backoff without jitter (</w:t>
      </w:r>
      <w:r>
        <w:rPr>
          <w:rFonts w:ascii="Consolas" w:hAnsi="Consolas"/>
          <w:color w:val="8A1F11"/>
          <w:sz w:val="19"/>
        </w:rPr>
        <w:t>delay = 0.05 * (1.5 ** attempt)</w:t>
      </w:r>
      <w:r>
        <w:t>), ensuring reliable state persistence across long-running sequential dispatches.</w:t>
      </w:r>
    </w:p>
    <w:p>
      <w:pPr>
        <w:pStyle w:val="ListBullet"/>
        <w:spacing w:after="40" w:line="276" w:lineRule="auto"/>
      </w:pPr>
      <w:r>
        <w:rPr>
          <w:b/>
        </w:rPr>
        <w:t>Offline Guard Harness (</w:t>
      </w:r>
      <w:r>
        <w:rPr>
          <w:rFonts w:ascii="Consolas" w:hAnsi="Consolas"/>
          <w:color w:val="8A1F11"/>
          <w:sz w:val="19"/>
        </w:rPr>
        <w:t>scripts/run_offline_tests.py</w:t>
      </w:r>
      <w:r>
        <w:rPr>
          <w:b/>
        </w:rPr>
        <w:t>):</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w:t>
      </w:r>
      <w:r>
        <w:rPr>
          <w:rFonts w:ascii="Consolas" w:hAnsi="Consolas"/>
          <w:color w:val="8A1F11"/>
          <w:sz w:val="19"/>
        </w:rPr>
        <w:t>src/experiment/runner.py</w:t>
      </w:r>
      <w:r>
        <w:rPr>
          <w:b/>
        </w:rPr>
        <w:t>):</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keepNext/>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 We explicitly clarify the scope of software determinism: bitwise determinism strictly applies to frozen dataset regeneration, FAISS index construction, and offline evaluation diagnostics, where dataset files and indices achieve 100% bitwise identical SHA-256 digests. Across the two audited offline metric re-evaluations with the same 1,000 bootstrap resamples and seed 42, all integer counts and discrete classifications are strictly invariant, arithmetic invariants hold within </w:t>
      </w:r>
      <m:oMath>
        <m:r>
          <m:t>&lt;</m:t>
        </m:r>
        <m:sSup>
          <m:e>
            <m:r>
              <m:t>10</m:t>
            </m:r>
          </m:e>
          <m:sup>
            <m:r>
              <m:t>-</m:t>
            </m:r>
            <m:r>
              <m:t>12</m:t>
            </m:r>
          </m:sup>
        </m:sSup>
      </m:oMath>
      <w:r>
        <w:t xml:space="preserve"> numerical tolerance, and the 4 Macro-CI bounding endpoints exhibit infinitesimal numerical divergence of </w:t>
      </w:r>
      <m:oMath>
        <m:r>
          <m:t>&lt;</m:t>
        </m:r>
        <m:r>
          <m:t>6</m:t>
        </m:r>
        <m:r>
          <m:t>×</m:t>
        </m:r>
        <m:sSup>
          <m:e>
            <m:r>
              <m:t>10</m:t>
            </m:r>
          </m:e>
          <m:sup>
            <m:r>
              <m:t>-</m:t>
            </m:r>
            <m:r>
              <m:t>18</m:t>
            </m:r>
          </m:sup>
        </m:sSup>
      </m:oMath>
      <w:r>
        <w:t xml:space="preserve"> consistent with floating-point arithmetic; the precise source of this negligible difference was not separately isolated. Live model provider outputs remain subject to upstream non-determinism and provider-side variability, which is transparently recorded under Protocol Decision D3 through immutable timestamped metadata, system fingerprints, and journal logs.</w:t>
      </w:r>
    </w:p>
    <w:p>
      <w:pPr>
        <w:pStyle w:val="ListBullet"/>
        <w:spacing w:after="40" w:line="276" w:lineRule="auto"/>
      </w:pPr>
      <w:r>
        <w:rPr>
          <w:b/>
        </w:rPr>
        <w:t>Statistical Validity &amp; Multiple Comparisons:</w:t>
      </w:r>
      <w:r>
        <w:t xml:space="preserve"> Statistical hypothesis tests evaluating retrieval depths (</w:t>
      </w:r>
      <m:oMath>
        <m:r>
          <m:t>k</m:t>
        </m:r>
        <m:r>
          <m:t>∈</m:t>
        </m:r>
        <m:r>
          <m:t>{</m:t>
        </m:r>
        <m:r>
          <m:t>1</m:t>
        </m:r>
        <m:r>
          <m:t>,</m:t>
        </m:r>
        <m:r>
          <m:t>3</m:t>
        </m:r>
        <m:r>
          <m:t>,</m:t>
        </m:r>
        <m:r>
          <m:t>5</m:t>
        </m:r>
        <m:r>
          <m:t>,</m:t>
        </m:r>
        <m:r>
          <m:t>10</m:t>
        </m:r>
        <m:r>
          <m:t>}</m:t>
        </m:r>
      </m:oMath>
      <w:r>
        <w:t>) and paired representation concordances are exploratory. Exact McNemar tests are evaluated at the view level (</w:t>
      </w:r>
      <m:oMath>
        <m:r>
          <m:t>N</m:t>
        </m:r>
        <m:r>
          <m:t>=</m:t>
        </m:r>
        <m:r>
          <m:t>718</m:t>
        </m:r>
      </m:oMath>
      <w:r>
        <w:t xml:space="preserve">) without clustering adjustments or family-wise error rate (FWER) penalties. The 95% confidence intervals generated via cluster bootstrap over 440 scenario clusters appropriately capture cluster-level variance, but individual </w:t>
      </w:r>
      <m:oMath>
        <m:r>
          <m:t>p</m:t>
        </m:r>
      </m:oMath>
      <w:r>
        <w:t>-values should be interpreted as diagnostic indicators rather than confirmatory multi-hypothesis proofs.</w:t>
      </w:r>
    </w:p>
    <w:p>
      <w:pPr>
        <w:pStyle w:val="ListBullet"/>
        <w:spacing w:after="40" w:line="276" w:lineRule="auto"/>
      </w:pPr>
      <w:r>
        <w:rPr>
          <w:b/>
        </w:rPr>
        <w:t>External Validity &amp; Sparse Ground-Truth Census:</w:t>
      </w:r>
      <w:r>
        <w:t xml:space="preserve"> While the evaluation ontology is strictly frozen at all 474 Windows Enterprise ATT&amp;CK techniques (preventing artificial closed-world simplification), the empirical ground-truth in the TEST cohort is concentrated across 8 active techniques (768 total annotations across 718 views due to 40 multi-GT views), as established in Section 5.3.4. While this accurately reflects empirical benchmark availability, unweighted macro-averages across 474 classes heavily depress Macro-F1; class-level generalizations to the remaining 466 techniques without empirical test support cannot be claimed. Additionally, results from synthetic telemetry and </w:t>
      </w:r>
      <w:r>
        <w:rPr>
          <w:rFonts w:ascii="Consolas" w:hAnsi="Consolas"/>
          <w:color w:val="8A1F11"/>
          <w:sz w:val="19"/>
        </w:rPr>
        <w:t>gpt-5.6-luna</w:t>
      </w:r>
      <w:r>
        <w:t xml:space="preserve"> may not generalize directly to other model families or complex enterprise networks.</w:t>
      </w:r>
    </w:p>
    <w:p>
      <w:pPr>
        <w:pStyle w:val="ListBullet"/>
        <w:spacing w:after="40" w:line="276" w:lineRule="auto"/>
      </w:pPr>
      <w:r>
        <w:rPr>
          <w:b/>
        </w:rPr>
        <w:t>Construct Validity &amp; Scenario Label Shift:</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 Furthermore, as demonstrated in Section 6.1.1, the observed performance differential between single-event and contextual views is confounded by label expansion in multi-stage synthetic attack sequences, where 40 of 278 paired scenarios possess mismatched ground truth. Asserting pure causal benefit for contextual windowing without controlling for label shift would be invalid.</w:t>
      </w:r>
    </w:p>
    <w:p>
      <w:pPr>
        <w:spacing w:before="120" w:after="120"/>
        <w:pBdr>
          <w:bottom w:val="single" w:sz="6" w:space="1" w:color="D0D7DE"/>
        </w:pBdr>
      </w:pPr>
    </w:p>
    <w:p>
      <w:pPr>
        <w:pStyle w:val="Heading1"/>
        <w:keepNext/>
        <w:spacing w:before="280" w:after="120"/>
      </w:pPr>
      <w:r>
        <w:rPr>
          <w:rFonts w:ascii="Georgia" w:hAnsi="Georgia"/>
          <w:b/>
          <w:color w:val="0A2540"/>
          <w:sz w:val="28"/>
        </w:rPr>
        <w:t>8. Conclusion and Reproducibility Statement</w:t>
      </w:r>
    </w:p>
    <w:p>
      <w:pPr>
        <w:pStyle w:val="Heading2"/>
        <w:keepNext/>
        <w:spacing w:before="200" w:after="80"/>
      </w:pPr>
      <w:r>
        <w:rPr>
          <w:rFonts w:ascii="Calibri" w:hAnsi="Calibri"/>
          <w:b/>
          <w:color w:val="1F2328"/>
          <w:sz w:val="24"/>
        </w:rPr>
        <w:t>8.1 Conclusion</w:t>
      </w:r>
    </w:p>
    <w:p>
      <w:r>
        <w:t>This scientific report presents the empirical evaluation of MITRE ATT&amp;CK-grounded Retrieval-Augmented Generation for host technique attribution under Scientific Protocol v1.1. By coupling a cryptographically frozen evaluation protocol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w:t>
      </w:r>
      <m:oMath>
        <m:r>
          <m:t>k</m:t>
        </m:r>
        <m:r>
          <m:t>∈</m:t>
        </m:r>
        <m:r>
          <m:t>{</m:t>
        </m:r>
        <m:r>
          <m:t>1</m:t>
        </m:r>
        <m:r>
          <m:t>,</m:t>
        </m:r>
        <m:r>
          <m:t>3</m:t>
        </m:r>
        <m:r>
          <m:t>,</m:t>
        </m:r>
        <m:r>
          <m:t>5</m:t>
        </m:r>
        <m:r>
          <m:t>,</m:t>
        </m:r>
        <m:r>
          <m:t>10</m:t>
        </m:r>
        <m:r>
          <m:t>}</m:t>
        </m:r>
      </m:oMath>
      <w:r>
        <w:t>), RAG2ATTCK provides an empirical assessment of retrieval augmentation in host log attribution.</w:t>
      </w:r>
    </w:p>
    <w:p>
      <w:r>
        <w:t>Our empirical findings establish three primary conclusions:</w:t>
      </w:r>
    </w:p>
    <w:p>
      <w:pPr>
        <w:spacing w:after="40" w:line="276" w:lineRule="auto"/>
        <w:ind w:left="432" w:hanging="288"/>
      </w:pPr>
      <w:r>
        <w:rPr>
          <w:rFonts w:ascii="Calibri" w:hAnsi="Calibri"/>
          <w:b/>
          <w:color w:val="24292F"/>
        </w:rPr>
        <w:t xml:space="preserve">1. </w:t>
      </w:r>
      <w:r>
        <w:rPr>
          <w:b/>
        </w:rPr>
        <w:t>Attribution Efficacy Under Uncertainty (RQ1):</w:t>
      </w:r>
      <w:r>
        <w:t xml:space="preserve"> While retrieval depth </w:t>
      </w:r>
      <m:oMath>
        <m:r>
          <m:t>k</m:t>
        </m:r>
        <m:r>
          <m:t>=</m:t>
        </m:r>
        <m:r>
          <m:t>10</m:t>
        </m:r>
      </m:oMath>
      <w:r>
        <w:t xml:space="preserve"> attained the highest observed point accuracy (</w:t>
      </w:r>
      <m:oMath>
        <m:r>
          <m:t>79</m:t>
        </m:r>
        <m:r>
          <m:t>.</m:t>
        </m:r>
        <m:r>
          <m:t>526</m:t>
        </m:r>
        <m:r>
          <m:t>%</m:t>
        </m:r>
      </m:oMath>
      <w:r>
        <w:t xml:space="preserve"> vs. </w:t>
      </w:r>
      <m:oMath>
        <m:r>
          <m:t>77</m:t>
        </m:r>
        <m:r>
          <m:t>.</m:t>
        </m:r>
        <m:r>
          <m:t>994</m:t>
        </m:r>
        <m:r>
          <m:t>%</m:t>
        </m:r>
      </m:oMath>
      <w:r>
        <w:t xml:space="preserve"> for unaugmented zero-shot reasoning, </w:t>
      </w:r>
      <m:oMath>
        <m:r>
          <m:t>Δ</m:t>
        </m:r>
        <m:r>
          <m:t>=</m:t>
        </m:r>
        <m:r>
          <m:t>+</m:t>
        </m:r>
        <m:r>
          <m:t>1</m:t>
        </m:r>
        <m:r>
          <m:t>.</m:t>
        </m:r>
        <m:r>
          <m:t>532</m:t>
        </m:r>
        <m:r>
          <m:rPr>
            <m:nor/>
          </m:rPr>
          <m:t> pp</m:t>
        </m:r>
      </m:oMath>
      <w:r>
        <w:t xml:space="preserve">), this observed difference remains within statistical uncertainty bounds (cluster bootstrap 95% CI </w:t>
      </w:r>
      <m:oMath>
        <m:r>
          <m:t>[</m:t>
        </m:r>
        <m:r>
          <m:t>-</m:t>
        </m:r>
        <m:r>
          <m:t>2</m:t>
        </m:r>
        <m:r>
          <m:t>.</m:t>
        </m:r>
        <m:r>
          <m:t>355</m:t>
        </m:r>
        <m:r>
          <m:rPr>
            <m:nor/>
          </m:rPr>
          <m:t> pp</m:t>
        </m:r>
        <m:r>
          <m:t>,</m:t>
        </m:r>
        <m:r>
          <m:t>+</m:t>
        </m:r>
        <m:r>
          <m:t>5</m:t>
        </m:r>
        <m:r>
          <m:t>.</m:t>
        </m:r>
        <m:r>
          <m:t>300</m:t>
        </m:r>
        <m:r>
          <m:rPr>
            <m:nor/>
          </m:rPr>
          <m:t> pp</m:t>
        </m:r>
        <m:r>
          <m:t>]</m:t>
        </m:r>
      </m:oMath>
      <w:r>
        <w:t xml:space="preserve">, exact McNemar </w:t>
      </w:r>
      <m:oMath>
        <m:r>
          <m:t>p</m:t>
        </m:r>
        <m:r>
          <m:t>=</m:t>
        </m:r>
        <m:r>
          <m:t>0</m:t>
        </m:r>
        <m:r>
          <m:t>.</m:t>
        </m:r>
        <m:r>
          <m:t>422</m:t>
        </m:r>
      </m:oMath>
      <w:r>
        <w:t>). Within the statistical bounds of this study, no statistically significant accuracy advantage was detected for retrieval over the evaluated No-RAG model in this controlled synthetic study.</w:t>
      </w:r>
    </w:p>
    <w:p>
      <w:pPr>
        <w:spacing w:after="40" w:line="276" w:lineRule="auto"/>
        <w:ind w:left="432" w:hanging="288"/>
      </w:pPr>
      <w:r>
        <w:rPr>
          <w:rFonts w:ascii="Calibri" w:hAnsi="Calibri"/>
          <w:b/>
          <w:color w:val="24292F"/>
        </w:rPr>
        <w:t xml:space="preserve">2. </w:t>
      </w:r>
      <w:r>
        <w:rPr>
          <w:b/>
        </w:rPr>
        <w:t>Retrieval Miss and Diagnostic Failure Modes (RQ2):</w:t>
      </w:r>
      <w:r>
        <w:t xml:space="preserve"> Dense retrieval over specialized security ontologies exhibits substantial lexical dependence; across the 718 scorable TEST views, the standalone retriever failed to place any ground-truth technique within the Top-10 candidates in </w:t>
      </w:r>
      <w:r>
        <w:rPr>
          <w:b/>
        </w:rPr>
        <w:t>55.2925% of views (397 of 718 views)</w:t>
      </w:r>
      <w:r>
        <w:t xml:space="preserve">. When ground truth was successfully retrieved within the Top-10, downstream attribution accuracy reached </w:t>
      </w:r>
      <m:oMath>
        <m:r>
          <m:t>P</m:t>
        </m:r>
        <m:r>
          <m:t>(</m:t>
        </m:r>
        <m:r>
          <m:rPr>
            <m:nor/>
          </m:rPr>
          <m:t>Correct</m:t>
        </m:r>
        <m:r>
          <m:t>|</m:t>
        </m:r>
        <m:r>
          <m:rPr>
            <m:nor/>
          </m:rPr>
          <m:t>Retrieved</m:t>
        </m:r>
        <m:r>
          <m:t>)</m:t>
        </m:r>
        <m:r>
          <m:t>=</m:t>
        </m:r>
        <m:r>
          <m:t>91</m:t>
        </m:r>
        <m:r>
          <m:t>.</m:t>
        </m:r>
        <m:r>
          <m:t>2773</m:t>
        </m:r>
        <m:r>
          <m:t>%</m:t>
        </m:r>
      </m:oMath>
      <w:r>
        <w:t xml:space="preserve"> (293 of 321 views); when absent, accuracy dropped to </w:t>
      </w:r>
      <m:oMath>
        <m:r>
          <m:t>P</m:t>
        </m:r>
        <m:r>
          <m:t>(</m:t>
        </m:r>
        <m:r>
          <m:rPr>
            <m:nor/>
          </m:rPr>
          <m:t>Correct</m:t>
        </m:r>
        <m:r>
          <m:t>|</m:t>
        </m:r>
        <m:r>
          <m:rPr>
            <m:nor/>
          </m:rPr>
          <m:t>Absent</m:t>
        </m:r>
        <m:r>
          <m:t>)</m:t>
        </m:r>
        <m:r>
          <m:t>=</m:t>
        </m:r>
        <m:r>
          <m:t>70</m:t>
        </m:r>
        <m:r>
          <m:t>.</m:t>
        </m:r>
        <m:r>
          <m:t>0252</m:t>
        </m:r>
        <m:r>
          <m:t>%</m:t>
        </m:r>
      </m:oMath>
      <w:r>
        <w:t xml:space="preserve"> (278 of 397 views). As a result, </w:t>
      </w:r>
      <w:r>
        <w:rPr>
          <w:b/>
        </w:rPr>
        <w:t xml:space="preserve">80.95% of all downstream misclassifications at </w:t>
      </w:r>
      <m:oMath>
        <m:r>
          <w:rPr>
            <w:b/>
          </w:rPr>
          <m:t>k</m:t>
        </m:r>
        <m:r>
          <w:rPr>
            <w:b/>
          </w:rPr>
          <m:t>=</m:t>
        </m:r>
        <m:r>
          <w:rPr>
            <w:b/>
          </w:rPr>
          <m:t>10</m:t>
        </m:r>
      </m:oMath>
      <w:r>
        <w:rPr>
          <w:b/>
        </w:rPr>
        <w:t xml:space="preserve"> (119 of 147 errors)</w:t>
      </w:r>
      <w:r>
        <w:t xml:space="preserve"> occurred in the retrieval miss branch. Correct attribution despite GT-label miss and potential context dilution in multi-event sequences are noted as empirical observations and hypotheses rather than established causal facts. Replicating researchers are provided with an offline saved-data replay suite (</w:t>
      </w:r>
      <w:r>
        <w:rPr>
          <w:rFonts w:ascii="Consolas" w:hAnsi="Consolas"/>
          <w:color w:val="8A1F11"/>
          <w:sz w:val="19"/>
        </w:rPr>
        <w:t>scripts/reproduce_canonical_study.py</w:t>
      </w:r>
      <w:r>
        <w:t xml:space="preserve">, </w:t>
      </w:r>
      <w:r>
        <w:rPr>
          <w:rFonts w:ascii="Consolas" w:hAnsi="Consolas"/>
          <w:color w:val="8A1F11"/>
          <w:sz w:val="19"/>
        </w:rPr>
        <w:t>tests/test_canonical_offline_replay.py</w:t>
      </w:r>
      <w:r>
        <w:t xml:space="preserve">) intended to recompute scientific metrics from saved prediction journals without live API credentials. (The repository contains the complete execution scripts, test suites, and portable package plan, while the 21MB raw prediction journals are staged privately in external verification archives to avoid committing large raw files to git history). Exact integer counts and NULL semantics, monetary accounting, and numerical agreement within </w:t>
      </w:r>
      <m:oMath>
        <m:sSup>
          <m:e>
            <m:r>
              <m:t>10</m:t>
            </m:r>
          </m:e>
          <m:sup>
            <m:r>
              <m:t>-</m:t>
            </m:r>
            <m:r>
              <m:t>12</m:t>
            </m:r>
          </m:sup>
        </m:sSup>
      </m:oMath>
      <w:r>
        <w:t xml:space="preserve"> are the replay criteria; operational timestamps can differ. The public package staging and replay commands are finalized with their separate verification evidence.</w:t>
      </w:r>
    </w:p>
    <w:p>
      <w:pPr>
        <w:spacing w:after="40" w:line="276" w:lineRule="auto"/>
        <w:ind w:left="432" w:hanging="288"/>
      </w:pPr>
      <w:r>
        <w:rPr>
          <w:rFonts w:ascii="Calibri" w:hAnsi="Calibri"/>
          <w:b/>
          <w:color w:val="24292F"/>
        </w:rPr>
        <w:t xml:space="preserve">3. </w:t>
      </w:r>
      <w:r>
        <w:rPr>
          <w:b/>
        </w:rPr>
        <w:t>Representation Confounding and Operational Reliability (RQ3):</w:t>
      </w:r>
      <w:r>
        <w:t xml:space="preserve"> The 40 GT-label-divergent pairs account for 80% of the net contextual wins under No-RAG and all such net wins under RAG k=1. This association and changing target-label sets prevent attributing the observed paired differences to added context alone. Operationally, the evaluation achieved a </w:t>
      </w:r>
      <m:oMath>
        <m:r>
          <m:t>99</m:t>
        </m:r>
        <m:r>
          <m:t>.</m:t>
        </m:r>
        <m:r>
          <m:t>80</m:t>
        </m:r>
        <m:r>
          <m:t>%</m:t>
        </m:r>
      </m:oMath>
      <w:r>
        <w:t xml:space="preserve"> VALID-output fraction with all logical records terminal and zero final provider failures in the scorable cohort and committed USD 6.62839900 against the USD 19.99000000 budget ceiling.</w:t>
      </w:r>
    </w:p>
    <w:p>
      <w:r>
        <w:t>All evaluation data, protocol configurations, and output tables are cryptographically bound to verifiable audit seals and reproducibility manifests, ensuring full reproducibility.</w:t>
      </w:r>
    </w:p>
    <w:p>
      <w:pPr>
        <w:pStyle w:val="Heading2"/>
        <w:keepNext/>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pPr>
        <w:keepNext/>
        <w:spacing w:before="160" w:after="60"/>
      </w:pPr>
      <w:r>
        <w:rPr>
          <w:i/>
          <w:color w:val="1F2328"/>
          <w:sz w:val="20"/>
        </w:rPr>
        <w:t>Table 6: Cryptographic Reproducibility Manifest.</w:t>
      </w:r>
    </w:p>
    <w:tbl>
      <w:tblPr>
        <w:tblW w:type="auto" w:w="0"/>
        <w:jc w:val="center"/>
        <w:tblLayout w:type="fixed"/>
        <w:tblLook w:firstColumn="1" w:firstRow="1" w:lastColumn="0" w:lastRow="0" w:noHBand="0" w:noVBand="1" w:val="04A0"/>
        <w:tblCaption w:val="Table 6: Cryptographic Reproducibility Manifest"/>
        <w:tblDescription w:val="table_6"/>
      </w:tblPr>
      <w:tblGrid>
        <w:gridCol w:w="2304"/>
        <w:gridCol w:w="2592"/>
        <w:gridCol w:w="1296"/>
        <w:gridCol w:w="3168"/>
      </w:tblGrid>
      <w:tr>
        <w:trPr>
          <w:cantSplit/>
          <w:tblHeader/>
        </w:trPr>
        <w:tc>
          <w:tcPr>
            <w:tcW w:type="dxa" w:w="230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Asset Description</w:t>
            </w:r>
          </w:p>
        </w:tc>
        <w:tc>
          <w:tcPr>
            <w:tcW w:type="dxa" w:w="259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File Path</w:t>
            </w:r>
          </w:p>
        </w:tc>
        <w:tc>
          <w:tcPr>
            <w:tcW w:type="dxa" w:w="129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Digest Type</w:t>
            </w:r>
          </w:p>
        </w:tc>
        <w:tc>
          <w:tcPr>
            <w:tcW w:type="dxa" w:w="3168"/>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Canonical SHA-256 Digest</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Scientific Protocol Decisions Digest</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config/experiment_protocol_v1.json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Protocol Digest</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d3bf3d31ad307100ac437a7daecc470bf12de9ada49f19de3d77592d5a21974c</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Protocol Configuration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config/experiment_protocol_v1.json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a402b04ab463172f9d4079bff27b089ca8a21ffd0805d097af6cb1f3c7b5a8fb</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Model Configuration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config/model.json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312c34cedd84106f2004c6070b72aeac1dd84209a464e2993fee3ec87822697f</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Retrieval Configuration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config/retrieval.json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b33a93913e7f6de36f6f9021f77b2c9dcb1d426929162acb250a3c73ac8e6e25</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Benchmark Scope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config/benchmark_scope.json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d6aa89831dec75362b4fd48de0fd6e7082290f2be0cb7bd0afc6bc518148db8b</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Base Prompt Template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prompts/baseline_v1.txt</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b751fde1ee33b03ec0bdc07cbba10267002d2086cf22b91a74bdfd123856f206</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ATT&amp;CK Enterprise v19.2 Raw STIX</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attack/raw/enterprise-v19.2/enterprise-attack-19.2.json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dc1639caa5501d720e280cf1cbd8fbe009884a0c9b3e6e9ed9d0c25166c3d8f4</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Windows Retrieval Corpus</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attack/corpus/enterprise-windows-v19.2.jsonl</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b219341154ddf2f12e97d622158a04ab7d57641df6a865559258d365852c3c75</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Corpus Manifest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attack/corpus/enterprise-windows-v19.2.manifest.json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6bd769324f6ac9193d7df82e7f54f5a1397a41b9bc72be767da5a72b54b3a47c</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FAISS Binary Index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attack/index/enterprise-windows-v19.2.index</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7e3b9944870860766ebd5ba76f19a420c1bbe57cebd4e4238b06fd31128578e5</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Index Document Mapping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attack/index/enterprise-windows-v19.2.docmap.json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a7de3dfcf2b6e186e639d2922fcbc27766c160ae58bbafea74b5efc0faf30586</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Dataset Manifest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data/ground_truth/synthetic/dataset_manifest.json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4576b793360d02b60d619d199fd34d4555ace33215303ee847715c162a50dcc2</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Live Execution Launcher Hash</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Runtime wrapper entrypoint</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Code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05b60f050cb456688ed74bddb72f994f3b61a84b56f8e568dda4c17467c4c7aa</w:t>
            </w:r>
          </w:p>
        </w:tc>
      </w:tr>
    </w:tbl>
    <w:p>
      <w:pPr>
        <w:spacing w:after="120"/>
      </w:pPr>
    </w:p>
    <w:p>
      <w:pPr>
        <w:pStyle w:val="Heading2"/>
        <w:keepNext/>
        <w:spacing w:before="200" w:after="80"/>
      </w:pPr>
      <w:r>
        <w:rPr>
          <w:rFonts w:ascii="Calibri" w:hAnsi="Calibri"/>
          <w:b/>
          <w:color w:val="1F2328"/>
          <w:sz w:val="24"/>
        </w:rPr>
        <w:t>8.2.1 Certified Canonical Execution Lineage</w:t>
      </w:r>
    </w:p>
    <w:p>
      <w:r>
        <w:t>The canonical live execution run is certified and cryptographically bound to immutable provenance hashes and commit states across all experimental pipelines:</w:t>
      </w:r>
    </w:p>
    <w:p>
      <w:pPr>
        <w:pStyle w:val="ListBullet"/>
        <w:spacing w:after="40" w:line="276" w:lineRule="auto"/>
      </w:pPr>
      <w:r>
        <w:rPr>
          <w:b/>
        </w:rPr>
        <w:t>Terminal Execution Snapshot Seal:</w:t>
      </w:r>
      <w:r>
        <w:t xml:space="preserve"> </w:t>
      </w:r>
      <w:r>
        <w:rPr>
          <w:rFonts w:ascii="Consolas" w:hAnsi="Consolas"/>
          <w:color w:val="8A1F11"/>
          <w:sz w:val="19"/>
        </w:rPr>
        <w:t>16fbfca3dc55deccaf91b95b84d289a4a1e7eb3218d45fdd511c9a9c22d91357</w:t>
      </w:r>
      <w:r>
        <w:t xml:space="preserve"> (</w:t>
      </w:r>
      <w:r>
        <w:rPr>
          <w:rFonts w:ascii="Consolas" w:hAnsi="Consolas"/>
          <w:color w:val="8A1F11"/>
          <w:sz w:val="19"/>
        </w:rPr>
        <w:t>artifacts/orchestration/root_canonical_snapshot_seal_v1.json</w:t>
      </w:r>
      <w:r>
        <w:t>)</w:t>
      </w:r>
    </w:p>
    <w:p>
      <w:pPr>
        <w:pStyle w:val="ListBullet"/>
        <w:spacing w:after="40" w:line="276" w:lineRule="auto"/>
      </w:pPr>
      <w:r>
        <w:rPr>
          <w:b/>
        </w:rPr>
        <w:t>Root Verification Proof Digest:</w:t>
      </w:r>
      <w:r>
        <w:t xml:space="preserve"> </w:t>
      </w:r>
      <w:r>
        <w:rPr>
          <w:rFonts w:ascii="Consolas" w:hAnsi="Consolas"/>
          <w:color w:val="8A1F11"/>
          <w:sz w:val="19"/>
        </w:rPr>
        <w:t>551d0ca63101701837365a845078ab3b2f0e14a0b6c6f4946092f8cfd3ef1f39</w:t>
      </w:r>
      <w:r>
        <w:t xml:space="preserve"> (</w:t>
      </w:r>
      <w:r>
        <w:rPr>
          <w:rFonts w:ascii="Consolas" w:hAnsi="Consolas"/>
          <w:color w:val="8A1F11"/>
          <w:sz w:val="19"/>
        </w:rPr>
        <w:t>artifacts/orchestration/root_canonical_export_validation_v2.json</w:t>
      </w:r>
      <w:r>
        <w:t>)</w:t>
      </w:r>
    </w:p>
    <w:p>
      <w:pPr>
        <w:pStyle w:val="ListBullet"/>
        <w:spacing w:after="40" w:line="276" w:lineRule="auto"/>
      </w:pPr>
      <w:r>
        <w:rPr>
          <w:b/>
        </w:rPr>
        <w:t>Execution Git Commit:</w:t>
      </w:r>
      <w:r>
        <w:t xml:space="preserve"> </w:t>
      </w:r>
      <w:r>
        <w:rPr>
          <w:rFonts w:ascii="Consolas" w:hAnsi="Consolas"/>
          <w:color w:val="8A1F11"/>
          <w:sz w:val="19"/>
        </w:rPr>
        <w:t>80dbeb3fe2316e5d2d39de2ed6a5a2d15cfa9315</w:t>
      </w:r>
    </w:p>
    <w:p>
      <w:pPr>
        <w:pStyle w:val="ListBullet"/>
        <w:spacing w:after="40" w:line="276" w:lineRule="auto"/>
      </w:pPr>
      <w:r>
        <w:rPr>
          <w:b/>
        </w:rPr>
        <w:t>Native Evaluation Git Commit:</w:t>
      </w:r>
      <w:r>
        <w:t xml:space="preserve"> </w:t>
      </w:r>
      <w:r>
        <w:rPr>
          <w:rFonts w:ascii="Consolas" w:hAnsi="Consolas"/>
          <w:color w:val="8A1F11"/>
          <w:sz w:val="19"/>
        </w:rPr>
        <w:t>208ac00a9fe86813d4e4ec4fa72b2a943a2e4fdb</w:t>
      </w:r>
    </w:p>
    <w:p>
      <w:pPr>
        <w:pStyle w:val="ListBullet"/>
        <w:spacing w:after="40" w:line="276" w:lineRule="auto"/>
      </w:pPr>
      <w:r>
        <w:rPr>
          <w:b/>
        </w:rPr>
        <w:t>Repaired RQ Analysis Git Commit:</w:t>
      </w:r>
      <w:r>
        <w:t xml:space="preserve"> </w:t>
      </w:r>
      <w:r>
        <w:rPr>
          <w:rFonts w:ascii="Consolas" w:hAnsi="Consolas"/>
          <w:color w:val="8A1F11"/>
          <w:sz w:val="19"/>
        </w:rPr>
        <w:t>264ed31472c4f0f74e519938b65876915f9c15a7</w:t>
      </w:r>
      <w:r>
        <w:t xml:space="preserve"> (Specialist B commit </w:t>
      </w:r>
      <w:r>
        <w:rPr>
          <w:rFonts w:ascii="Consolas" w:hAnsi="Consolas"/>
          <w:color w:val="8A1F11"/>
          <w:sz w:val="19"/>
        </w:rPr>
        <w:t>fe9fd9cbacc9614d24029fe3f751fc6f90b3f027</w:t>
      </w:r>
      <w:r>
        <w:t>)</w:t>
      </w:r>
    </w:p>
    <w:p>
      <w:pPr>
        <w:pStyle w:val="ListBullet"/>
        <w:spacing w:after="40" w:line="276" w:lineRule="auto"/>
      </w:pPr>
      <w:r>
        <w:rPr>
          <w:b/>
        </w:rPr>
        <w:t>RQ Analysis Script SHA-256:</w:t>
      </w:r>
      <w:r>
        <w:t xml:space="preserve"> </w:t>
      </w:r>
      <w:r>
        <w:rPr>
          <w:rFonts w:ascii="Consolas" w:hAnsi="Consolas"/>
          <w:color w:val="8A1F11"/>
          <w:sz w:val="19"/>
        </w:rPr>
        <w:t>f85d7f7373e825dcc7171ce4491fd15c6fb755955da245041783fe317bc80351</w:t>
      </w:r>
      <w:r>
        <w:t xml:space="preserve"> (</w:t>
      </w:r>
      <w:r>
        <w:rPr>
          <w:rFonts w:ascii="Consolas" w:hAnsi="Consolas"/>
          <w:color w:val="8A1F11"/>
          <w:sz w:val="19"/>
        </w:rPr>
        <w:t>scripts/analysis/evaluate_rqs.py</w:t>
      </w:r>
      <w:r>
        <w:t>)</w:t>
      </w:r>
    </w:p>
    <w:p>
      <w:pPr>
        <w:pStyle w:val="ListBullet"/>
        <w:spacing w:after="40" w:line="276" w:lineRule="auto"/>
      </w:pPr>
      <w:r>
        <w:rPr>
          <w:b/>
        </w:rPr>
        <w:t>Canonical Metric Bundle SHA-256:</w:t>
      </w:r>
      <w:r>
        <w:t xml:space="preserve"> </w:t>
      </w:r>
      <w:r>
        <w:rPr>
          <w:rFonts w:ascii="Consolas" w:hAnsi="Consolas"/>
          <w:color w:val="8A1F11"/>
          <w:sz w:val="19"/>
        </w:rPr>
        <w:t>00cd9df247af395e924235b42108b91e1fdc7ca3e7a190499cb7544f6bc6612f</w:t>
      </w:r>
      <w:r>
        <w:t xml:space="preserve"> (</w:t>
      </w:r>
      <w:r>
        <w:rPr>
          <w:rFonts w:ascii="Consolas" w:hAnsi="Consolas"/>
          <w:color w:val="8A1F11"/>
          <w:sz w:val="19"/>
        </w:rPr>
        <w:t>artifacts/canonical-accepted-bundle-v2/canonical_metric_bundle_v1.json</w:t>
      </w:r>
      <w:r>
        <w:t>)</w:t>
      </w:r>
    </w:p>
    <w:p>
      <w:pPr>
        <w:pStyle w:val="ListBullet"/>
        <w:spacing w:after="40" w:line="276" w:lineRule="auto"/>
      </w:pPr>
      <w:r>
        <w:rPr>
          <w:b/>
        </w:rPr>
        <w:t>Raw Manifest File SHA-256:</w:t>
      </w:r>
      <w:r>
        <w:t xml:space="preserve"> </w:t>
      </w:r>
      <w:r>
        <w:rPr>
          <w:rFonts w:ascii="Consolas" w:hAnsi="Consolas"/>
          <w:color w:val="8A1F11"/>
          <w:sz w:val="19"/>
        </w:rPr>
        <w:t>66b658cfa9dd42e131ec567bbe043b8bc87ac6e92aeaa5e8f6661b0195e486e5</w:t>
      </w:r>
      <w:r>
        <w:t xml:space="preserve"> (</w:t>
      </w:r>
      <w:r>
        <w:rPr>
          <w:rFonts w:ascii="Consolas" w:hAnsi="Consolas"/>
          <w:color w:val="8A1F11"/>
          <w:sz w:val="19"/>
        </w:rPr>
        <w:t>inputs/manifest.json</w:t>
      </w:r>
      <w:r>
        <w:t>)</w:t>
      </w:r>
    </w:p>
    <w:p>
      <w:pPr>
        <w:pStyle w:val="ListBullet"/>
        <w:spacing w:after="40" w:line="276" w:lineRule="auto"/>
      </w:pPr>
      <w:r>
        <w:rPr>
          <w:b/>
        </w:rPr>
        <w:t>Raw Manifest Semantic SHA-256 Digest:</w:t>
      </w:r>
      <w:r>
        <w:t xml:space="preserve"> </w:t>
      </w:r>
      <w:r>
        <w:rPr>
          <w:rFonts w:ascii="Consolas" w:hAnsi="Consolas"/>
          <w:color w:val="8A1F11"/>
          <w:sz w:val="19"/>
        </w:rPr>
        <w:t>2f81076c4cfc3d3bd88b6bfe4b6e39775b8ed398a5623eaa603691cb277a9178</w:t>
      </w:r>
      <w:r>
        <w:t xml:space="preserve"> (</w:t>
      </w:r>
      <w:r>
        <w:rPr>
          <w:rFonts w:ascii="Consolas" w:hAnsi="Consolas"/>
          <w:color w:val="8A1F11"/>
          <w:sz w:val="19"/>
        </w:rPr>
        <w:t>inputs/manifest.json</w:t>
      </w:r>
      <w:r>
        <w:t xml:space="preserve"> canonical sorted)</w:t>
      </w:r>
    </w:p>
    <w:p>
      <w:pPr>
        <w:pStyle w:val="Heading3"/>
        <w:keepNext/>
        <w:spacing w:before="160" w:after="40"/>
      </w:pPr>
      <w:r>
        <w:rPr>
          <w:rFonts w:ascii="Calibri" w:hAnsi="Calibri"/>
          <w:b/>
          <w:i/>
          <w:color w:val="333344"/>
          <w:sz w:val="22"/>
        </w:rPr>
        <w:t>Supplementary Execution Provenance (Canonical Run Mode)</w:t>
      </w:r>
    </w:p>
    <w:p>
      <w:r>
        <w:t>The following certified canonical execution artifacts and lineage hashes were bound during canonical evaluation and verification:</w:t>
      </w:r>
    </w:p>
    <w:tbl>
      <w:tblPr>
        <w:tblW w:type="auto" w:w="0"/>
        <w:jc w:val="center"/>
        <w:tblLayout w:type="fixed"/>
        <w:tblLook w:firstColumn="1" w:firstRow="1" w:lastColumn="0" w:lastRow="0" w:noHBand="0" w:noVBand="1" w:val="04A0"/>
        <w:tblCaption w:val="Table 6: Cryptographic Reproducibility Manifest"/>
        <w:tblDescription w:val="table_6"/>
      </w:tblPr>
      <w:tblGrid>
        <w:gridCol w:w="2304"/>
        <w:gridCol w:w="2592"/>
        <w:gridCol w:w="1296"/>
        <w:gridCol w:w="3168"/>
      </w:tblGrid>
      <w:tr>
        <w:trPr>
          <w:cantSplit/>
          <w:tblHeader/>
        </w:trPr>
        <w:tc>
          <w:tcPr>
            <w:tcW w:type="dxa" w:w="230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Asset Description</w:t>
            </w:r>
          </w:p>
        </w:tc>
        <w:tc>
          <w:tcPr>
            <w:tcW w:type="dxa" w:w="259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File Path / Identifier</w:t>
            </w:r>
          </w:p>
        </w:tc>
        <w:tc>
          <w:tcPr>
            <w:tcW w:type="dxa" w:w="129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Digest Type</w:t>
            </w:r>
          </w:p>
        </w:tc>
        <w:tc>
          <w:tcPr>
            <w:tcW w:type="dxa" w:w="3168"/>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Hash / Git SHA</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Canonical Metric Bundle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artifacts/results/canonical_metric_bundle_v2.json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442b5933858caafc9da3c06ee9398637213ed30d7a7db80195c0babb1195ef34</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Canonical Overall Metrics</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artifacts/results/outputs/overall_metrics.json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25662753963ecdd05d16b8607095fffb964c0d53cd2c43026c50b47b22e55074</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Condition Metrics</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artifacts/results/outputs/per_condition_metrics.json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e6592f9a0f97739be1168f9d1448e0d209fe4a300727ff6ad78902523f1591d6</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Retrieval Conditional</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artifacts/results/outputs/retrieval_conditional_metrics.json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2c68395f4ae923167b7cbc08835ff2772044ddc7695f69c0781ec277287d775f</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RQ Analysis</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artifacts/results/outputs/rq_analysis.json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1604a5537b57cefbe86fd59d7fa2acfb8658a27215f7df8a98dfd0c400981156</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Run Provenance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artifacts/results/outputs/run_provenance.json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90918c9efe149c537c9b2cee7f7392607f273c12627bcc61b9dc9443359e63a1</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Terminal Snapshot Seal</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reports/evidence/canonical_run_seal_v1.json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ae7a9ada86927a79e0c6916b44d3f0ba9e1f9756df55dd7b2fce712b35d48701</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Execution Commit</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Runner execution state</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Git Commit SHA</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80dbeb3fe2316e5d2d39de2ed6a5a2d15cfa9315</w:t>
            </w:r>
          </w:p>
        </w:tc>
      </w:tr>
    </w:tbl>
    <w:p>
      <w:pPr>
        <w:spacing w:after="120"/>
      </w:pPr>
    </w:p>
    <w:p>
      <w:pPr>
        <w:pStyle w:val="Heading2"/>
        <w:keepNext/>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r>
        <w:t>Offline saved-data re-evaluation and verification of all headline scientific metrics from saved canonical prediction journals can be executed via:</w:t>
      </w:r>
    </w:p>
    <w:p>
      <w:pPr>
        <w:keepLines/>
        <w:spacing w:before="80" w:after="120" w:line="240" w:lineRule="auto"/>
        <w:ind w:left="360" w:right="360"/>
        <w:shd w:fill="F6F8FA"/>
      </w:pPr>
      <w:r>
        <w:rPr>
          <w:rFonts w:ascii="Consolas" w:hAnsi="Consolas"/>
          <w:color w:val="1F2328"/>
          <w:sz w:val="18"/>
        </w:rPr>
        <w:t>python scripts/run_offline_tests.py -m scripts.reproduce_canonical_study \</w:t>
        <w:br/>
        <w:t xml:space="preserve">  --bundle-dir &lt;package-root&gt; \</w:t>
        <w:br/>
        <w:t xml:space="preserve">  --repository-root &lt;checkout&gt; \</w:t>
        <w:br/>
        <w:t xml:space="preserve">  --output-dir &lt;new-output-dir&gt; \</w:t>
        <w:br/>
        <w:t xml:space="preserve">  --all</w:t>
      </w:r>
    </w:p>
    <w:p>
      <w:r>
        <w:t>To keep the repository lean, the 21MB raw prediction journals and full canonical execution artifacts are staged in portable verification bundles outside git history, while the repository includes the reproduction plan, dataset and FAISS indexing pipelines, evaluation harness, and offline replay suite.</w:t>
      </w:r>
    </w:p>
    <w:p>
      <w:pPr>
        <w:spacing w:before="120" w:after="120"/>
        <w:pBdr>
          <w:bottom w:val="single" w:sz="6" w:space="1" w:color="D0D7DE"/>
        </w:pBdr>
      </w:pPr>
    </w:p>
    <w:p>
      <w:pPr>
        <w:pStyle w:val="Heading1"/>
        <w:keepNext/>
        <w:spacing w:before="280" w:after="120"/>
      </w:pPr>
      <w:r>
        <w:rPr>
          <w:rFonts w:ascii="Georgia" w:hAnsi="Georgia"/>
          <w:b/>
          <w:color w:val="0A2540"/>
          <w:sz w:val="28"/>
        </w:rPr>
        <w:t>References</w:t>
      </w:r>
    </w:p>
    <w:p>
      <w:pPr>
        <w:keepLines/>
        <w:spacing w:after="80" w:line="276" w:lineRule="auto"/>
        <w:ind w:left="504" w:hanging="504"/>
      </w:pPr>
      <w:r>
        <w:rPr>
          <w:rFonts w:ascii="Calibri" w:hAnsi="Calibri"/>
          <w:b/>
          <w:color w:val="24292F"/>
          <w:sz w:val="20"/>
        </w:rPr>
        <w:t xml:space="preserve">[1] </w:t>
      </w:r>
      <w:r>
        <w:rPr>
          <w:sz w:val="20"/>
        </w:rPr>
        <w:t xml:space="preserve">The MITRE Corporation. "MITRE ATT&amp;CK® Enterprise Matrix, Version 19.2." Published 05 August 2026. Available: &lt;https://github.com/mitre-attack/attack-stix-data/releases/tag/v19.2&gt; (version history horizon begins 28 April 2026: &lt;https://attack.mitre.org/resources/versions/&gt;).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[2] </w:t>
      </w:r>
      <w:r>
        <w:rPr>
          <w:sz w:val="20"/>
        </w:rPr>
        <w:t xml:space="preserve">OpenAI. "GPT-5.6 Luna Model." OpenAI Documentation, accessed 2 October 2026. Available: &lt;https://developers.openai.com/api/docs/models/gpt-5.6-luna&gt;. Specifications: 1,050,000 context window, 128,000 max output capacity.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[3] </w:t>
      </w:r>
      <w:r>
        <w:rPr>
          <w:sz w:val="20"/>
        </w:rPr>
        <w:t xml:space="preserve">OpenAI. "Reasoning models." OpenAI Documentation Guides, accessed 2 October 2026. Available: &lt;https://developers.openai.com/api/docs/guides/reasoning&gt;. Note: Details upper budget bounds and incomplete responses (status="incomplete", incomplete_details.reason="max_output_tokens") when max_output_tokens is exhausted.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[4] </w:t>
      </w:r>
      <w:r>
        <w:rPr>
          <w:sz w:val="20"/>
        </w:rPr>
        <w:t xml:space="preserve">Lewis, P.; Perez, E.; Piktus, A.; Petroni, F.; Karpukhin, V.; Goyal, N.; Küttler, H.; Lewis, M.; Yih, W.-t.; Rocktäschel, T.; Riedel, S.; Kiela, D. "Retrieval-Augmented Generation for Knowledge-Intensive NLP Tasks." In: </w:t>
      </w:r>
      <w:r>
        <w:rPr>
          <w:i/>
          <w:sz w:val="20"/>
        </w:rPr>
        <w:t>Advances in Neural Information Processing Systems (NeurIPS 2020)</w:t>
      </w:r>
      <w:r>
        <w:rPr>
          <w:sz w:val="20"/>
        </w:rPr>
        <w:t xml:space="preserve">, vol. 33, pp. 9459–9474, 2020.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[5] </w:t>
      </w:r>
      <w:r>
        <w:rPr>
          <w:sz w:val="20"/>
        </w:rPr>
        <w:t xml:space="preserve">Lekssays, A.; Shukla, U.; Sencar, H. T.; Parvez, M. R. "TechniqueRAG: Retrieval Augmented Generation for Adversarial Technique Annotation in Cyber Threat Intelligence Text." In: </w:t>
      </w:r>
      <w:r>
        <w:rPr>
          <w:i/>
          <w:sz w:val="20"/>
        </w:rPr>
        <w:t>Findings of the Association for Computational Linguistics: ACL 2025</w:t>
      </w:r>
      <w:r>
        <w:rPr>
          <w:sz w:val="20"/>
        </w:rP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[6] </w:t>
      </w:r>
      <w:r>
        <w:rPr>
          <w:sz w:val="20"/>
        </w:rPr>
        <w:t xml:space="preserve">Morbiato, F.; Keller, M.; Nair, P.; Romano, L. "Hierarchical Retrieval Augmented Generation for Adversarial Technique Annotation in Cyber Threat Intelligence Text." arXiv:2604.14166, submitted 24 March 2026. Available: &lt;https://arxiv.org/abs/2604.14166&gt;. Note: Primary arXiv page shows submission 24 March 2026 (2604 prefix); studies hierarchical CTI retrieval (tactic sensitivity M, zero-shot Llama 3 baseline); flat depth ablation is NOT PERFORMED.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[7] </w:t>
      </w:r>
      <w:r>
        <w:rPr>
          <w:sz w:val="20"/>
        </w:rPr>
        <w:t xml:space="preserve">Yang, D.-R.; Hsu, F.-H. "LLM-Based Malicious Behavior Detection from Sysmon Event Logs: A Practical System Integrating Process Trees, RAG, and In-Context Analysis." In: </w:t>
      </w:r>
      <w:r>
        <w:rPr>
          <w:i/>
          <w:sz w:val="20"/>
        </w:rPr>
        <w:t>Security and Information Technologies with AI, Internet Computing and Big-Data Applications (SITAIBA 2025)</w:t>
      </w:r>
      <w:r>
        <w:rPr>
          <w:sz w:val="20"/>
        </w:rPr>
        <w:t xml:space="preserve">, SIST, vol. 8767, pp. 235–251, Springer Cham, online 2 July 2026. DOI: &lt;https://doi.org/10.1007/978-3-032-24063-7_18&gt;. Note: Springer page confirms 2 July 2026 publication; abstract/metadata checked; retrieval corpus and full text remain UNVERIFIED due to paywall. </w:t>
      </w:r>
      <w:r>
        <w:rPr>
          <w:rFonts w:ascii="Consolas" w:hAnsi="Consolas"/>
          <w:color w:val="8A1F11"/>
          <w:sz w:val="20"/>
        </w:rPr>
        <w:t>[PARTIAL / METADATA ONLY / UNVERIFIED]</w:t>
      </w:r>
    </w:p>
    <w:p>
      <w:pPr>
        <w:keepLines/>
        <w:spacing w:after="80" w:line="276" w:lineRule="auto"/>
        <w:ind w:left="504" w:hanging="504"/>
      </w:pPr>
      <w:r>
        <w:rPr>
          <w:rFonts w:ascii="Calibri" w:hAnsi="Calibri"/>
          <w:b/>
          <w:color w:val="24292F"/>
          <w:sz w:val="20"/>
        </w:rPr>
        <w:t xml:space="preserve">[8] </w:t>
      </w:r>
      <w:r>
        <w:rPr>
          <w:sz w:val="20"/>
        </w:rPr>
        <w:t xml:space="preserve">Landauer, M.; Hotwagner, W.; Boenke, T.; Skopik, F.; Wurzenberger, M. "CAM-LDS: cyber attack manifestations for automatic interpretation of system logs and security alerts." </w:t>
      </w:r>
      <w:r>
        <w:rPr>
          <w:i/>
          <w:sz w:val="20"/>
        </w:rPr>
        <w:t>International Journal of Information Security</w:t>
      </w:r>
      <w:r>
        <w:rPr>
          <w:sz w:val="20"/>
        </w:rPr>
        <w:t xml:space="preserve">, vol. 25, art. 148, published online 26 August 2026. DOI: &lt;https://doi.org/10.1007/s10207-026-01318-x&gt;; preprint: &lt;https://arxiv.org/abs/2603.04186&gt;. Note: Journal edition evaluates GPT-5.5, GPT-5.2, Llama 4, Qwen 3, and Ministral (§5.1, footnotes 7–11); supports output Top-k and parent-technique evaluation (§5.2.2); retrieval settings are NOT APPLICABLE.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[9] </w:t>
      </w:r>
      <w:r>
        <w:rPr>
          <w:sz w:val="20"/>
        </w:rPr>
        <w:t xml:space="preserve">Okuma, M.; Watarai, K.; Okada, S.; Mitsunaga, T. "Automated Mapping Method for Sysmon Logs to ATT&amp;CK Techniques by Leveraging Atomic Red Team." In: </w:t>
      </w:r>
      <w:r>
        <w:rPr>
          <w:i/>
          <w:sz w:val="20"/>
        </w:rPr>
        <w:t>2023 6th International Conference on Signal Processing and Information Security (ICSPIS 2023)</w:t>
      </w:r>
      <w:r>
        <w:rPr>
          <w:sz w:val="20"/>
        </w:rPr>
        <w:t xml:space="preserve">, pp. 104–109, IEEE, 2023. DOI: &lt;https://doi.org/10.1109/ICSPIS60075.2023.10343783&gt;. Note: IEEE bibliographic record checked; mapping method and primary full text remain UNVERIFIED due to paywall access block in this audit. </w:t>
      </w:r>
      <w:r>
        <w:rPr>
          <w:rFonts w:ascii="Consolas" w:hAnsi="Consolas"/>
          <w:color w:val="8A1F11"/>
          <w:sz w:val="20"/>
        </w:rPr>
        <w:t>[ACCESS BLOCKED / BIBLIOGRAPHIC RECORD ONLY / UNVERIFIED]</w:t>
      </w:r>
    </w:p>
    <w:p>
      <w:pPr>
        <w:keepLines/>
        <w:spacing w:after="80" w:line="276" w:lineRule="auto"/>
        <w:ind w:left="504" w:hanging="504"/>
      </w:pPr>
      <w:r>
        <w:rPr>
          <w:rFonts w:ascii="Calibri" w:hAnsi="Calibri"/>
          <w:b/>
          <w:color w:val="24292F"/>
          <w:sz w:val="20"/>
        </w:rPr>
        <w:t xml:space="preserve">[10] </w:t>
      </w:r>
      <w:r>
        <w:rPr>
          <w:sz w:val="20"/>
        </w:rPr>
        <w:t xml:space="preserve">Adediran, G.; Awuson-David, K.; Ahmed, Y. "Retrieval-Augmented Large Language Model for AWS Cloud Threat Detection and Modelling: Cloudtrail Mitre ATT&amp;CK Mapping." </w:t>
      </w:r>
      <w:r>
        <w:rPr>
          <w:i/>
          <w:sz w:val="20"/>
        </w:rPr>
        <w:t>Computers, Materials &amp; Continua</w:t>
      </w:r>
      <w:r>
        <w:rPr>
          <w:sz w:val="20"/>
        </w:rPr>
        <w:t xml:space="preserve">, vol. 87, no. 2, art. 100, 2026. DOI: &lt;https://doi.org/10.32604/cmc.2026.077606&gt;. Note: Two-step CloudTrail RAG; numeric depth k is NOT REPORTED; primary text reports retrieval-generation gap as both 60% and 26% without resolution.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[11] </w:t>
      </w:r>
      <w:r>
        <w:rPr>
          <w:sz w:val="20"/>
        </w:rPr>
        <w:t xml:space="preserve">Lupinacci, M.; Arena, L.; Blefari, F.; Furfaro, A. "A Graph-Based Approach for Mapping Kernel-Level Telemetry to MITRE ATT&amp;CK." arXiv:2609.12841, 2026. Available: &lt;https://arxiv.org/abs/2609.12841&gt;. Note: Linux eBPF provenance graphs with Chroma retriever across 6 models (foundation-sec-8b, qwen3.5-9b, gpt-oss, deepseek-r1-qwen32b, llama3.3-70b, gemma4-31b-it); fixed 5 chunks vs 5 output cutoff (standalone Recall@k unseparated).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[12] </w:t>
      </w:r>
      <w:r>
        <w:rPr>
          <w:sz w:val="20"/>
        </w:rPr>
        <w:t xml:space="preserve">Gwak, J.-Y.; Strier, A.; Xi, Z.; Yan, G.; Shu, X.; Stoller, S. D.; Yang, P. "LADE: LLM-Assisted Advanced Persistent Threat Detection and Explanation." In: </w:t>
      </w:r>
      <w:r>
        <w:rPr>
          <w:i/>
          <w:sz w:val="20"/>
        </w:rPr>
        <w:t>Security and Privacy in Communication Networks (SecureComm 2026)</w:t>
      </w:r>
      <w:r>
        <w:rPr>
          <w:sz w:val="20"/>
        </w:rPr>
        <w:t xml:space="preserve">, LNICST, vol. 705, pp. 245–273, Springer Cham, online 20 July 2026 (© 2027). DOI: &lt;https://doi.org/10.1007/978-3-032-32767-3_11&gt;; PDF: &lt;https://www3.cs.stonybrook.edu/~stoller/papers/LADE-2026.pdf&gt; (SHA-256: 6e8384569254bc4cf82dd4d0191746907ff40fa76016275946651cf47d6f4985). Note: Evaluates gpt-oss-120B, Llama-3.3-70B, Mistral-Small-3.2-24B, Gemini-2.5-Pro on AVIATOR &amp; Caldera sequences; retriever is NOT APPLICABLE.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[13] </w:t>
      </w:r>
      <w:r>
        <w:rPr>
          <w:sz w:val="20"/>
        </w:rPr>
        <w:t xml:space="preserve">Mozaffari, M.; Yazdinejad, A.; Dehghantanha, A. "Windows-APT 2025: A dataset for APT-inspired attack scenarios on windows systems." </w:t>
      </w:r>
      <w:r>
        <w:rPr>
          <w:i/>
          <w:sz w:val="20"/>
        </w:rPr>
        <w:t>Data in Brief</w:t>
      </w:r>
      <w:r>
        <w:rPr>
          <w:sz w:val="20"/>
        </w:rPr>
        <w:t xml:space="preserve">, vol. 65, art. 112569, 2026. DOI: &lt;https://doi.org/10.1016/j.dib.2026.112569&gt;; Mendeley Data v3: &lt;https://doi.org/10.17632/b8fmtzvpy8.3&gt;. Note: Primary source inspected; Task 2 internal forensic audit of this project identified 15,713 unresolved cell discrepancies preventing independent ground-truth verification. </w:t>
      </w:r>
      <w:r>
        <w:rPr>
          <w:rFonts w:ascii="Consolas" w:hAnsi="Consolas"/>
          <w:color w:val="8A1F11"/>
          <w:sz w:val="20"/>
        </w:rPr>
        <w:t>[PRIMARY SOURCE VERIFIED]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Calibri" w:hAnsi="Calibri"/>
        <w:color w:val="6E7781"/>
        <w:sz w:val="18"/>
      </w:rPr>
      <w:t xml:space="preserve">RAG2ATTCK Replication-and-Extension Study   |   Page </w:t>
    </w:r>
    <w:fldSimple w:instr="PAGE">
      <w:r>
        <w:rPr>
          <w:rFonts w:ascii="Calibri" w:hAnsi="Calibri"/>
          <w:sz w:val="18"/>
          <w:color w:val="6E7781"/>
        </w:rPr>
        <w:t>1</w:t>
      </w:r>
    </w:fldSimple>
    <w:r>
      <w:rPr>
        <w:rFonts w:ascii="Calibri" w:hAnsi="Calibri"/>
        <w:color w:val="6E7781"/>
        <w:sz w:val="18"/>
      </w:rPr>
      <w:t xml:space="preserve"> of </w:t>
    </w:r>
    <w:fldSimple w:instr="NUMPAGES">
      <w:r>
        <w:rPr>
          <w:rFonts w:ascii="Calibri" w:hAnsi="Calibri"/>
          <w:sz w:val="18"/>
          <w:color w:val="6E7781"/>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