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40" w:after="160"/>
      </w:pPr>
      <w:r>
        <w:rPr>
          <w:rFonts w:ascii="Georgia" w:hAnsi="Georgia"/>
          <w:b/>
          <w:color w:val="0A2540"/>
          <w:sz w:val="40"/>
        </w:rPr>
        <w:t>Evaluating MITRE ATT&amp;CK-Grounded RAG for Technique Attribution from Windows Endpoint Logs: A Replication-and-Extension Study</w:t>
      </w:r>
    </w:p>
    <w:p>
      <w:r>
        <w:rPr>
          <w:b/>
        </w:rPr>
        <w:t>Author:</w:t>
      </w:r>
      <w:r>
        <w:t xml:space="preserve"> Hà Hoàng Bách</w:t>
      </w:r>
    </w:p>
    <w:p>
      <w:r>
        <w:rPr>
          <w:b/>
        </w:rPr>
        <w:t>Affiliation:</w:t>
      </w:r>
      <w:r>
        <w:t xml:space="preserve"> RAG2ATT&amp;CK Research Project</w:t>
      </w:r>
    </w:p>
    <w:p>
      <w:r>
        <w:rPr>
          <w:b/>
        </w:rPr>
        <w:t>Date:</w:t>
      </w:r>
      <w:r>
        <w:t xml:space="preserve"> October 2026</w:t>
      </w:r>
    </w:p>
    <w:p>
      <w:r>
        <w:rPr>
          <w:b/>
        </w:rPr>
        <w:t>Status:</w:t>
      </w:r>
      <w:r>
        <w:t xml:space="preserve"> DRAFT — IN PROGRESS / PENDING EXPERIMENTAL EXECUTION</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64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as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Our evaluation framework employs a fixed 474-class macro-averaged F1 universe, multi-label </w:t>
      </w:r>
      <w:r>
        <w:rPr>
          <w:rFonts w:ascii="Consolas" w:hAnsi="Consolas"/>
          <w:color w:val="8A1F11"/>
          <w:sz w:val="19"/>
        </w:rPr>
        <w:t>ANY_MATCH</w:t>
      </w:r>
      <w:r>
        <w:t xml:space="preserve"> correctness semantics, headline end-to-end accuracy incorporating provider and parse failures, and an independent-axes failure decomposition. In compliance with strict empirical integrity guidelines, this report establishes the formal research report scaffold, mathematical formulations, literature review, and experimental table schemas without inventing unexecuted numerical results. Preliminary offline retrieval diagnostics across positive views demonstrate that dense retrieval achieves </w:t>
      </w:r>
      <w:r>
        <w:rPr>
          <w:rFonts w:ascii="Cambria Math" w:hAnsi="Cambria Math"/>
          <w:i/>
        </w:rPr>
        <w:t>Hit@1 = 4.23\%</w:t>
      </w:r>
      <w:r>
        <w:t xml:space="preserve"> and </w:t>
      </w:r>
      <w:r>
        <w:rPr>
          <w:rFonts w:ascii="Cambria Math" w:hAnsi="Cambria Math"/>
          <w:i/>
        </w:rPr>
        <w:t>Hit@10 = 45.11\%</w:t>
      </w:r>
      <w:r>
        <w:t xml:space="preserve">, with no ground-truth technique retrieved within Top-10 in </w:t>
      </w:r>
      <w:r>
        <w:rPr>
          <w:rFonts w:ascii="Cambria Math" w:hAnsi="Cambria Math"/>
          <w:i/>
        </w:rPr>
        <w:t>54.89\%</w:t>
      </w:r>
      <w:r>
        <w:t xml:space="preserve"> of positive views (the complement of view-level Any-GT Hit@10), influenced by lexical mismatch in command-line arguments and contextual event dilution. The canonical live execution matrix (6,400 requests) is strictly budgeted under a $19.99 financial guard, establishing a reproducible foundation for evaluating knowledge grounding in security reasoning.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Recent advancements in commercial language models with extended internal reasoning capabilities (such as OpenAI's </w:t>
      </w:r>
      <w:r>
        <w:rPr>
          <w:rFonts w:ascii="Consolas" w:hAnsi="Consolas"/>
          <w:color w:val="8A1F11"/>
          <w:sz w:val="19"/>
        </w:rPr>
        <w:t>gpt-5.6-luna</w:t>
      </w:r>
      <w:r>
        <w:t>) have demonstrated notable analytical performance in log triage and security analysis [2, 3]. However, relying solely on an LLM's internal parametric memory poses operational risks in security-critical environments:</w:t>
      </w:r>
    </w:p>
    <w:p>
      <w:pPr>
        <w:pStyle w:val="ListNumber"/>
        <w:spacing w:after="40" w:line="276" w:lineRule="auto"/>
      </w:pP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pStyle w:val="ListNumber"/>
        <w:spacing w:after="40" w:line="276" w:lineRule="auto"/>
      </w:pPr>
      <w:r>
        <w:rPr>
          <w:b/>
        </w:rPr>
        <w:t>Knowledge Obsolescence:</w:t>
      </w:r>
      <w:r>
        <w:t xml:space="preserve"> Static model weights cannot reflect updates, deprecations, or newly introduced techniques in quarterly ATT&amp;CK releases.</w:t>
      </w:r>
    </w:p>
    <w:p>
      <w:pPr>
        <w:pStyle w:val="ListNumber"/>
        <w:spacing w:after="40" w:line="276" w:lineRule="auto"/>
      </w:pP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pStyle w:val="ListNumber"/>
        <w:spacing w:after="40" w:line="276" w:lineRule="auto"/>
      </w:pP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pStyle w:val="ListNumber"/>
        <w:spacing w:after="40" w:line="276" w:lineRule="auto"/>
      </w:pPr>
      <w:r>
        <w:rPr>
          <w:b/>
        </w:rPr>
        <w:t>Pinned ATT&amp;CK Enterprise Matrix v19.2:</w:t>
      </w:r>
      <w:r>
        <w:t xml:space="preserve"> All retrieval and evaluation operations are bound to an immutable STIX snapshot of 474 active Windows techniques and sub-techniques, eliminating taxonomy drift.</w:t>
      </w:r>
    </w:p>
    <w:p>
      <w:pPr>
        <w:pStyle w:val="ListNumber"/>
        <w:spacing w:after="40" w:line="276" w:lineRule="auto"/>
      </w:pPr>
      <w:r>
        <w:rPr>
          <w:b/>
        </w:rPr>
        <w:t>Decoupled Failure Decomposition:</w:t>
      </w:r>
      <w:r>
        <w:t xml:space="preserve"> We decouple upstream retrieval failures (where the true technique is not retrieved in the Top-</w:t>
      </w:r>
      <w:r>
        <w:rPr>
          <w:rFonts w:ascii="Cambria Math" w:hAnsi="Cambria Math"/>
          <w:i/>
        </w:rPr>
        <w:t>k</w:t>
      </w:r>
      <w:r>
        <w:t xml:space="preserve"> candidates) from downstream LLM generation/selection failures, revealing where the attribution pipeline breaks down.</w:t>
      </w:r>
    </w:p>
    <w:p>
      <w:pPr>
        <w:pStyle w:val="ListNumber"/>
        <w:spacing w:after="40" w:line="276" w:lineRule="auto"/>
      </w:pPr>
      <w:r>
        <w:rPr>
          <w:b/>
        </w:rPr>
        <w:t>Systematic Retrieval Depth Sweep:</w:t>
      </w:r>
      <w:r>
        <w:t xml:space="preserve"> We ablate retrieval depth across </w:t>
      </w:r>
      <w:r>
        <w:rPr>
          <w:rFonts w:ascii="Cambria Math" w:hAnsi="Cambria Math"/>
          <w:i/>
        </w:rPr>
        <w:t>k ∈ {1, 3, 5, 10}</w:t>
      </w:r>
      <w:r>
        <w:t xml:space="preserve"> to measure the transition from informative context to distractor noise, tracking token costs and wall-clock latency.</w:t>
      </w:r>
    </w:p>
    <w:p>
      <w:pPr>
        <w:pStyle w:val="ListNumber"/>
        <w:spacing w:after="40" w:line="276" w:lineRule="auto"/>
      </w:pP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Decomposition):</w:t>
      </w:r>
      <w:r>
        <w:t xml:space="preserve"> When attribution errors occur under RAG, what proportion is attributable to upstream retrieval misses (</w:t>
      </w:r>
      <w:r>
        <w:rPr>
          <w:rFonts w:ascii="Cambria Math" w:hAnsi="Cambria Math"/>
          <w:i/>
        </w:rPr>
        <w:t>GT ∉ Top-k</w:t>
      </w:r>
      <w:r>
        <w:t>) versus downstream model generation or selection failures? Furthermore, how do single-event versus multi-event contextual representations influence these independent failure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 presents an 18-dimension comparison across the eight comparator works and RAG2ATTCK, highlighting target inputs, ATT&amp;CK granularity, retrieval parameters, baseline controls, and evaluation methodologies.</w:t>
      </w:r>
    </w:p>
    <w:p>
      <w:r>
        <w:rPr>
          <w:i/>
        </w:rPr>
        <w:t>Table 1: Multi-Dimensional Comparator Matrix Grounded in Primary Evidence.</w:t>
      </w:r>
    </w:p>
    <w:tbl>
      <w:tblPr>
        <w:tblW w:type="auto" w:w="0"/>
        <w:jc w:val="center"/>
        <w:tblLayout w:type="fixed"/>
        <w:tblLook w:firstColumn="1" w:firstRow="1" w:lastColumn="0" w:lastRow="0" w:noHBand="0" w:noVBand="1" w:val="04A0"/>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Dimension</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Yang &amp; Hsu (2026) [7]</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Adediran et al. (2026) [10]</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CAM-LDS (Landauer et al., 2026) [8]</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TechniqueRAG (Lekssays et al., 2025) [5]</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H-TechniqueRAG (Morbiato et al., 2026) [6]</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Trace2ATT&amp;CK (Lupinacci et al., 2026) [11]</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Okuma et al. (2023) [9]</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LADE (Gwak et al., 2026/2027) [12]</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RAG2ATTCK (This Work)</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 Primary Input</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Windows Sysmon process trees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AWS CloudTrail JSON events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Linux system logs (auditd, syslog) + IDS alerts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Unstructured CTI text reports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Unstructured CTI text reports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Linux eBPF provenance graphs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Windows Sysmon event logs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Chronological command/script traces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Windows endpoint telemetry (Sysmon / Security logs)</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2. Target Platform</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Windows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AWS Cloud</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Linux / Multi-source</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Cross-platform (CTI text)</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Cross-platform (CTI text)</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Linux</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Windows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Cross-platform host OS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Windows Enterprise</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3. Core Task</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Malicious behavior detection &amp; explanation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Cloud threat detection &amp; ATT&amp;CK mapping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Benchmark log interpretation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CTI technique &amp; sub-technique annotation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CTI technique annotation &amp; context routing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Kernel telemetry to ATT&amp;CK mapping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Heuristic log-to-technique correlation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APT detection &amp; TTP mapping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Exact ATT&amp;CK Technique / Sub-technique attribution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4. ATT&amp;CK Target Granularity</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Behavior explanation (Exact ID UNVERIFIED)</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Technique &amp; Sub-technique (</w:t>
            </w:r>
            <w:r>
              <w:rPr>
                <w:rFonts w:ascii="Consolas" w:hAnsi="Consolas"/>
                <w:color w:val="8A1F11"/>
                <w:sz w:val="13"/>
              </w:rPr>
              <w:t>Txxxx.yyy</w:t>
            </w:r>
            <w:r>
              <w:rPr>
                <w:color w:val="24292F"/>
                <w:sz w:val="15"/>
              </w:rPr>
              <w:t>)</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Collapses sub-techniques to parent (</w:t>
            </w:r>
            <w:r>
              <w:rPr>
                <w:rFonts w:ascii="Consolas" w:hAnsi="Consolas"/>
                <w:color w:val="8A1F11"/>
                <w:sz w:val="13"/>
              </w:rPr>
              <w:t>Txxxx</w:t>
            </w:r>
            <w:r>
              <w:rPr>
                <w:color w:val="24292F"/>
                <w:sz w:val="15"/>
              </w:rPr>
              <w:t>)</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Technique &amp; Sub-technique (</w:t>
            </w:r>
            <w:r>
              <w:rPr>
                <w:rFonts w:ascii="Consolas" w:hAnsi="Consolas"/>
                <w:color w:val="8A1F11"/>
                <w:sz w:val="13"/>
              </w:rPr>
              <w:t>Txxxx.yyy</w:t>
            </w:r>
            <w:r>
              <w:rPr>
                <w:color w:val="24292F"/>
                <w:sz w:val="15"/>
              </w:rPr>
              <w:t>)</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 xml:space="preserve">Tactic </w:t>
            </w:r>
            <w:r>
              <w:rPr>
                <w:rFonts w:ascii="Cambria Math" w:hAnsi="Cambria Math"/>
                <w:i/>
                <w:color w:val="24292F"/>
                <w:sz w:val="15"/>
              </w:rPr>
              <w:t>→</w:t>
            </w:r>
            <w:r>
              <w:rPr>
                <w:color w:val="24292F"/>
                <w:sz w:val="15"/>
              </w:rPr>
              <w:t xml:space="preserve"> Technique hierarchy</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Ranked Technique &amp; Sub-technique candidates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Technique level (</w:t>
            </w:r>
            <w:r>
              <w:rPr>
                <w:rFonts w:ascii="Consolas" w:hAnsi="Consolas"/>
                <w:color w:val="8A1F11"/>
                <w:sz w:val="13"/>
              </w:rPr>
              <w:t>Txxxx</w:t>
            </w:r>
            <w:r>
              <w:rPr>
                <w:color w:val="24292F"/>
                <w:sz w:val="15"/>
              </w:rPr>
              <w:t>)</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Ranked Technique candidates (Top-1/3/10)</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Exact Technique &amp; Sub-technique (</w:t>
            </w:r>
            <w:r>
              <w:rPr>
                <w:rFonts w:ascii="Consolas" w:hAnsi="Consolas"/>
                <w:color w:val="8A1F11"/>
                <w:sz w:val="13"/>
              </w:rPr>
              <w:t>Txxxx.yyy</w:t>
            </w:r>
            <w:r>
              <w:rPr>
                <w:b/>
                <w:color w:val="24292F"/>
                <w:sz w:val="15"/>
              </w:rPr>
              <w:t>)</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5. RAG Architecture</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Semantic matching 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Two-step query expansion RAG (Vertex AI)</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None</w:t>
            </w:r>
            <w:r>
              <w:rPr>
                <w:color w:val="24292F"/>
                <w:sz w:val="15"/>
              </w:rPr>
              <w:t xml:space="preserve"> (Zero-shot prompting)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Exemplar retrieval (BM25 + DeepSeek v3 rerank)</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Hierarchical dense RAG (FAISS IVF)</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Dense chunk retrieval (Chroma + MMR)</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None</w:t>
            </w:r>
            <w:r>
              <w:rPr>
                <w:color w:val="24292F"/>
                <w:sz w:val="15"/>
              </w:rPr>
              <w:t xml:space="preserve"> (Rule-based correlation)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None</w:t>
            </w:r>
            <w:r>
              <w:rPr>
                <w:color w:val="24292F"/>
                <w:sz w:val="15"/>
              </w:rPr>
              <w:t xml:space="preserve"> (Rubric prompting with static ATT&amp;CK text)</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Dense semantic RAG (FAISS IndexFlatIP cosine)</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6. Retrieval Corpus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Security templates &amp; attack patterns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ATT&amp;CK Cloud, AWS catalogue, threat blogs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N/A</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Annotated text-label pairs (TRAM, Procedures)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ATT&amp;CK Enterprise (CTI-RCM, TRAM, MITRE)</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ATT&amp;CK Enterprise KB (800-word chunks)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N/A</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N/A</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Official ATT&amp;CK Enterprise v19.2 (474 active Windows docs)</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7. Matched No-RAG Baseline?</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w:t>
            </w:r>
            <w:r>
              <w:rPr>
                <w:color w:val="24292F"/>
                <w:sz w:val="15"/>
              </w:rPr>
              <w:t xml:space="preserve"> (Mistral, phi-2, TinyLlama w/o 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w:t>
            </w:r>
            <w:r>
              <w:rPr>
                <w:color w:val="24292F"/>
                <w:sz w:val="15"/>
              </w:rPr>
              <w:t xml:space="preserve"> (Gemini 2.5 Pro baseline w/o 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 xml:space="preserve">Evaluates </w:t>
            </w:r>
            <w:r>
              <w:rPr>
                <w:i/>
                <w:color w:val="24292F"/>
                <w:sz w:val="15"/>
              </w:rPr>
              <w:t>only</w:t>
            </w:r>
            <w:r>
              <w:rPr>
                <w:color w:val="24292F"/>
                <w:sz w:val="15"/>
              </w:rPr>
              <w:t xml:space="preserve"> zero-shot (no 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w:t>
            </w:r>
            <w:r>
              <w:rPr>
                <w:color w:val="24292F"/>
                <w:sz w:val="15"/>
              </w:rPr>
              <w:t xml:space="preserve"> (Zero-shot and fine-tuned w/o 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Flat RAG vs. Hierarchical RAG (no raw baseline)</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w:t>
            </w:r>
            <w:r>
              <w:rPr>
                <w:color w:val="24292F"/>
                <w:sz w:val="15"/>
              </w:rPr>
              <w:t xml:space="preserve"> (Prompting baseline w/o 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No (Heuristic only)</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Prompting only (no RAG ablation)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 (Strictly matched gpt-5.6-luna w/o RAG)</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8. Top-k Retrieval Ablation?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UNVERIFIED (full text unavailable)</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No</w:t>
            </w:r>
            <w:r>
              <w:rPr>
                <w:color w:val="24292F"/>
                <w:sz w:val="15"/>
              </w:rPr>
              <w:t xml:space="preserve"> (Numeric k NOT REPORTED; ablation deferred)</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 xml:space="preserve">Evaluates output cutoff </w:t>
            </w:r>
            <w:r>
              <w:rPr>
                <w:rFonts w:ascii="Cambria Math" w:hAnsi="Cambria Math"/>
                <w:i/>
                <w:color w:val="24292F"/>
                <w:sz w:val="15"/>
              </w:rPr>
              <w:t>k</w:t>
            </w:r>
            <w:r>
              <w:rPr>
                <w:color w:val="24292F"/>
                <w:sz w:val="15"/>
              </w:rPr>
              <w:t>, not retriever depth</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 xml:space="preserve">Evaluates pool size </w:t>
            </w:r>
            <w:r>
              <w:rPr>
                <w:rFonts w:ascii="Cambria Math" w:hAnsi="Cambria Math"/>
                <w:i/>
                <w:color w:val="24292F"/>
                <w:sz w:val="15"/>
              </w:rPr>
              <w:t>K=40</w:t>
            </w:r>
            <w:r>
              <w:rPr>
                <w:color w:val="24292F"/>
                <w:sz w:val="15"/>
              </w:rPr>
              <w:t xml:space="preserve">, fixed </w:t>
            </w:r>
            <w:r>
              <w:rPr>
                <w:rFonts w:ascii="Cambria Math" w:hAnsi="Cambria Math"/>
                <w:i/>
                <w:color w:val="24292F"/>
                <w:sz w:val="15"/>
              </w:rPr>
              <w:t>k=3</w:t>
            </w:r>
            <w:r>
              <w:rPr>
                <w:color w:val="24292F"/>
                <w:sz w:val="15"/>
              </w:rPr>
              <w:t xml:space="preserve"> exemplars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w:t>
            </w:r>
            <w:r>
              <w:rPr>
                <w:color w:val="24292F"/>
                <w:sz w:val="15"/>
              </w:rPr>
              <w:t xml:space="preserve"> (Tactic depth </w:t>
            </w:r>
            <w:r>
              <w:rPr>
                <w:rFonts w:ascii="Cambria Math" w:hAnsi="Cambria Math"/>
                <w:i/>
                <w:color w:val="24292F"/>
                <w:sz w:val="15"/>
              </w:rPr>
              <w:t>M=3</w:t>
            </w:r>
            <w:r>
              <w:rPr>
                <w:color w:val="24292F"/>
                <w:sz w:val="15"/>
              </w:rPr>
              <w:t>, max 15 tech/tactic)</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Fixed retriever depth (5 chunks), output cutoff 5</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No</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 xml:space="preserve">Output cutoff </w:t>
            </w:r>
            <w:r>
              <w:rPr>
                <w:rFonts w:ascii="Cambria Math" w:hAnsi="Cambria Math"/>
                <w:i/>
                <w:color w:val="24292F"/>
                <w:sz w:val="15"/>
              </w:rPr>
              <w:t>k ∈ {1, 3, 10}</w:t>
            </w:r>
            <w:r>
              <w:rPr>
                <w:color w:val="24292F"/>
                <w:sz w:val="15"/>
              </w:rPr>
              <w:t>, not retriever depth</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 (</w:t>
            </w:r>
            <w:r>
              <w:rPr>
                <w:rFonts w:ascii="Cambria Math" w:hAnsi="Cambria Math"/>
                <w:b/>
                <w:i/>
                <w:color w:val="24292F"/>
                <w:sz w:val="15"/>
              </w:rPr>
              <w:t>k ∈ {1, 3, 5, 10}</w:t>
            </w:r>
            <w:r>
              <w:rPr>
                <w:b/>
                <w:color w:val="24292F"/>
                <w:sz w:val="15"/>
              </w:rPr>
              <w:t xml:space="preserve"> systematically ablated)</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9. Standalone Retriever Metrics?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UNVERIFIED</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NOT REPORTED</w:t>
            </w:r>
            <w:r>
              <w:rPr>
                <w:color w:val="24292F"/>
                <w:sz w:val="15"/>
              </w:rPr>
              <w:t xml:space="preserve"> (Generation gap only)</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N/A</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P/R/F1 on ranking; standalone Hit@k NOT REPORTED</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Micro P/R/F1, MAP@10; standalone Recall@k NOT REPORTED</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NOT REPORTED</w:t>
            </w:r>
            <w:r>
              <w:rPr>
                <w:color w:val="24292F"/>
                <w:sz w:val="15"/>
              </w:rPr>
              <w:t xml:space="preserve"> (End-to-end HR@5 reported)</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N/A</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N/A</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 (Hit@k, Recall@k, Median Rank explicitly reported)</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10. Failure Decomposition?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UNVERIFIED</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Qualitative error categorization (26.3% vs 60% gap)*</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No</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Analyzes generator vs retriever errors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Analyzes distractor impact in flat vs hierarchical</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No (End-to-end system evaluation)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No</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No</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Yes (Formal decoupled split: Retrieval vs Generation error)</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11. Telemetry Leakage Controls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UNVERIFIED</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 xml:space="preserve">Notes </w:t>
            </w:r>
            <w:r>
              <w:rPr>
                <w:rFonts w:ascii="Consolas" w:hAnsi="Consolas"/>
                <w:color w:val="8A1F11"/>
                <w:sz w:val="13"/>
              </w:rPr>
              <w:t>stratus-red-team</w:t>
            </w:r>
            <w:r>
              <w:rPr>
                <w:color w:val="24292F"/>
                <w:sz w:val="15"/>
              </w:rPr>
              <w:t xml:space="preserve"> agent in raw logs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Strips explicit ATT&amp;CK labels/tactics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CTI text; no detector rule metadata</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CTI text; curated benchmarks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Kernel syscalls; no detector rule metadata</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Simulation metadata used</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Script command lines analyzed</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Strict field whitelist; detector rules/labels purged</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12. Primary Models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Mistral-7B, phi-2, TinyLlama-1.1B</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Gemini 2.5 Pro</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GPT-5.5, Llama-3-70B, Mixtral, Command R+</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Ministral-8B (fine-tuned)</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Llama-3-8B-Instruct</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Mistral-7B, Llama-3-8B, CodeLlama, etc.</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Heuristic algorithm</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GPT-4, Claude-3-Opus, Llama-3-70B</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OpenAI gpt-5.6-luna (xhigh reasoning effort)</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13. Headline Metrics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Precision, F1, False Positive Rate</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Accuracy, Precision, Recall, F1, Latency, Cost</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Technique Rank, P@k, Recall@k, MRR</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Precision, Recall, Macro-F1, Micro-F1</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Micro P/R/F1, MAP@10, Latency, API calls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HR@5, MRR@5, NDCG@5</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Mapping accuracy</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Precision, Recall, F1, HR/MRR/NDCG @ 3, 10</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End-to-End Accuracy, 474-class Macro-F1, Recall@k</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14. Primary Dataset</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Attack samples + benign process trees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200 AWS CloudTrail events (122 mal / 78 ben)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 scenarios, 198 log steps, 18 sources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TRAM, Procedures, Expert CTI datasets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1,200 CTI-RCM + 2,800 MITRE + 450 TRAM</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347 Linux Atomic Red Team executions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Atomic Red Team Sysmon logs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AVIATOR (35 attack / 32 benign sequences)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1,280 paired synthetic views (640 scenario pairs)</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15. Closest Similarity</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Sysmon logs + matched No-RAG/RAG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Controlled No-RAG vs RAG on telemetry</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Exact technique prediction from command logs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ATT&amp;CK RAG with retrieval quality analysis</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Investigating retrieval depth &amp; distractor noise</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Telemetry-to-ATT&amp;CK mapping comparing RAG/prompt</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Windows Sysmon mapped to ATT&amp;CK</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Host command execution traces mapped to ATT&amp;CK</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Integrates telemetry, exact attribution, depth ablation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16. Key Difference</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Binary detection; process tree heuristics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AWS CloudTrail API; two-step Vertex RAG</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Zero-shot only (no RAG); Linux focus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Unstructured CTI text; fine-tunes generator</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Unstructured CTI text; hierarchical routing</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Linux eBPF provenance graphs; no depth ablation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Non-LLM rule heuristic from 2023</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Prompting only (no RAG); small sample (35 seqs)</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5"/>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pStyle w:val="ListNumber"/>
        <w:spacing w:after="40" w:line="276" w:lineRule="auto"/>
      </w:pP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pStyle w:val="ListNumber"/>
        <w:spacing w:after="40" w:line="276" w:lineRule="auto"/>
      </w:pP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pStyle w:val="ListNumber"/>
        <w:spacing w:after="40" w:line="276" w:lineRule="auto"/>
      </w:pP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pStyle w:val="ListNumber"/>
        <w:spacing w:after="40" w:line="276" w:lineRule="auto"/>
      </w:pP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explicitly decoupling retrieval misses from generation errors,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From the 858 raw </w:t>
      </w:r>
      <w:r>
        <w:rPr>
          <w:rFonts w:ascii="Consolas" w:hAnsi="Consolas"/>
          <w:color w:val="8A1F11"/>
          <w:sz w:val="19"/>
        </w:rPr>
        <w:t>attack-pattern</w:t>
      </w:r>
      <w:r>
        <w:t xml:space="preserve"> objects in STIX v19.2, we filter out 161 inactive techniques (33 revoked, 128 deprecated). From the remaining 697 active techniques, we extract all techniques supporting the Windows platform (</w:t>
      </w:r>
      <w:r>
        <w:rPr>
          <w:rFonts w:ascii="Consolas" w:hAnsi="Consolas"/>
          <w:color w:val="8A1F11"/>
          <w:sz w:val="19"/>
        </w:rPr>
        <w:t>"Windows" in platforms</w:t>
      </w:r>
      <w:r>
        <w:t xml:space="preserve">), resulting in an active Windows corpus of exactly </w:t>
      </w:r>
      <w:r>
        <w:rPr>
          <w:b/>
        </w:rPr>
        <w:t>474 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6bd769324f6ac9193d7df82e7f54f5a1397a41b9bc72be767da5a72b54b3a47c</w:t>
      </w:r>
      <w:r>
        <w:t>):</w:t>
      </w:r>
    </w:p>
    <w:p>
      <w:pPr>
        <w:pStyle w:val="ListNumber"/>
        <w:spacing w:after="40" w:line="276" w:lineRule="auto"/>
      </w:pPr>
      <w:r>
        <w:rPr>
          <w:rFonts w:ascii="Consolas" w:hAnsi="Consolas"/>
          <w:color w:val="8A1F11"/>
          <w:sz w:val="19"/>
        </w:rPr>
        <w:t>T1059.001</w:t>
      </w:r>
      <w:r>
        <w:t>: Command and Scripting Interpreter: PowerShell</w:t>
      </w:r>
    </w:p>
    <w:p>
      <w:pPr>
        <w:pStyle w:val="ListNumber"/>
        <w:spacing w:after="40" w:line="276" w:lineRule="auto"/>
      </w:pPr>
      <w:r>
        <w:rPr>
          <w:rFonts w:ascii="Consolas" w:hAnsi="Consolas"/>
          <w:color w:val="8A1F11"/>
          <w:sz w:val="19"/>
        </w:rPr>
        <w:t>T1059.003</w:t>
      </w:r>
      <w:r>
        <w:t>: Command and Scripting Interpreter: Windows Command Shell</w:t>
      </w:r>
    </w:p>
    <w:p>
      <w:pPr>
        <w:pStyle w:val="ListNumber"/>
        <w:spacing w:after="40" w:line="276" w:lineRule="auto"/>
      </w:pPr>
      <w:r>
        <w:rPr>
          <w:rFonts w:ascii="Consolas" w:hAnsi="Consolas"/>
          <w:color w:val="8A1F11"/>
          <w:sz w:val="19"/>
        </w:rPr>
        <w:t>T1053.005</w:t>
      </w:r>
      <w:r>
        <w:t>: Scheduled Task/Job: Scheduled Task</w:t>
      </w:r>
    </w:p>
    <w:p>
      <w:pPr>
        <w:pStyle w:val="ListNumber"/>
        <w:spacing w:after="40" w:line="276" w:lineRule="auto"/>
      </w:pPr>
      <w:r>
        <w:rPr>
          <w:rFonts w:ascii="Consolas" w:hAnsi="Consolas"/>
          <w:color w:val="8A1F11"/>
          <w:sz w:val="19"/>
        </w:rPr>
        <w:t>T1543.003</w:t>
      </w:r>
      <w:r>
        <w:t>: Create or Modify System Process: Windows Service</w:t>
      </w:r>
    </w:p>
    <w:p>
      <w:pPr>
        <w:pStyle w:val="ListNumber"/>
        <w:spacing w:after="40" w:line="276" w:lineRule="auto"/>
      </w:pPr>
      <w:r>
        <w:rPr>
          <w:rFonts w:ascii="Consolas" w:hAnsi="Consolas"/>
          <w:color w:val="8A1F11"/>
          <w:sz w:val="19"/>
        </w:rPr>
        <w:t>T1136.001</w:t>
      </w:r>
      <w:r>
        <w:t>: Create Account: Local Account</w:t>
      </w:r>
    </w:p>
    <w:p>
      <w:pPr>
        <w:pStyle w:val="ListNumber"/>
        <w:spacing w:after="40" w:line="276" w:lineRule="auto"/>
      </w:pPr>
      <w:r>
        <w:rPr>
          <w:rFonts w:ascii="Consolas" w:hAnsi="Consolas"/>
          <w:color w:val="8A1F11"/>
          <w:sz w:val="19"/>
        </w:rPr>
        <w:t>T1547.001</w:t>
      </w:r>
      <w:r>
        <w:t>: Boot or Logon Autostart Execution: Registry Run Keys / Startup Folder</w:t>
      </w:r>
    </w:p>
    <w:p>
      <w:pPr>
        <w:pStyle w:val="ListNumber"/>
        <w:spacing w:after="40" w:line="276" w:lineRule="auto"/>
      </w:pPr>
      <w:r>
        <w:rPr>
          <w:rFonts w:ascii="Consolas" w:hAnsi="Consolas"/>
          <w:color w:val="8A1F11"/>
          <w:sz w:val="19"/>
        </w:rPr>
        <w:t>T1685.005</w:t>
      </w:r>
      <w:r>
        <w:t>: Impair Defenses: Clear Windows Event Logs</w:t>
      </w:r>
    </w:p>
    <w:p>
      <w:pPr>
        <w:pStyle w:val="ListNumber"/>
        <w:spacing w:after="40" w:line="276" w:lineRule="auto"/>
      </w:pP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pStyle w:val="ListNumber"/>
        <w:spacing w:after="40" w:line="276" w:lineRule="auto"/>
      </w:pP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pStyle w:val="ListNumber"/>
        <w:spacing w:after="40" w:line="276" w:lineRule="auto"/>
      </w:pP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pStyle w:val="ListNumber"/>
        <w:spacing w:after="40" w:line="276" w:lineRule="auto"/>
      </w:pP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(July 2026 commercial release; 1.05M context window, 128k native completion limit).</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reasoning models, this parameter governs a unified allocation pool covering both internal reasoning tokens and visible completion tokens. A ceiling of 8,192 tokens ensures the model does not encounter mid-thought truncation (</w:t>
      </w:r>
      <w:r>
        <w:rPr>
          <w:rFonts w:ascii="Consolas" w:hAnsi="Consolas"/>
          <w:color w:val="8A1F11"/>
          <w:sz w:val="19"/>
        </w:rPr>
        <w:t>finish_reason="length"</w:t>
      </w:r>
      <w:r>
        <w:t>).</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targeting the Pydantic contract:</w:t>
      </w:r>
    </w:p>
    <w:p>
      <w:pPr>
        <w:spacing w:before="80" w:after="120" w:line="240" w:lineRule="auto"/>
        <w:ind w:left="360" w:right="360"/>
        <w:shd w:fill="F6F8FA"/>
      </w:pPr>
      <w:r>
        <w:rPr>
          <w:rFonts w:ascii="Consolas" w:hAnsi="Consolas"/>
          <w:color w:val="1F2328"/>
          <w:sz w:val="18"/>
        </w:rPr>
        <w:t xml:space="preserve">  {</w:t>
        <w:br/>
        <w:t xml:space="preserve">    "type": "object",</w:t>
        <w:br/>
        <w:t xml:space="preserve">    "properties": {</w:t>
        <w:br/>
        <w:t xml:space="preserve">      "technique_id": {</w:t>
        <w:br/>
        <w:t xml:space="preserve">        "type": "string",</w:t>
        <w:br/>
        <w:t xml:space="preserve">        "pattern": "^T[0-9]{4}(\\.[0-9]{3})?$"</w:t>
        <w:br/>
        <w:t xml:space="preserve">      }</w:t>
        <w:br/>
        <w:t xml:space="preserve">    },</w:t>
        <w:br/>
        <w:t xml:space="preserve">    "required": ["technique_id"],</w:t>
        <w:br/>
        <w:t xml:space="preserve">    "additionalProperties": false</w:t>
        <w:br/>
        <w:t xml:space="preserve">  }</w:t>
      </w:r>
    </w:p>
    <w:p>
      <w:pPr>
        <w:pStyle w:val="ListBullet"/>
        <w:spacing w:after="40" w:line="276" w:lineRule="auto"/>
      </w:pPr>
      <w:r>
        <w:rPr>
          <w:b/>
        </w:rPr>
        <w:t>Sampling Parameters:</w:t>
      </w:r>
      <w:r>
        <w:t xml:space="preserve"> Left at provider defaults (</w:t>
      </w:r>
      <w:r>
        <w:rPr>
          <w:rFonts w:ascii="Consolas" w:hAnsi="Consolas"/>
          <w:color w:val="8A1F11"/>
          <w:sz w:val="19"/>
        </w:rPr>
        <w:t>temperature = 1.0</w:t>
      </w:r>
      <w:r>
        <w:t xml:space="preserve">, </w:t>
      </w:r>
      <w:r>
        <w:rPr>
          <w:rFonts w:ascii="Consolas" w:hAnsi="Consolas"/>
          <w:color w:val="8A1F11"/>
          <w:sz w:val="19"/>
        </w:rPr>
        <w:t>top_p = 1.0</w:t>
      </w:r>
      <w:r>
        <w:t xml:space="preserve">, </w:t>
      </w:r>
      <w:r>
        <w:rPr>
          <w:rFonts w:ascii="Consolas" w:hAnsi="Consolas"/>
          <w:color w:val="8A1F11"/>
          <w:sz w:val="19"/>
        </w:rPr>
        <w:t>presence_penalty = 0.0</w:t>
      </w:r>
      <w:r>
        <w:t xml:space="preserve">, </w:t>
      </w:r>
      <w:r>
        <w:rPr>
          <w:rFonts w:ascii="Consolas" w:hAnsi="Consolas"/>
          <w:color w:val="8A1F11"/>
          <w:sz w:val="19"/>
        </w:rPr>
        <w:t>frequency_penalty = 0.0</w:t>
      </w:r>
      <w:r>
        <w:t>).</w:t>
      </w:r>
    </w:p>
    <w:p>
      <w:pPr>
        <w:pStyle w:val="ListBullet"/>
        <w:spacing w:after="40" w:line="276" w:lineRule="auto"/>
      </w:pPr>
      <w:r>
        <w:rPr>
          <w:b/>
        </w:rPr>
        <w:t>Resilience Policy:</w:t>
      </w:r>
      <w:r>
        <w:t xml:space="preserve"> Exponential backoff with jitter (</w:t>
      </w:r>
      <w:r>
        <w:rPr>
          <w:rFonts w:ascii="Consolas" w:hAnsi="Consolas"/>
          <w:color w:val="8A1F11"/>
          <w:sz w:val="19"/>
        </w:rPr>
        <w:t>max_retries = 3</w:t>
      </w:r>
      <w:r>
        <w:t>, initial delay 1.0s, factor 2.0, max delay 30.0s, socket timeout 120s).</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pStyle w:val="ListNumber"/>
        <w:spacing w:after="40" w:line="276" w:lineRule="auto"/>
      </w:pPr>
      <w:r>
        <w:rPr>
          <w:rFonts w:ascii="Consolas" w:hAnsi="Consolas"/>
          <w:color w:val="8A1F11"/>
          <w:sz w:val="19"/>
        </w:rPr>
        <w:t>no_rag</w:t>
      </w:r>
      <w:r>
        <w:t>: Unaugmented baseline (</w:t>
      </w:r>
      <w:r>
        <w:rPr>
          <w:rFonts w:ascii="Consolas" w:hAnsi="Consolas"/>
          <w:color w:val="8A1F11"/>
          <w:sz w:val="19"/>
        </w:rPr>
        <w:t>{RETRIEVED_CONTEXT} = ""</w:t>
      </w:r>
      <w:r>
        <w:t>).</w:t>
      </w:r>
    </w:p>
    <w:p>
      <w:pPr>
        <w:pStyle w:val="ListNumber"/>
        <w:spacing w:after="40" w:line="276" w:lineRule="auto"/>
      </w:pPr>
      <w:r>
        <w:rPr>
          <w:rFonts w:ascii="Consolas" w:hAnsi="Consolas"/>
          <w:color w:val="8A1F11"/>
          <w:sz w:val="19"/>
        </w:rPr>
        <w:t>rag_k1</w:t>
      </w:r>
      <w:r>
        <w:t>: Injects Top-1 retrieved ATT&amp;CK technique description.</w:t>
      </w:r>
    </w:p>
    <w:p>
      <w:pPr>
        <w:pStyle w:val="ListNumber"/>
        <w:spacing w:after="40" w:line="276" w:lineRule="auto"/>
      </w:pPr>
      <w:r>
        <w:rPr>
          <w:rFonts w:ascii="Consolas" w:hAnsi="Consolas"/>
          <w:color w:val="8A1F11"/>
          <w:sz w:val="19"/>
        </w:rPr>
        <w:t>rag_k3</w:t>
      </w:r>
      <w:r>
        <w:t>: Injects Top-3 retrieved ATT&amp;CK technique descriptions.</w:t>
      </w:r>
    </w:p>
    <w:p>
      <w:pPr>
        <w:pStyle w:val="ListNumber"/>
        <w:spacing w:after="40" w:line="276" w:lineRule="auto"/>
      </w:pPr>
      <w:r>
        <w:rPr>
          <w:rFonts w:ascii="Consolas" w:hAnsi="Consolas"/>
          <w:color w:val="8A1F11"/>
          <w:sz w:val="19"/>
        </w:rPr>
        <w:t>rag_k5</w:t>
      </w:r>
      <w:r>
        <w:t>: Injects Top-5 retrieved ATT&amp;CK technique descriptions (default operational depth).</w:t>
      </w:r>
    </w:p>
    <w:p>
      <w:pPr>
        <w:pStyle w:val="ListNumber"/>
        <w:spacing w:after="40" w:line="276" w:lineRule="auto"/>
      </w:pP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($19.99 Budget)</w:t>
      </w:r>
    </w:p>
    <w:p>
      <w:r>
        <w:t>Live provider execution involves non-trivial API costs. In accordance with Protocol Decision D5, execution is governed by a financial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w:t>
      </w:r>
    </w:p>
    <w:p>
      <w:pPr>
        <w:pStyle w:val="ListBullet"/>
        <w:spacing w:after="40" w:line="276" w:lineRule="auto"/>
      </w:pPr>
      <w:r>
        <w:t xml:space="preserve">Input Tokens: </w:t>
      </w:r>
      <w:r>
        <w:rPr>
          <w:rFonts w:ascii="Cambria Math" w:hAnsi="Cambria Math"/>
          <w:i/>
        </w:rPr>
        <w:t>\</w:t>
      </w:r>
      <w:r>
        <w:t>0.20</w:t>
      </w:r>
      <w:r>
        <w:rPr>
          <w:rFonts w:ascii="Cambria Math" w:hAnsi="Cambria Math"/>
          <w:i/>
        </w:rPr>
        <w:t>per</w:t>
      </w:r>
      <w:r>
        <w:t>10^6</w:t>
      </w:r>
      <w:r>
        <w:rPr>
          <w:rFonts w:ascii="Cambria Math" w:hAnsi="Cambria Math"/>
          <w:i/>
        </w:rPr>
        <w:t>tokens (conservative modeling rate:</w:t>
      </w:r>
      <w:r>
        <w:t>$0.25</w:t>
      </w:r>
      <w:r>
        <w:t xml:space="preserve"> / 10^6$).</w:t>
      </w:r>
    </w:p>
    <w:p>
      <w:pPr>
        <w:pStyle w:val="ListBullet"/>
        <w:spacing w:after="40" w:line="276" w:lineRule="auto"/>
      </w:pPr>
      <w:r>
        <w:t xml:space="preserve">Output Tokens: </w:t>
      </w:r>
      <w:r>
        <w:rPr>
          <w:rFonts w:ascii="Cambria Math" w:hAnsi="Cambria Math"/>
          <w:i/>
        </w:rPr>
        <w:t>\</w:t>
      </w:r>
      <w:r>
        <w:t>1.20</w:t>
      </w:r>
      <w:r>
        <w:rPr>
          <w:rFonts w:ascii="Cambria Math" w:hAnsi="Cambria Math"/>
          <w:i/>
        </w:rPr>
        <w:t>per</w:t>
      </w:r>
      <w:r>
        <w:t>10^6$ tokens (inclusive of hidden reasoning tokens).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DEV Pilot Empirical Calibration (2026-10-01):</w:t>
      </w:r>
      <w:r>
        <w:t xml:space="preserve"> A real-provider pilot on 20 DEV views (</w:t>
      </w:r>
      <w:r>
        <w:rPr>
          <w:rFonts w:ascii="Consolas" w:hAnsi="Consolas"/>
          <w:color w:val="8A1F11"/>
          <w:sz w:val="19"/>
        </w:rPr>
        <w:t>reports/dev_cost_pilot_20261001.md</w:t>
      </w:r>
      <w:r>
        <w:t>) observed:</w:t>
      </w:r>
    </w:p>
    <w:p>
      <w:pPr>
        <w:pStyle w:val="ListBullet"/>
        <w:spacing w:after="40" w:line="276" w:lineRule="auto"/>
      </w:pPr>
      <w:r>
        <w:t>Input Tokens: 42,213; Output Tokens: 13,139 (mean output: 656.95 tokens/request; peak: 2,421 tokens).</w:t>
      </w:r>
    </w:p>
    <w:p>
      <w:pPr>
        <w:pStyle w:val="ListBullet"/>
        <w:spacing w:after="40" w:line="276" w:lineRule="auto"/>
      </w:pPr>
      <w:r>
        <w:t xml:space="preserve">Total Empirical Spend: </w:t>
      </w:r>
      <w:r>
        <w:rPr>
          <w:rFonts w:ascii="Cambria Math" w:hAnsi="Cambria Math"/>
          <w:i/>
        </w:rPr>
        <w:t>\</w:t>
      </w:r>
      <w:r>
        <w:t>0.0242$ across 20 successful requests (mean latency: 8.13s).</w:t>
      </w:r>
    </w:p>
    <w:p>
      <w:pPr>
        <w:pStyle w:val="ListBullet"/>
        <w:spacing w:after="40" w:line="276" w:lineRule="auto"/>
      </w:pPr>
      <w:r>
        <w:rPr>
          <w:b/>
        </w:rPr>
        <w:t>Canonical Projection and the $19.99 Hard Ceiling:</w:t>
      </w:r>
      <w:r>
        <w:t xml:space="preserve"> Offline tokenization of all 6,400 planned TEST prompts via </w:t>
      </w:r>
      <w:r>
        <w:rPr>
          <w:rFonts w:ascii="Consolas" w:hAnsi="Consolas"/>
          <w:color w:val="8A1F11"/>
          <w:sz w:val="19"/>
        </w:rPr>
        <w:t>o200k_base</w:t>
      </w:r>
      <w:r>
        <w:t xml:space="preserve"> projected 15,766,654 input tokens. At the observed pilot output mean, the projected cost is approximately </w:t>
      </w:r>
      <w:r>
        <w:rPr>
          <w:rFonts w:ascii="Cambria Math" w:hAnsi="Cambria Math"/>
          <w:b/>
          <w:i/>
        </w:rPr>
        <w:t>\</w:t>
      </w:r>
      <w:r>
        <w:rPr>
          <w:b/>
        </w:rPr>
        <w:t>8.20$</w:t>
      </w:r>
      <w:r>
        <w:t xml:space="preserve"> (or </w:t>
      </w:r>
      <w:r>
        <w:rPr>
          <w:rFonts w:ascii="Cambria Math" w:hAnsi="Cambria Math"/>
          <w:b/>
          <w:i/>
        </w:rPr>
        <w:t>\</w:t>
      </w:r>
      <w:r>
        <w:rPr>
          <w:b/>
        </w:rPr>
        <w:t>8.99$</w:t>
      </w:r>
      <w:r>
        <w:t xml:space="preserve"> under conservative input rates). A hard budget ceiling of </w:t>
      </w:r>
      <w:r>
        <w:rPr>
          <w:rFonts w:ascii="Cambria Math" w:hAnsi="Cambria Math"/>
          <w:b/>
          <w:i/>
        </w:rPr>
        <w:t>\</w:t>
      </w:r>
      <w:r>
        <w:rPr>
          <w:b/>
        </w:rPr>
        <w:t>19.99$</w:t>
      </w:r>
      <w:r>
        <w:t xml:space="preserve"> is enforced by the execution runner, providing a </w:t>
      </w:r>
      <w:r>
        <w:rPr>
          <w:rFonts w:ascii="Cambria Math" w:hAnsi="Cambria Math"/>
          <w:i/>
        </w:rPr>
        <w:t>2.2×</w:t>
      </w:r>
      <w:r>
        <w:t xml:space="preserve"> safety margin before halting execution.</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pPr>
        <w:pStyle w:val="ListNumber"/>
        <w:spacing w:after="40" w:line="276" w:lineRule="auto"/>
      </w:pPr>
      <w:r>
        <w:rPr>
          <w:b/>
        </w:rPr>
        <w:t>Per-Class Confusion Components:</w:t>
      </w:r>
      <w:r>
        <w:t xml:space="preserve"> For each class </w:t>
      </w:r>
      <w:r>
        <w:rPr>
          <w:rFonts w:ascii="Cambria Math" w:hAnsi="Cambria Math"/>
          <w:i/>
        </w:rPr>
        <w:t>c ∈ C</w:t>
      </w:r>
      <w:r>
        <w:t>, compute true positives (</w:t>
      </w:r>
      <w:r>
        <w:rPr>
          <w:rFonts w:ascii="Cambria Math" w:hAnsi="Cambria Math"/>
          <w:i/>
        </w:rPr>
        <w:t>TP_c</w:t>
      </w:r>
      <w:r>
        <w:t>), false positives (</w:t>
      </w:r>
      <w:r>
        <w:rPr>
          <w:rFonts w:ascii="Cambria Math" w:hAnsi="Cambria Math"/>
          <w:i/>
        </w:rPr>
        <w:t>FP_c</w:t>
      </w:r>
      <w:r>
        <w:t>), and false negatives (</w:t>
      </w:r>
      <w:r>
        <w:rPr>
          <w:rFonts w:ascii="Cambria Math" w:hAnsi="Cambria Math"/>
          <w:i/>
        </w:rPr>
        <w:t>FN_c</w:t>
      </w:r>
      <w:r>
        <w:t>) across scorable samples:</w:t>
      </w:r>
    </w:p>
    <w:p>
      <w:pPr>
        <w:pStyle w:val="ListBullet"/>
        <w:spacing w:after="40" w:line="276" w:lineRule="auto"/>
      </w:pP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ListNumber"/>
        <w:spacing w:after="40" w:line="276" w:lineRule="auto"/>
      </w:pPr>
      <w:r>
        <w:rPr>
          <w:b/>
        </w:rPr>
        <w:t>Per-Class Precision (</w:t>
      </w:r>
      <w:r>
        <w:rPr>
          <w:rFonts w:ascii="Cambria Math" w:hAnsi="Cambria Math"/>
          <w:b/>
          <w:i/>
        </w:rPr>
        <w:t>P_c</w:t>
      </w:r>
      <w:r>
        <w:rPr>
          <w:b/>
        </w:rPr>
        <w:t>) and Recall (</w:t>
      </w:r>
      <w:r>
        <w:rPr>
          <w:rFonts w:ascii="Cambria Math" w:hAnsi="Cambria Math"/>
          <w:b/>
          <w:i/>
        </w:rPr>
        <w:t>R_c</w:t>
      </w:r>
      <w:r>
        <w:rPr>
          <w:b/>
        </w:rPr>
        <w:t>):</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w:t>
      </w:r>
    </w:p>
    <w:p>
      <w:r>
        <w:t xml:space="preserve">Per Protocol Decision D2j, if a denominator is zero, the per-class precision or recall evaluates to </w:t>
      </w:r>
      <w:r>
        <w:rPr>
          <w:rFonts w:ascii="Consolas" w:hAnsi="Consolas"/>
          <w:color w:val="8A1F11"/>
          <w:sz w:val="19"/>
        </w:rPr>
        <w:t>null</w:t>
      </w:r>
      <w:r>
        <w:t xml:space="preserve"> (or 0.0 in metric computations where denominator is 0).</w:t>
      </w:r>
    </w:p>
    <w:p>
      <w:pPr>
        <w:pStyle w:val="ListNumber"/>
        <w:spacing w:after="40" w:line="276" w:lineRule="auto"/>
      </w:pPr>
      <w:r>
        <w:rPr>
          <w:b/>
        </w:rPr>
        <w:t xml:space="preserve">Per-Class </w:t>
      </w:r>
      <w:r>
        <w:rPr>
          <w:rFonts w:ascii="Cambria Math" w:hAnsi="Cambria Math"/>
          <w:b/>
          <w:i/>
        </w:rPr>
        <w:t>F1_c</w:t>
      </w:r>
      <w:r>
        <w:rPr>
          <w:b/>
        </w:rPr>
        <w:t xml:space="preserve"> and Zero-Denominator Policy:</w:t>
      </w:r>
    </w:p>
    <w:p>
      <w:r>
        <w:t>In exact alignment with the canonical evaluation implementation (</w:t>
      </w:r>
      <w:r>
        <w:rPr>
          <w:rFonts w:ascii="Consolas" w:hAnsi="Consolas"/>
          <w:color w:val="8A1F11"/>
          <w:sz w:val="19"/>
        </w:rPr>
        <w:t>src/evaluation/experiment_metrics.py</w:t>
      </w:r>
      <w:r>
        <w:t>, lines 1170–1177):</w:t>
      </w:r>
    </w:p>
    <w:p>
      <w:pPr>
        <w:pStyle w:val="ListBullet"/>
        <w:spacing w:after="40" w:line="276" w:lineRule="auto"/>
      </w:pPr>
      <w:r>
        <w:rPr>
          <w:b/>
        </w:rPr>
        <w:t>Unobserved Classes (</w:t>
      </w:r>
      <w:r>
        <w:rPr>
          <w:rFonts w:ascii="Cambria Math" w:hAnsi="Cambria Math"/>
          <w:b/>
          <w:i/>
        </w:rPr>
        <w:t>support_c = 0 ∧ pred_c = 0</w:t>
      </w:r>
      <w:r>
        <w:rPr>
          <w:b/>
        </w:rPr>
        <w:t>):</w:t>
      </w:r>
      <w:r>
        <w:t xml:space="preserve"> Per D2d/D2j, techniques neither present in ground truth nor emitted by the model have zero denominators and contribute exactly </w:t>
      </w:r>
      <w:r>
        <w:rPr>
          <w:rFonts w:ascii="Cambria Math" w:hAnsi="Cambria Math"/>
          <w:i/>
        </w:rPr>
        <w:t>0.0</w:t>
      </w:r>
      <w:r>
        <w:t xml:space="preserve"> to the macro-sum numerator (</w:t>
      </w:r>
      <w:r>
        <w:rPr>
          <w:rFonts w:ascii="Cambria Math" w:hAnsi="Cambria Math"/>
          <w:i/>
        </w:rPr>
        <w:t>F1_c = 0.0</w:t>
      </w:r>
      <w:r>
        <w:t>).</w:t>
      </w:r>
    </w:p>
    <w:p>
      <w:pPr>
        <w:pStyle w:val="ListBullet"/>
        <w:spacing w:after="40" w:line="276" w:lineRule="auto"/>
      </w:pPr>
      <w:r>
        <w:rPr>
          <w:b/>
        </w:rPr>
        <w:t>Unpredicted Classes (</w:t>
      </w:r>
      <w:r>
        <w:rPr>
          <w:rFonts w:ascii="Cambria Math" w:hAnsi="Cambria Math"/>
          <w:b/>
          <w:i/>
        </w:rPr>
        <w:t>support_c &gt; 0 ∧ pred_c = 0</w:t>
      </w:r>
      <w:r>
        <w:rPr>
          <w:b/>
        </w:rPr>
        <w:t>):</w:t>
      </w:r>
      <w:r>
        <w:t xml:space="preserve"> Techniques present in ground truth but never emitted receive </w:t>
      </w:r>
      <w:r>
        <w:rPr>
          <w:rFonts w:ascii="Cambria Math" w:hAnsi="Cambria Math"/>
          <w:i/>
        </w:rPr>
        <w:t>P_c = 0.0, R_c = 0.0 F1_c = 0.0</w:t>
      </w:r>
      <w:r>
        <w:t>.</w:t>
      </w:r>
    </w:p>
    <w:p>
      <w:pPr>
        <w:pStyle w:val="ListBullet"/>
        <w:spacing w:after="40" w:line="276" w:lineRule="auto"/>
      </w:pPr>
      <w:r>
        <w:rPr>
          <w:b/>
        </w:rPr>
        <w:t>Unobserved False Positives (</w:t>
      </w:r>
      <w:r>
        <w:rPr>
          <w:rFonts w:ascii="Cambria Math" w:hAnsi="Cambria Math"/>
          <w:b/>
          <w:i/>
        </w:rPr>
        <w:t>support_c = 0 ∧ pred_c &gt; 0</w:t>
      </w:r>
      <w:r>
        <w:rPr>
          <w:b/>
        </w:rPr>
        <w:t>):</w:t>
      </w:r>
      <w:r>
        <w:t xml:space="preserve"> Techniques absent from ground truth but hallucinated by the model receive </w:t>
      </w:r>
      <w:r>
        <w:rPr>
          <w:rFonts w:ascii="Cambria Math" w:hAnsi="Cambria Math"/>
          <w:i/>
        </w:rPr>
        <w:t>R_c = 0.0 F1_c = 0.0</w:t>
      </w:r>
      <w:r>
        <w:t>.</w:t>
      </w:r>
    </w:p>
    <w:p>
      <w:pPr>
        <w:pStyle w:val="ListBullet"/>
        <w:spacing w:after="40" w:line="276" w:lineRule="auto"/>
      </w:pPr>
      <w:r>
        <w:rPr>
          <w:b/>
        </w:rPr>
        <w:t>Observed Classes with True Positives (</w:t>
      </w:r>
      <w:r>
        <w:rPr>
          <w:rFonts w:ascii="Cambria Math" w:hAnsi="Cambria Math"/>
          <w:b/>
          <w:i/>
        </w:rPr>
        <w:t>TP_c &gt; 0</w:t>
      </w:r>
      <w:r>
        <w:rPr>
          <w:b/>
        </w:rPr>
        <w:t>):</w:t>
      </w:r>
    </w:p>
    <w:p>
      <w:pPr>
        <w:spacing w:before="120" w:after="120" w:line="276" w:lineRule="auto"/>
        <w:ind w:left="576" w:right="576"/>
        <w:shd w:fill="F8FAFC"/>
        <w:pBdr>
          <w:left w:val="single" w:sz="18" w:space="8" w:color="0969DA"/>
        </w:pBdr>
      </w:pPr>
      <w:r>
        <w:rPr>
          <w:rFonts w:ascii="Cambria Math" w:hAnsi="Cambria Math"/>
          <w:i/>
          <w:color w:val="0A2540"/>
          <w:sz w:val="21"/>
        </w:rPr>
        <w:t>F1_c = (2 · P_c · R_c) / (P_c + R_c)</w:t>
      </w:r>
    </w:p>
    <w:p>
      <w:pPr>
        <w:pStyle w:val="ListNumber"/>
        <w:spacing w:after="40" w:line="276" w:lineRule="auto"/>
      </w:pPr>
      <w:r>
        <w:rPr>
          <w:b/>
        </w:rPr>
        <w:t>Macro-Averaged Metric Aggregation:</w:t>
      </w:r>
    </w:p>
    <w:p>
      <w:r>
        <w:t xml:space="preserve">The macro F1 score sums per-class </w:t>
      </w:r>
      <w:r>
        <w:rPr>
          <w:rFonts w:ascii="Cambria Math" w:hAnsi="Cambria Math"/>
          <w:i/>
        </w:rPr>
        <w:t>F1_c</w:t>
      </w:r>
      <w:r>
        <w:t xml:space="preserve"> across all 474 techniques and divides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t>This formulation guarantees that macro-F1 penalizes both false attributions and omissions against the full MITRE ATT&amp;CK Windows taxonomy, preventing artificial inflation from omitting unobserved classes from the denominator.</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pStyle w:val="ListNumber"/>
        <w:spacing w:after="40" w:line="276" w:lineRule="auto"/>
      </w:pPr>
      <w:r>
        <w:rPr>
          <w:rFonts w:ascii="Consolas" w:hAnsi="Consolas"/>
          <w:color w:val="8A1F11"/>
          <w:sz w:val="19"/>
        </w:rPr>
        <w:t>retrieval_miss</w:t>
      </w:r>
      <w:r>
        <w:t xml:space="preserve">: RAG condition where </w:t>
      </w:r>
      <w:r>
        <w:rPr>
          <w:rFonts w:ascii="Cambria Math" w:hAnsi="Cambria Math"/>
          <w:i/>
        </w:rPr>
        <w:t>Y_i ∩ Top-k = ∅</w:t>
      </w:r>
      <w:r>
        <w:t>.</w:t>
      </w:r>
    </w:p>
    <w:p>
      <w:pPr>
        <w:pStyle w:val="ListNumber"/>
        <w:spacing w:after="40" w:line="276" w:lineRule="auto"/>
      </w:pPr>
      <w:r>
        <w:rPr>
          <w:rFonts w:ascii="Consolas" w:hAnsi="Consolas"/>
          <w:color w:val="8A1F11"/>
          <w:sz w:val="19"/>
        </w:rPr>
        <w:t>provider_failure</w:t>
      </w:r>
      <w:r>
        <w:t>: Network timeout, HTTP status error, rate limit, or budget exceeded.</w:t>
      </w:r>
    </w:p>
    <w:p>
      <w:pPr>
        <w:pStyle w:val="ListNumber"/>
        <w:spacing w:after="40" w:line="276" w:lineRule="auto"/>
      </w:pPr>
      <w:r>
        <w:rPr>
          <w:rFonts w:ascii="Consolas" w:hAnsi="Consolas"/>
          <w:color w:val="8A1F11"/>
          <w:sz w:val="19"/>
        </w:rPr>
        <w:t>parse_failure</w:t>
      </w:r>
      <w:r>
        <w:t>: Malformed JSON or schema violation.</w:t>
      </w:r>
    </w:p>
    <w:p>
      <w:pPr>
        <w:pStyle w:val="ListNumber"/>
        <w:spacing w:after="40" w:line="276" w:lineRule="auto"/>
      </w:pPr>
      <w:r>
        <w:rPr>
          <w:rFonts w:ascii="Consolas" w:hAnsi="Consolas"/>
          <w:color w:val="8A1F11"/>
          <w:sz w:val="19"/>
        </w:rPr>
        <w:t>invalid_attack_id</w:t>
      </w:r>
      <w:r>
        <w:t>: Emitted ID fails regex syntax or does not exist in STIX v19.2.</w:t>
      </w:r>
    </w:p>
    <w:p>
      <w:pPr>
        <w:pStyle w:val="ListNumber"/>
        <w:spacing w:after="40" w:line="276" w:lineRule="auto"/>
      </w:pP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retriever failed, and the LLM was unable to recover parametrically).</w:t>
      </w:r>
    </w:p>
    <w:p>
      <w:pPr>
        <w:spacing w:before="120" w:after="120"/>
        <w:pBdr>
          <w:bottom w:val="single" w:sz="6" w:space="1" w:color="D0D7DE"/>
        </w:pBdr>
      </w:pPr>
    </w:p>
    <w:p>
      <w:pPr>
        <w:pStyle w:val="Heading1"/>
        <w:spacing w:before="280" w:after="120"/>
      </w:pPr>
      <w:r>
        <w:rPr>
          <w:rFonts w:ascii="Georgia" w:hAnsi="Georgia"/>
          <w:b/>
          <w:color w:val="0A2540"/>
          <w:sz w:val="28"/>
        </w:rPr>
        <w:t>6. Results Scaffold and Empirical Table Schemas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and diagnostic metrics across the five experimental conditions on the 718 scorable mapped positive TEST views (678 single-GT, 40 multi-GT).</w:t>
      </w:r>
    </w:p>
    <w:p>
      <w:r>
        <w:rPr>
          <w:i/>
        </w:rPr>
        <w:t>Table 2a: Primary Attribution Performance Across Experimental Conditions (Schema).</w:t>
      </w:r>
    </w:p>
    <w:tbl>
      <w:tblPr>
        <w:tblW w:type="auto" w:w="0"/>
        <w:jc w:val="center"/>
        <w:tblLayout w:type="fixed"/>
        <w:tblLook w:firstColumn="1" w:firstRow="1" w:lastColumn="0" w:lastRow="0" w:noHBand="0" w:noVBand="1" w:val="04A0"/>
      </w:tblPr>
      <w:tblGrid>
        <w:gridCol w:w="1584"/>
        <w:gridCol w:w="1440"/>
        <w:gridCol w:w="1296"/>
        <w:gridCol w:w="1584"/>
        <w:gridCol w:w="1584"/>
        <w:gridCol w:w="1872"/>
      </w:tblGrid>
      <w:tr>
        <w:trPr>
          <w:cantSplit/>
          <w:tblHeader/>
        </w:trPr>
        <w:tc>
          <w:tcPr>
            <w:tcW w:type="dxa" w:w="1584"/>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Retrieval Depth (</w:t>
            </w:r>
            <w:r>
              <w:rPr>
                <w:rFonts w:ascii="Cambria Math" w:hAnsi="Cambria Math"/>
                <w:b/>
                <w:i/>
                <w:color w:val="FFFFFF"/>
                <w:sz w:val="17"/>
              </w:rPr>
              <w:t>k</w:t>
            </w:r>
            <w:r>
              <w:rPr>
                <w:b/>
                <w:color w:val="FFFFFF"/>
                <w:sz w:val="17"/>
              </w:rPr>
              <w:t>)</w:t>
            </w:r>
          </w:p>
        </w:tc>
        <w:tc>
          <w:tcPr>
            <w:tcW w:type="dxa" w:w="1296"/>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584"/>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Headline Accuracy (</w:t>
            </w:r>
            <w:r>
              <w:rPr>
                <w:rFonts w:ascii="Cambria Math" w:hAnsi="Cambria Math"/>
                <w:b/>
                <w:i/>
                <w:color w:val="FFFFFF"/>
                <w:sz w:val="17"/>
              </w:rPr>
              <w:t>Acc_e2e</w:t>
            </w:r>
            <w:r>
              <w:rPr>
                <w:b/>
                <w:color w:val="FFFFFF"/>
                <w:sz w:val="17"/>
              </w:rPr>
              <w:t>)</w:t>
            </w:r>
          </w:p>
        </w:tc>
        <w:tc>
          <w:tcPr>
            <w:tcW w:type="dxa" w:w="1584"/>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Valid Accuracy (</w:t>
            </w:r>
            <w:r>
              <w:rPr>
                <w:rFonts w:ascii="Cambria Math" w:hAnsi="Cambria Math"/>
                <w:b/>
                <w:i/>
                <w:color w:val="FFFFFF"/>
                <w:sz w:val="17"/>
              </w:rPr>
              <w:t>Acc_valid</w:t>
            </w:r>
            <w:r>
              <w:rPr>
                <w:b/>
                <w:color w:val="FFFFFF"/>
                <w:sz w:val="17"/>
              </w:rPr>
              <w:t>)</w:t>
            </w:r>
          </w:p>
        </w:tc>
        <w:tc>
          <w:tcPr>
            <w:tcW w:type="dxa" w:w="1872"/>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474-Class Macro F1</w:t>
            </w:r>
          </w:p>
        </w:tc>
      </w:tr>
      <w:tr>
        <w:trPr>
          <w:cantSplit/>
        </w:trPr>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0</w:t>
            </w:r>
          </w:p>
        </w:tc>
        <w:tc>
          <w:tcPr>
            <w:tcW w:type="dxa" w:w="129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1</w:t>
            </w:r>
          </w:p>
        </w:tc>
        <w:tc>
          <w:tcPr>
            <w:tcW w:type="dxa" w:w="129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3</w:t>
            </w:r>
          </w:p>
        </w:tc>
        <w:tc>
          <w:tcPr>
            <w:tcW w:type="dxa" w:w="129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5</w:t>
            </w:r>
          </w:p>
        </w:tc>
        <w:tc>
          <w:tcPr>
            <w:tcW w:type="dxa" w:w="129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10</w:t>
            </w:r>
          </w:p>
        </w:tc>
        <w:tc>
          <w:tcPr>
            <w:tcW w:type="dxa" w:w="129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296"/>
        <w:gridCol w:w="1656"/>
        <w:gridCol w:w="1656"/>
        <w:gridCol w:w="1584"/>
        <w:gridCol w:w="1584"/>
      </w:tblGrid>
      <w:tr>
        <w:trPr>
          <w:cantSplit/>
          <w:tblHeader/>
        </w:trPr>
        <w:tc>
          <w:tcPr>
            <w:tcW w:type="dxa" w:w="1584"/>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296"/>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474-Class Macro Precision</w:t>
            </w:r>
          </w:p>
        </w:tc>
        <w:tc>
          <w:tcPr>
            <w:tcW w:type="dxa" w:w="1656"/>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474-Class Macro Recall</w:t>
            </w:r>
          </w:p>
        </w:tc>
        <w:tc>
          <w:tcPr>
            <w:tcW w:type="dxa" w:w="1584"/>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c>
          <w:tcPr>
            <w:tcW w:type="dxa" w:w="1584"/>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 Count</w:t>
            </w:r>
          </w:p>
        </w:tc>
      </w:tr>
      <w:tr>
        <w:trPr>
          <w:cantSplit/>
        </w:trPr>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29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29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65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29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29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65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29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Single-Event vs. Contextual-Event Performance Breakdown</w:t>
      </w:r>
    </w:p>
    <w:p>
      <w:r>
        <w:t>Table 3 schemas the comparative performance partitioned by telemetry representation (278 Single-Event Views vs. 440 Contextual-Event Views).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80" w:type="dxa"/>
              <w:bottom w:w="80" w:type="dxa"/>
              <w:left w:w="80" w:type="dxa"/>
              <w:right w:w="8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Parametric Recovery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pStyle w:val="Heading3"/>
        <w:spacing w:before="160" w:after="40"/>
      </w:pPr>
      <w:r>
        <w:rPr>
          <w:rFonts w:ascii="Calibri" w:hAnsi="Calibri"/>
          <w:b/>
          <w:i/>
          <w:color w:val="333344"/>
          <w:sz w:val="22"/>
        </w:rPr>
        <w:t>Empirical Retrieval Baseline (Task T20 Diagnostic Findings)</w:t>
      </w:r>
    </w:p>
    <w:p>
      <w:r>
        <w:t>While end-to-end LLM inference awaits canonical execution, the standalone dense retriever (</w:t>
      </w:r>
      <w:r>
        <w:rPr>
          <w:rFonts w:ascii="Consolas" w:hAnsi="Consolas"/>
          <w:color w:val="8A1F11"/>
          <w:sz w:val="19"/>
        </w:rPr>
        <w:t>all-MiniLM-L6-v2</w:t>
      </w:r>
      <w:r>
        <w:t xml:space="preserve"> + FAISS </w:t>
      </w:r>
      <w:r>
        <w:rPr>
          <w:rFonts w:ascii="Consolas" w:hAnsi="Consolas"/>
          <w:color w:val="8A1F11"/>
          <w:sz w:val="19"/>
        </w:rPr>
        <w:t>IndexFlatIP</w:t>
      </w:r>
      <w:r>
        <w:t>) was evaluated offline across all 756 positive benchmark views (full benchmark: 718 TEST + 38 DEV) in Task T20 (</w:t>
      </w:r>
      <w:r>
        <w:rPr>
          <w:rFonts w:ascii="Consolas" w:hAnsi="Consolas"/>
          <w:color w:val="8A1F11"/>
          <w:sz w:val="19"/>
        </w:rPr>
        <w:t>reports/T20_retrieval_failure_analysis.md</w:t>
      </w:r>
      <w:r>
        <w:t>). These empirical findings establish critical baseline context for interpreting future RAG performance:</w:t>
      </w:r>
    </w:p>
    <w:p>
      <w:pPr>
        <w:pStyle w:val="ListNumber"/>
        <w:spacing w:after="40" w:line="276" w:lineRule="auto"/>
      </w:pPr>
      <w:r>
        <w:rPr>
          <w:b/>
        </w:rPr>
        <w:t>Aggregate Retrieval Performance Across Full Benchmark (756 Positive Views):</w:t>
      </w:r>
    </w:p>
    <w:p>
      <w:pPr>
        <w:pStyle w:val="ListBullet"/>
        <w:spacing w:after="40" w:line="276" w:lineRule="auto"/>
      </w:pPr>
      <w:r>
        <w:rPr>
          <w:rFonts w:ascii="Cambria Math" w:hAnsi="Cambria Math"/>
          <w:b/>
          <w:i/>
        </w:rPr>
        <w:t>Hit@1</w:t>
      </w:r>
      <w:r>
        <w:rPr>
          <w:b/>
        </w:rPr>
        <w:t>:</w:t>
      </w:r>
      <w:r>
        <w:t xml:space="preserve"> </w:t>
      </w:r>
      <w:r>
        <w:rPr>
          <w:rFonts w:ascii="Cambria Math" w:hAnsi="Cambria Math"/>
          <w:i/>
        </w:rPr>
        <w:t>4.23\%</w:t>
      </w:r>
      <w:r>
        <w:t xml:space="preserve"> (TEST: </w:t>
      </w:r>
      <w:r>
        <w:rPr>
          <w:rFonts w:ascii="Cambria Math" w:hAnsi="Cambria Math"/>
          <w:i/>
        </w:rPr>
        <w:t>3.76\%</w:t>
      </w:r>
      <w:r>
        <w:t xml:space="preserve">, DEV: </w:t>
      </w:r>
      <w:r>
        <w:rPr>
          <w:rFonts w:ascii="Cambria Math" w:hAnsi="Cambria Math"/>
          <w:i/>
        </w:rPr>
        <w:t>13.16\%</w:t>
      </w:r>
      <w:r>
        <w:t>)</w:t>
      </w:r>
    </w:p>
    <w:p>
      <w:pPr>
        <w:pStyle w:val="ListBullet"/>
        <w:spacing w:after="40" w:line="276" w:lineRule="auto"/>
      </w:pPr>
      <w:r>
        <w:rPr>
          <w:rFonts w:ascii="Cambria Math" w:hAnsi="Cambria Math"/>
          <w:b/>
          <w:i/>
        </w:rPr>
        <w:t>Hit@3</w:t>
      </w:r>
      <w:r>
        <w:rPr>
          <w:b/>
        </w:rPr>
        <w:t>:</w:t>
      </w:r>
      <w:r>
        <w:t xml:space="preserve"> </w:t>
      </w:r>
      <w:r>
        <w:rPr>
          <w:rFonts w:ascii="Cambria Math" w:hAnsi="Cambria Math"/>
          <w:i/>
        </w:rPr>
        <w:t>16.80\%</w:t>
      </w:r>
      <w:r>
        <w:t xml:space="preserve"> (TEST: </w:t>
      </w:r>
      <w:r>
        <w:rPr>
          <w:rFonts w:ascii="Cambria Math" w:hAnsi="Cambria Math"/>
          <w:i/>
        </w:rPr>
        <w:t>16.43\%</w:t>
      </w:r>
      <w:r>
        <w:t xml:space="preserve">, DEV: </w:t>
      </w:r>
      <w:r>
        <w:rPr>
          <w:rFonts w:ascii="Cambria Math" w:hAnsi="Cambria Math"/>
          <w:i/>
        </w:rPr>
        <w:t>23.68\%</w:t>
      </w:r>
      <w:r>
        <w:t>)</w:t>
      </w:r>
    </w:p>
    <w:p>
      <w:pPr>
        <w:pStyle w:val="ListBullet"/>
        <w:spacing w:after="40" w:line="276" w:lineRule="auto"/>
      </w:pPr>
      <w:r>
        <w:rPr>
          <w:rFonts w:ascii="Cambria Math" w:hAnsi="Cambria Math"/>
          <w:b/>
          <w:i/>
        </w:rPr>
        <w:t>Hit@5</w:t>
      </w:r>
      <w:r>
        <w:rPr>
          <w:b/>
        </w:rPr>
        <w:t>:</w:t>
      </w:r>
      <w:r>
        <w:t xml:space="preserve"> </w:t>
      </w:r>
      <w:r>
        <w:rPr>
          <w:rFonts w:ascii="Cambria Math" w:hAnsi="Cambria Math"/>
          <w:i/>
        </w:rPr>
        <w:t>24.21\%</w:t>
      </w:r>
      <w:r>
        <w:t xml:space="preserve"> (TEST: </w:t>
      </w:r>
      <w:r>
        <w:rPr>
          <w:rFonts w:ascii="Cambria Math" w:hAnsi="Cambria Math"/>
          <w:i/>
        </w:rPr>
        <w:t>24.09\%</w:t>
      </w:r>
      <w:r>
        <w:t xml:space="preserve">, DEV: </w:t>
      </w:r>
      <w:r>
        <w:rPr>
          <w:rFonts w:ascii="Cambria Math" w:hAnsi="Cambria Math"/>
          <w:i/>
        </w:rPr>
        <w:t>26.32\%</w:t>
      </w:r>
      <w:r>
        <w:t>)</w:t>
      </w:r>
    </w:p>
    <w:p>
      <w:pPr>
        <w:pStyle w:val="ListBullet"/>
        <w:spacing w:after="40" w:line="276" w:lineRule="auto"/>
      </w:pPr>
      <w:r>
        <w:rPr>
          <w:rFonts w:ascii="Cambria Math" w:hAnsi="Cambria Math"/>
          <w:b/>
          <w:i/>
        </w:rPr>
        <w:t>Hit@10</w:t>
      </w:r>
      <w:r>
        <w:rPr>
          <w:b/>
        </w:rPr>
        <w:t>:</w:t>
      </w:r>
      <w:r>
        <w:t xml:space="preserve"> </w:t>
      </w:r>
      <w:r>
        <w:rPr>
          <w:rFonts w:ascii="Cambria Math" w:hAnsi="Cambria Math"/>
          <w:i/>
        </w:rPr>
        <w:t>45.11\%</w:t>
      </w:r>
      <w:r>
        <w:t xml:space="preserve"> (TEST: </w:t>
      </w:r>
      <w:r>
        <w:rPr>
          <w:rFonts w:ascii="Cambria Math" w:hAnsi="Cambria Math"/>
          <w:i/>
        </w:rPr>
        <w:t>44.71\%</w:t>
      </w:r>
      <w:r>
        <w:t xml:space="preserve">, DEV: </w:t>
      </w:r>
      <w:r>
        <w:rPr>
          <w:rFonts w:ascii="Cambria Math" w:hAnsi="Cambria Math"/>
          <w:i/>
        </w:rPr>
        <w:t>52.63\%</w:t>
      </w:r>
      <w:r>
        <w:t>)</w:t>
      </w:r>
    </w:p>
    <w:p>
      <w:pPr>
        <w:pStyle w:val="ListBullet"/>
        <w:spacing w:after="40" w:line="276" w:lineRule="auto"/>
      </w:pPr>
      <w:r>
        <w:rPr>
          <w:b/>
        </w:rPr>
        <w:t>Macro Recall@10:</w:t>
      </w:r>
      <w:r>
        <w:t xml:space="preserve"> </w:t>
      </w:r>
      <w:r>
        <w:rPr>
          <w:rFonts w:ascii="Cambria Math" w:hAnsi="Cambria Math"/>
          <w:i/>
        </w:rPr>
        <w:t>43.14\%</w:t>
      </w:r>
    </w:p>
    <w:p>
      <w:pPr>
        <w:pStyle w:val="ListBullet"/>
        <w:spacing w:after="40" w:line="276" w:lineRule="auto"/>
      </w:pPr>
      <w:r>
        <w:rPr>
          <w:b/>
        </w:rPr>
        <w:t>Complement of View-Level Any-GT Hit@10:</w:t>
      </w:r>
      <w:r>
        <w:t xml:space="preserve"> </w:t>
      </w:r>
      <w:r>
        <w:rPr>
          <w:rFonts w:ascii="Cambria Math" w:hAnsi="Cambria Math"/>
          <w:b/>
          <w:i/>
        </w:rPr>
        <w:t>54.89\%</w:t>
      </w:r>
      <w:r>
        <w:t xml:space="preserve"> (in 415 of 756 positive views, no ground-truth technique was retrieved within the Top-10 candidates).</w:t>
      </w:r>
    </w:p>
    <w:p>
      <w:pPr>
        <w:pStyle w:val="ListNumber"/>
        <w:spacing w:after="40" w:line="276" w:lineRule="auto"/>
      </w:pPr>
      <w:r>
        <w:rPr>
          <w:b/>
        </w:rPr>
        <w:t>Technique-Specific Divergence:</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pStyle w:val="ListNumber"/>
        <w:spacing w:after="40" w:line="276" w:lineRule="auto"/>
      </w:pPr>
      <w:r>
        <w:rPr>
          <w:b/>
        </w:rPr>
        <w:t>Contextual Event Dilution:</w:t>
      </w:r>
    </w:p>
    <w:p>
      <w:r>
        <w:t xml:space="preserve">In an anchor-technique pairwise analysis across 296 eligible scenario pairs, adding multi-event context degraded the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Multi-event sequences introduce background operational tokens (</w:t>
      </w:r>
      <w:r>
        <w:rPr>
          <w:rFonts w:ascii="Consolas" w:hAnsi="Consolas"/>
          <w:color w:val="8A1F11"/>
          <w:sz w:val="19"/>
        </w:rPr>
        <w:t>svchost.exe</w:t>
      </w:r>
      <w:r>
        <w:t>, RPC calls, thread IDs) that dilute the dense vector representation away from the primary malicious signature.</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 xml:space="preserve">Reasoning models with configured </w:t>
      </w:r>
      <w:r>
        <w:rPr>
          <w:rFonts w:ascii="Consolas" w:hAnsi="Consolas"/>
          <w:color w:val="8A1F11"/>
          <w:sz w:val="19"/>
        </w:rPr>
        <w:t>reasoning_effort=xhigh</w:t>
      </w:r>
      <w:r>
        <w:t xml:space="preserve"> exhibit non-trivial inference latency (mean: </w:t>
      </w:r>
      <w:r>
        <w:rPr>
          <w:rFonts w:ascii="Cambria Math" w:hAnsi="Cambria Math"/>
          <w:i/>
        </w:rPr>
        <w:t>~ 8.1</w:t>
      </w:r>
      <w:r>
        <w:t xml:space="preserve"> seconds per request in our DEV pilot) and token overhead (mean: </w:t>
      </w:r>
      <w:r>
        <w:rPr>
          <w:rFonts w:ascii="Cambria Math" w:hAnsi="Cambria Math"/>
          <w:i/>
        </w:rPr>
        <w:t>~ 657</w:t>
      </w:r>
      <w:r>
        <w:t xml:space="preserve"> output tokens per request, dominated by hidden reasoning). In a production SOC ingesting large volumes of alerts per hour, routing raw telemetry directly to high-effort reasoning models is economically and operationally challenging.</w:t>
      </w:r>
    </w:p>
    <w:p>
      <w:r>
        <w:t>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xml:space="preserve">). To prevent premature aborts, </w:t>
      </w:r>
      <w:r>
        <w:rPr>
          <w:rFonts w:ascii="Consolas" w:hAnsi="Consolas"/>
          <w:color w:val="8A1F11"/>
          <w:sz w:val="19"/>
        </w:rPr>
        <w:t>StudyBudgetLedger._write_atomically_unlocked</w:t>
      </w:r>
      <w:r>
        <w:t xml:space="preserve"> incorporates a 12-retry wrapper with exponential backoff and jitter, ensuring reliable atomic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w:t>
      </w:r>
    </w:p>
    <w:p>
      <w:pPr>
        <w:pStyle w:val="ListBullet"/>
        <w:spacing w:after="40" w:line="276" w:lineRule="auto"/>
      </w:pPr>
      <w:r>
        <w:rPr>
          <w:b/>
        </w:rPr>
        <w:t>External Validity:</w:t>
      </w:r>
      <w:r>
        <w:t xml:space="preserve"> The primary threat is the synthetic nature of </w:t>
      </w:r>
      <w:r>
        <w:rPr>
          <w:rFonts w:ascii="Consolas" w:hAnsi="Consolas"/>
          <w:color w:val="8A1F11"/>
          <w:sz w:val="19"/>
        </w:rPr>
        <w:t>synthetic-paired-v1</w:t>
      </w:r>
      <w:r>
        <w:t xml:space="preserve"> and the specific choice of </w:t>
      </w:r>
      <w:r>
        <w:rPr>
          <w:rFonts w:ascii="Consolas" w:hAnsi="Consolas"/>
          <w:color w:val="8A1F11"/>
          <w:sz w:val="19"/>
        </w:rPr>
        <w:t>gpt-5.6-luna</w:t>
      </w:r>
      <w:r>
        <w:t>. Results may not generalize directly to other model families or complex enterprise networks.</w:t>
      </w:r>
    </w:p>
    <w:p>
      <w:pPr>
        <w:pStyle w:val="ListBullet"/>
        <w:spacing w:after="40" w:line="276" w:lineRule="auto"/>
      </w:pPr>
      <w:r>
        <w:rPr>
          <w:b/>
        </w:rPr>
        <w:t>Construct Validity:</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establishes the research report scaffold and methodological framework for RAG2ATTCK: a controlled replication-and-extension study evaluating MITRE ATT&amp;CK-grounded RAG for technique attribution from Windows endpoint logs. By coupling a cryptographically frozen scientific protocol (v1.1,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design. Crucially, we clearly demarcate the synthetic boundaries of our dataset and disclose the reconciliation discrepancies in public telemetry that necessitate this boundary.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pStyle w:val="ListNumber"/>
        <w:spacing w:after="40" w:line="276" w:lineRule="auto"/>
      </w:pPr>
      <w:r>
        <w:t xml:space="preserve">The MITRE Corporation. "MITRE ATT&amp;CK® Enterprise Matrix, Version 19.2." Published March 2026. Available: &lt;https://attack.mitre.org/&gt;. </w:t>
      </w:r>
      <w:r>
        <w:rPr>
          <w:rFonts w:ascii="Consolas" w:hAnsi="Consolas"/>
          <w:color w:val="8A1F11"/>
          <w:sz w:val="19"/>
        </w:rPr>
        <w:t>[PRIMARY SOURCE VERIFIED]</w:t>
      </w:r>
    </w:p>
    <w:p>
      <w:pPr>
        <w:pStyle w:val="ListNumber"/>
        <w:spacing w:after="40" w:line="276" w:lineRule="auto"/>
      </w:pPr>
      <w:r>
        <w:t xml:space="preserve">OpenAI. "Reasoning Models and Frontiers in Automated Analysis: GPT-5.6 Series." Technical Overview, July 2026. Available: &lt;https://developers.openai.com/api/docs/models/gpt-5.6-luna&gt;. </w:t>
      </w:r>
      <w:r>
        <w:rPr>
          <w:rFonts w:ascii="Consolas" w:hAnsi="Consolas"/>
          <w:color w:val="8A1F11"/>
          <w:sz w:val="19"/>
        </w:rPr>
        <w:t>[PRIMARY SOURCE VERIFIED]</w:t>
      </w:r>
    </w:p>
    <w:p>
      <w:pPr>
        <w:pStyle w:val="ListNumber"/>
        <w:spacing w:after="40" w:line="276" w:lineRule="auto"/>
      </w:pPr>
      <w:r>
        <w:t xml:space="preserve">OpenAI. "OpenAI Reasoning Best Practices and Output Budgeting." Technical Guide, 2026. Available: &lt;https://developers.openai.com/api/docs/guides/reasoning&gt;. </w:t>
      </w:r>
      <w:r>
        <w:rPr>
          <w:rFonts w:ascii="Consolas" w:hAnsi="Consolas"/>
          <w:color w:val="8A1F11"/>
          <w:sz w:val="19"/>
        </w:rPr>
        <w:t>[PRIMARY SOURCE VERIFIED]</w:t>
      </w:r>
    </w:p>
    <w:p>
      <w:pPr>
        <w:pStyle w:val="ListNumber"/>
        <w:spacing w:after="40" w:line="276" w:lineRule="auto"/>
      </w:pPr>
      <w:r>
        <w:t xml:space="preserve">Lewis, P.; Perez, E.; Piktus, A.; Petroni, F.; Karpukhin, V.; Goyal, N.; Küttler, H.; Lewis, M.; Yih, W.-t.; Rocktäschel, T.; Riedel, S.; Kiela, D. "Retrieval-Augmented Generation for Knowledge-Intensive NLP Tasks." In: </w:t>
      </w:r>
      <w:r>
        <w:rPr>
          <w:i/>
        </w:rPr>
        <w:t>Advances in Neural Information Processing Systems (NeurIPS 2020)</w:t>
      </w:r>
      <w:r>
        <w:t xml:space="preserve">, vol. 33, pp. 9459–9474, 2020. </w:t>
      </w:r>
      <w:r>
        <w:rPr>
          <w:rFonts w:ascii="Consolas" w:hAnsi="Consolas"/>
          <w:color w:val="8A1F11"/>
          <w:sz w:val="19"/>
        </w:rPr>
        <w:t>[PRIMARY SOURCE VERIFIED]</w:t>
      </w:r>
    </w:p>
    <w:p>
      <w:pPr>
        <w:pStyle w:val="ListNumber"/>
        <w:spacing w:after="40" w:line="276" w:lineRule="auto"/>
      </w:pPr>
      <w:r>
        <w:t xml:space="preserve">Lekssays, A.; Shukla, U.; Sencar, H. T.; Parvez, M. R. "TechniqueRAG: Retrieval Augmented Generation for Adversarial Technique Annotation in Cyber Threat Intelligence Text." In: </w:t>
      </w:r>
      <w:r>
        <w:rPr>
          <w:i/>
        </w:rPr>
        <w:t>Findings of the Association for Computational Linguistics: ACL 2025</w:t>
      </w:r>
      <w: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9"/>
        </w:rPr>
        <w:t>[FULL TEXT VERIFIED]</w:t>
      </w:r>
    </w:p>
    <w:p>
      <w:pPr>
        <w:pStyle w:val="ListNumber"/>
        <w:spacing w:after="40" w:line="276" w:lineRule="auto"/>
      </w:pPr>
      <w: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9"/>
        </w:rPr>
        <w:t>[FULL TEXT VERIFIED]</w:t>
      </w:r>
    </w:p>
    <w:p>
      <w:pPr>
        <w:pStyle w:val="ListNumber"/>
        <w:spacing w:after="40" w:line="276" w:lineRule="auto"/>
      </w:pPr>
      <w:r>
        <w:t xml:space="preserve">Yang, D.-R.; Hsu, F.-H. "LLM-Based Malicious Behavior Detection from Sysmon Event Logs: A Practical System Integrating Process Trees, RAG, and In-Context Analysis." In: </w:t>
      </w:r>
      <w:r>
        <w:rPr>
          <w:i/>
        </w:rPr>
        <w:t>Security and Information Technologies with AI, Internet Computing and Big-Data Applications (SITAIBA 2025)</w:t>
      </w:r>
      <w: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9"/>
        </w:rPr>
        <w:t>[PARTIAL / METADATA ONLY]</w:t>
      </w:r>
    </w:p>
    <w:p>
      <w:pPr>
        <w:pStyle w:val="ListNumber"/>
        <w:spacing w:after="40" w:line="276" w:lineRule="auto"/>
      </w:pPr>
      <w:r>
        <w:t xml:space="preserve">Landauer, M.; Hotwagner, W.; Boenke, T.; Skopik, F.; Wurzenberger, M. "CAM-LDS: cyber attack manifestations for automatic interpretation of system logs and security alerts." </w:t>
      </w:r>
      <w:r>
        <w:rPr>
          <w:i/>
        </w:rPr>
        <w:t>International Journal of Information Security</w:t>
      </w:r>
      <w: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9"/>
        </w:rPr>
        <w:t>[FULL TEXT VERIFIED]</w:t>
      </w:r>
    </w:p>
    <w:p>
      <w:pPr>
        <w:pStyle w:val="ListNumber"/>
        <w:spacing w:after="40" w:line="276" w:lineRule="auto"/>
      </w:pPr>
      <w:r>
        <w:t xml:space="preserve">Okuma, M.; Watarai, K.; Okada, S.; Mitsunaga, T. "Automated Mapping Method for Sysmon Logs to ATT&amp;CK Techniques by Leveraging Atomic Red Team." In: </w:t>
      </w:r>
      <w:r>
        <w:rPr>
          <w:i/>
        </w:rPr>
        <w:t>2023 6th International Conference on Signal Processing and Information Security (ICSPIS 2023)</w:t>
      </w:r>
      <w:r>
        <w:t xml:space="preserve">, pp. 104–109, IEEE, 2023. DOI: &lt;https://doi.org/10.1109/ICSPIS60075.2023.10343783&gt;. Note: IEEE bibliographic record checked; primary full text remains ACCESS BLOCKED in this audit. </w:t>
      </w:r>
      <w:r>
        <w:rPr>
          <w:rFonts w:ascii="Consolas" w:hAnsi="Consolas"/>
          <w:color w:val="8A1F11"/>
          <w:sz w:val="19"/>
        </w:rPr>
        <w:t>[ACCESS BLOCKED / BIBLIOGRAPHIC RECORD ONLY]</w:t>
      </w:r>
    </w:p>
    <w:p>
      <w:pPr>
        <w:pStyle w:val="ListNumber"/>
        <w:spacing w:after="40" w:line="276" w:lineRule="auto"/>
      </w:pPr>
      <w:r>
        <w:t xml:space="preserve">Adediran, G.; Awuson-David, K.; Ahmed, Y. "Retrieval-Augmented Large Language Model for AWS Cloud Threat Detection and Modelling: Cloudtrail Mitre ATT&amp;CK Mapping." </w:t>
      </w:r>
      <w:r>
        <w:rPr>
          <w:i/>
        </w:rPr>
        <w:t>Computers, Materials &amp; Continua</w:t>
      </w:r>
      <w: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9"/>
        </w:rPr>
        <w:t>[FULL TEXT VERIFIED]</w:t>
      </w:r>
    </w:p>
    <w:p>
      <w:pPr>
        <w:pStyle w:val="ListNumber"/>
        <w:spacing w:after="40" w:line="276" w:lineRule="auto"/>
      </w:pPr>
      <w: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9"/>
        </w:rPr>
        <w:t>[FULL TEXT VERIFIED]</w:t>
      </w:r>
    </w:p>
    <w:p>
      <w:pPr>
        <w:pStyle w:val="ListNumber"/>
        <w:spacing w:after="40" w:line="276" w:lineRule="auto"/>
      </w:pPr>
      <w:r>
        <w:t xml:space="preserve">Gwak, J.-Y.; Strier, A.; Xi, Z.; Yan, G.; Shu, X.; Stoller, S. D.; Yang, P. "LADE: LLM-Assisted Advanced Persistent Threat Detection and Explanation." In: </w:t>
      </w:r>
      <w:r>
        <w:rPr>
          <w:i/>
        </w:rPr>
        <w:t>Security and Privacy in Communication Networks (SecureComm 2026)</w:t>
      </w:r>
      <w: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9"/>
        </w:rPr>
        <w:t>[FULL TEXT VERIFIED]</w:t>
      </w:r>
    </w:p>
    <w:p>
      <w:pPr>
        <w:pStyle w:val="ListNumber"/>
        <w:spacing w:after="40" w:line="276" w:lineRule="auto"/>
      </w:pPr>
      <w:r>
        <w:t xml:space="preserve">Mozaffari, M.; Yazdinejad, A.; Dehghantanha, A. "A Comprehensive Windows-Based APT Attack Dataset for Threat Detection and Analysis." </w:t>
      </w:r>
      <w:r>
        <w:rPr>
          <w:i/>
        </w:rPr>
        <w:t>Data in Brief</w:t>
      </w:r>
      <w: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9"/>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