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DRAFT — IN PROGRESS / PENDING EXPERIMENTAL EXECUTION</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research report scaffold, mathematical formulations, literature review, and experimental table schemas without inventing unexecuted numerical results. Preliminary offline retrieval diagnostics across positive views demonstrate that dense retrieval achieves </w:t>
      </w:r>
      <w:r>
        <w:rPr>
          <w:rFonts w:ascii="Cambria Math" w:hAnsi="Cambria Math"/>
          <w:i/>
        </w:rPr>
        <w:t>Hit@1 = 4.23%</w:t>
      </w:r>
      <w:r>
        <w:t xml:space="preserve"> and </w:t>
      </w:r>
      <w:r>
        <w:rPr>
          <w:rFonts w:ascii="Cambria Math" w:hAnsi="Cambria Math"/>
          <w:i/>
        </w:rPr>
        <w:t>Hit@10 = 45.11%</w:t>
      </w:r>
      <w:r>
        <w:t xml:space="preserve">, with no ground-truth technique retrieved within Top-10 in </w:t>
      </w:r>
      <w:r>
        <w:rPr>
          <w:rFonts w:ascii="Cambria Math" w:hAnsi="Cambria Math"/>
          <w:i/>
        </w:rPr>
        <w:t>54.89%</w:t>
      </w:r>
      <w:r>
        <w:t xml:space="preserve"> of positive views (the complement of view-level Any-GT Hit@10), influenced by lexical mismatch in command-line arguments and contextual event dilution. The canonical live execution matrix (6,400 requests) is strictly budgeted under a USD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Decoupled Failure Decomposition:</w:t>
      </w:r>
      <w:r>
        <w:t xml:space="preserve"> We decouple upstream retrieval failures (where the true technique is not retrieved in the Top-</w:t>
      </w:r>
      <w:r>
        <w:rPr>
          <w:rFonts w:ascii="Cambria Math" w:hAnsi="Cambria Math"/>
          <w:i/>
        </w:rPr>
        <w:t>k</w:t>
      </w:r>
      <w:r>
        <w:t xml:space="preserve"> candidates) from downstream LLM generation/selection failures, revealing where the attribution pipeline breaks down.</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measure the transition from informative context to distractor noise, tracking token costs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w:t>
      </w:r>
      <w:r>
        <w:rPr>
          <w:rFonts w:ascii="Cambria Math" w:hAnsi="Cambria Math"/>
          <w:i/>
        </w:rPr>
        <w:t>GT ∉ Top-k</w:t>
      </w:r>
      <w:r>
        <w:t>)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(Formal decoupled split: Retrieval vs Generation error)</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Input Tokens: USD 0.20 per 1,000,000 input tokens (conservative modeling rate: USD 0.25 per 1,000,000 input tokens).</w:t>
      </w:r>
    </w:p>
    <w:p>
      <w:pPr>
        <w:pStyle w:val="ListBullet"/>
        <w:spacing w:after="40" w:line="276" w:lineRule="auto"/>
      </w:pPr>
      <w:r>
        <w:t>Output Tokens: USD 1.20 per 1,000,000 output tokens (inclusive of hidden reasoning tokens).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DEV Pilot Empirical Calibration (2026-10-01):</w:t>
      </w:r>
      <w:r>
        <w:t xml:space="preserve"> A real-provider calibration pilot across 20 requests (evaluating 4 synthetic DEV views across 5 experimental conditions, documented in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Tariff Accounting Estimate: An estimated usage cost of USD 0.0242 across 20 successful requests (mean latency: 8.13s). Note: this figure represents an internal usage/tariff accounting estimate derived from token meters and public tariff rates, not a commercial invoice.</w:t>
      </w:r>
    </w:p>
    <w:p>
      <w:pPr>
        <w:pStyle w:val="ListBullet"/>
        <w:spacing w:after="40" w:line="276" w:lineRule="auto"/>
      </w:pPr>
      <w:r>
        <w:rPr>
          <w:b/>
        </w:rPr>
        <w:t>Canonical Projection and the USD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b/>
        </w:rPr>
        <w:t>USD 8.20</w:t>
      </w:r>
      <w:r>
        <w:t xml:space="preserve"> (or </w:t>
      </w:r>
      <w:r>
        <w:rPr>
          <w:b/>
        </w:rPr>
        <w:t>USD 8.99</w:t>
      </w:r>
      <w:r>
        <w:t xml:space="preserve"> under conservative input modeling rates). Crucially, these financial forecasts represent modeled projections rather than absolute commercial guarantees. A hard budget ceiling of </w:t>
      </w:r>
      <w:r>
        <w:rPr>
          <w:b/>
        </w:rPr>
        <w:t>USD 19.99</w:t>
      </w:r>
      <w:r>
        <w:t xml:space="preserve"> is strictly enforced by the execution runner, providing a </w:t>
      </w:r>
      <w:r>
        <w:rPr>
          <w:rFonts w:ascii="Cambria Math" w:hAnsi="Cambria Math"/>
          <w:i/>
        </w:rPr>
        <w:t>2.2×</w:t>
      </w:r>
      <w:r>
        <w:t xml:space="preserve">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Known-Answer Verification Example:</w:t>
      </w:r>
      <w:r>
        <w:t xml:space="preserve"> A technique in the 474 universe (e.g.,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present in ground truth (e.g.,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absent from ground truth (e.g.,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retriever failed, and the LLM was unable to recover parametrically).</w:t>
      </w:r>
    </w:p>
    <w:p>
      <w:pPr>
        <w:spacing w:before="120" w:after="120"/>
        <w:pBdr>
          <w:bottom w:val="single" w:sz="6" w:space="1" w:color="D0D7DE"/>
        </w:pBdr>
      </w:pPr>
    </w:p>
    <w:p>
      <w:pPr>
        <w:pStyle w:val="Heading1"/>
        <w:spacing w:before="280" w:after="120"/>
      </w:pPr>
      <w:r>
        <w:rPr>
          <w:rFonts w:ascii="Georgia" w:hAnsi="Georgia"/>
          <w:b/>
          <w:color w:val="0A2540"/>
          <w:sz w:val="28"/>
        </w:rPr>
        <w:t>6. Results Scaffold and Empirical Table Schemas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and diagnostic metrics across the five experimental conditions on the 718 scorable mapped positive TEST views (678 single-GT, 40 multi-GT).</w:t>
      </w:r>
    </w:p>
    <w:p>
      <w:r>
        <w:rPr>
          <w:i/>
        </w:rPr>
        <w:t>Table 2a: Primary Attribution Performance Across Experimental Conditions (Schema).</w:t>
      </w:r>
    </w:p>
    <w:tbl>
      <w:tblPr>
        <w:tblW w:type="auto" w:w="0"/>
        <w:jc w:val="center"/>
        <w:tblLayout w:type="fixed"/>
        <w:tblLook w:firstColumn="1" w:firstRow="1" w:lastColumn="0" w:lastRow="0" w:noHBand="0" w:noVBand="1" w:val="04A0"/>
      </w:tblPr>
      <w:tblGrid>
        <w:gridCol w:w="1584"/>
        <w:gridCol w:w="1440"/>
        <w:gridCol w:w="1296"/>
        <w:gridCol w:w="1584"/>
        <w:gridCol w:w="1584"/>
        <w:gridCol w:w="187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Retrieval Depth (</w:t>
            </w:r>
            <w:r>
              <w:rPr>
                <w:rFonts w:ascii="Cambria Math" w:hAnsi="Cambria Math"/>
                <w:b/>
                <w:i/>
                <w:color w:val="FFFFFF"/>
                <w:sz w:val="17"/>
              </w:rPr>
              <w:t>k</w:t>
            </w:r>
            <w:r>
              <w:rPr>
                <w:b/>
                <w:color w:val="FFFFFF"/>
                <w:sz w:val="17"/>
              </w:rPr>
              <w:t>)</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Headline Accuracy (</w:t>
            </w:r>
            <w:r>
              <w:rPr>
                <w:rFonts w:ascii="Cambria Math" w:hAnsi="Cambria Math"/>
                <w:b/>
                <w:i/>
                <w:color w:val="FFFFFF"/>
                <w:sz w:val="17"/>
              </w:rPr>
              <w:t>Acc_e2e</w:t>
            </w:r>
            <w:r>
              <w:rPr>
                <w:b/>
                <w:color w:val="FFFFFF"/>
                <w:sz w:val="17"/>
              </w:rPr>
              <w:t>)</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Valid Accuracy (</w:t>
            </w:r>
            <w:r>
              <w:rPr>
                <w:rFonts w:ascii="Cambria Math" w:hAnsi="Cambria Math"/>
                <w:b/>
                <w:i/>
                <w:color w:val="FFFFFF"/>
                <w:sz w:val="17"/>
              </w:rPr>
              <w:t>Acc_valid</w:t>
            </w:r>
            <w:r>
              <w:rPr>
                <w:b/>
                <w:color w:val="FFFFFF"/>
                <w:sz w:val="17"/>
              </w:rPr>
              <w:t>)</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474-Class Macro F1</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0</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3</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5</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10</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Single-Event vs. Contextual-Event Performance Breakdown</w:t>
      </w:r>
    </w:p>
    <w:p>
      <w:r>
        <w:t>Table 3 schemas the comparative performance partitioned by telemetry representation (278 Single-Event Views vs. 440 Contextual-Event Views).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Parametric Recovery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pStyle w:val="Heading3"/>
        <w:spacing w:before="160" w:after="40"/>
      </w:pPr>
      <w:r>
        <w:rPr>
          <w:rFonts w:ascii="Calibri" w:hAnsi="Calibri"/>
          <w:b/>
          <w:i/>
          <w:color w:val="333344"/>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spacing w:after="40" w:line="276" w:lineRule="auto"/>
        <w:ind w:left="432" w:hanging="288"/>
      </w:pPr>
      <w:r>
        <w:rPr>
          <w:rFonts w:ascii="Calibri" w:hAnsi="Calibri"/>
          <w:b/>
          <w:color w:val="24292F"/>
        </w:rPr>
        <w:t xml:space="preserve">1. </w:t>
      </w:r>
      <w:r>
        <w:rPr>
          <w:b/>
        </w:rPr>
        <w:t>Aggregate Retrieval Performance Across Full Benchmark (756 Positive Views):</w:t>
      </w:r>
    </w:p>
    <w:p>
      <w:pPr>
        <w:pStyle w:val="ListBullet"/>
        <w:spacing w:after="40" w:line="276" w:lineRule="auto"/>
      </w:pPr>
      <w:r>
        <w:rPr>
          <w:rFonts w:ascii="Cambria Math" w:hAnsi="Cambria Math"/>
          <w:b/>
          <w:i/>
        </w:rPr>
        <w:t>Hit@1</w:t>
      </w:r>
      <w:r>
        <w:rPr>
          <w:b/>
        </w:rPr>
        <w:t>:</w:t>
      </w:r>
      <w:r>
        <w:t xml:space="preserve"> </w:t>
      </w:r>
      <w:r>
        <w:rPr>
          <w:rFonts w:ascii="Cambria Math" w:hAnsi="Cambria Math"/>
          <w:i/>
        </w:rPr>
        <w:t>4.23%</w:t>
      </w:r>
      <w:r>
        <w:t xml:space="preserve"> (TEST: </w:t>
      </w:r>
      <w:r>
        <w:rPr>
          <w:rFonts w:ascii="Cambria Math" w:hAnsi="Cambria Math"/>
          <w:i/>
        </w:rPr>
        <w:t>3.76%</w:t>
      </w:r>
      <w:r>
        <w:t xml:space="preserve">, DEV: </w:t>
      </w:r>
      <w:r>
        <w:rPr>
          <w:rFonts w:ascii="Cambria Math" w:hAnsi="Cambria Math"/>
          <w:i/>
        </w:rPr>
        <w:t>13.16%</w:t>
      </w:r>
      <w:r>
        <w:t>)</w:t>
      </w:r>
    </w:p>
    <w:p>
      <w:pPr>
        <w:pStyle w:val="ListBullet"/>
        <w:spacing w:after="40" w:line="276" w:lineRule="auto"/>
      </w:pPr>
      <w:r>
        <w:rPr>
          <w:rFonts w:ascii="Cambria Math" w:hAnsi="Cambria Math"/>
          <w:b/>
          <w:i/>
        </w:rPr>
        <w:t>Hit@3</w:t>
      </w:r>
      <w:r>
        <w:rPr>
          <w:b/>
        </w:rPr>
        <w:t>:</w:t>
      </w:r>
      <w:r>
        <w:t xml:space="preserve"> </w:t>
      </w:r>
      <w:r>
        <w:rPr>
          <w:rFonts w:ascii="Cambria Math" w:hAnsi="Cambria Math"/>
          <w:i/>
        </w:rPr>
        <w:t>16.80%</w:t>
      </w:r>
      <w:r>
        <w:t xml:space="preserve"> (TEST: </w:t>
      </w:r>
      <w:r>
        <w:rPr>
          <w:rFonts w:ascii="Cambria Math" w:hAnsi="Cambria Math"/>
          <w:i/>
        </w:rPr>
        <w:t>16.43%</w:t>
      </w:r>
      <w:r>
        <w:t xml:space="preserve">, DEV: </w:t>
      </w:r>
      <w:r>
        <w:rPr>
          <w:rFonts w:ascii="Cambria Math" w:hAnsi="Cambria Math"/>
          <w:i/>
        </w:rPr>
        <w:t>23.68%</w:t>
      </w:r>
      <w:r>
        <w:t>)</w:t>
      </w:r>
    </w:p>
    <w:p>
      <w:pPr>
        <w:pStyle w:val="ListBullet"/>
        <w:spacing w:after="40" w:line="276" w:lineRule="auto"/>
      </w:pPr>
      <w:r>
        <w:rPr>
          <w:rFonts w:ascii="Cambria Math" w:hAnsi="Cambria Math"/>
          <w:b/>
          <w:i/>
        </w:rPr>
        <w:t>Hit@5</w:t>
      </w:r>
      <w:r>
        <w:rPr>
          <w:b/>
        </w:rPr>
        <w:t>:</w:t>
      </w:r>
      <w:r>
        <w:t xml:space="preserve"> </w:t>
      </w:r>
      <w:r>
        <w:rPr>
          <w:rFonts w:ascii="Cambria Math" w:hAnsi="Cambria Math"/>
          <w:i/>
        </w:rPr>
        <w:t>24.21%</w:t>
      </w:r>
      <w:r>
        <w:t xml:space="preserve"> (TEST: </w:t>
      </w:r>
      <w:r>
        <w:rPr>
          <w:rFonts w:ascii="Cambria Math" w:hAnsi="Cambria Math"/>
          <w:i/>
        </w:rPr>
        <w:t>24.09%</w:t>
      </w:r>
      <w:r>
        <w:t xml:space="preserve">, DEV: </w:t>
      </w:r>
      <w:r>
        <w:rPr>
          <w:rFonts w:ascii="Cambria Math" w:hAnsi="Cambria Math"/>
          <w:i/>
        </w:rPr>
        <w:t>26.32%</w:t>
      </w:r>
      <w:r>
        <w:t>)</w:t>
      </w:r>
    </w:p>
    <w:p>
      <w:pPr>
        <w:pStyle w:val="ListBullet"/>
        <w:spacing w:after="40" w:line="276" w:lineRule="auto"/>
      </w:pPr>
      <w:r>
        <w:rPr>
          <w:rFonts w:ascii="Cambria Math" w:hAnsi="Cambria Math"/>
          <w:b/>
          <w:i/>
        </w:rPr>
        <w:t>Hit@10</w:t>
      </w:r>
      <w:r>
        <w:rPr>
          <w:b/>
        </w:rPr>
        <w:t>:</w:t>
      </w:r>
      <w:r>
        <w:t xml:space="preserve"> </w:t>
      </w:r>
      <w:r>
        <w:rPr>
          <w:rFonts w:ascii="Cambria Math" w:hAnsi="Cambria Math"/>
          <w:i/>
        </w:rPr>
        <w:t>45.11%</w:t>
      </w:r>
      <w:r>
        <w:t xml:space="preserve"> (TEST: </w:t>
      </w:r>
      <w:r>
        <w:rPr>
          <w:rFonts w:ascii="Cambria Math" w:hAnsi="Cambria Math"/>
          <w:i/>
        </w:rPr>
        <w:t>44.71%</w:t>
      </w:r>
      <w:r>
        <w:t xml:space="preserve">, DEV: </w:t>
      </w:r>
      <w:r>
        <w:rPr>
          <w:rFonts w:ascii="Cambria Math" w:hAnsi="Cambria Math"/>
          <w:i/>
        </w:rPr>
        <w:t>52.63%</w:t>
      </w:r>
      <w:r>
        <w:t>)</w:t>
      </w:r>
    </w:p>
    <w:p>
      <w:pPr>
        <w:pStyle w:val="ListBullet"/>
        <w:spacing w:after="40" w:line="276" w:lineRule="auto"/>
      </w:pPr>
      <w:r>
        <w:rPr>
          <w:b/>
        </w:rPr>
        <w:t>Macro Recall@10:</w:t>
      </w:r>
      <w:r>
        <w:t xml:space="preserve"> </w:t>
      </w:r>
      <w:r>
        <w:rPr>
          <w:rFonts w:ascii="Cambria Math" w:hAnsi="Cambria Math"/>
          <w:i/>
        </w:rPr>
        <w:t>43.14%</w:t>
      </w:r>
    </w:p>
    <w:p>
      <w:pPr>
        <w:pStyle w:val="ListBullet"/>
        <w:spacing w:after="40" w:line="276" w:lineRule="auto"/>
      </w:pPr>
      <w:r>
        <w:rPr>
          <w:b/>
        </w:rPr>
        <w:t>Complement of View-Level Any-GT Hit@10:</w:t>
      </w:r>
      <w:r>
        <w:t xml:space="preserve"> </w:t>
      </w:r>
      <w:r>
        <w:rPr>
          <w:rFonts w:ascii="Cambria Math" w:hAnsi="Cambria Math"/>
          <w:b/>
          <w:i/>
        </w:rPr>
        <w:t>54.89%</w:t>
      </w:r>
      <w:r>
        <w:t xml:space="preserve"> (in 415 of 756 positive views, no ground-truth technique was retrieved within the Top-10 candidates).</w:t>
      </w:r>
    </w:p>
    <w:p>
      <w:pPr>
        <w:spacing w:after="40" w:line="276" w:lineRule="auto"/>
        <w:ind w:left="432" w:hanging="288"/>
      </w:pPr>
      <w:r>
        <w:rPr>
          <w:rFonts w:ascii="Calibri" w:hAnsi="Calibri"/>
          <w:b/>
          <w:color w:val="24292F"/>
        </w:rPr>
        <w:t xml:space="preserve">2. </w:t>
      </w: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spacing w:after="40" w:line="276" w:lineRule="auto"/>
        <w:ind w:left="432" w:hanging="288"/>
      </w:pPr>
      <w:r>
        <w:rPr>
          <w:rFonts w:ascii="Calibri" w:hAnsi="Calibri"/>
          <w:b/>
          <w:color w:val="24292F"/>
        </w:rPr>
        <w:t xml:space="preserve">3. </w:t>
      </w:r>
      <w:r>
        <w:rPr>
          <w:b/>
        </w:rPr>
        <w:t>Contextual Event Dilution Hypothesis and Rank Observations:</w:t>
      </w:r>
    </w:p>
    <w:p>
      <w:r>
        <w:t xml:space="preserve">In an anchor-technique pairwise comparison across 296 eligible scenario pairs, adding multi-event context was observed to degrade the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with the remaining pairs exhibiting neutral rank changes. While we hypothesize that multi-event sequences introduce background operational tokens (</w:t>
      </w:r>
      <w:r>
        <w:rPr>
          <w:rFonts w:ascii="Consolas" w:hAnsi="Consolas"/>
          <w:color w:val="8A1F11"/>
          <w:sz w:val="19"/>
        </w:rPr>
        <w:t>svchost.exe</w:t>
      </w:r>
      <w:r>
        <w:t>, RPC calls, thread IDs) that dilute the dense vector embedding away from the primary malicious signature, this contextual dilution effect and any prospective event-filtering requirements remain hypotheses to be formally evaluated during end-to-end LLM reasoning.</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w:t>
      </w:r>
      <w:r>
        <w:rPr>
          <w:rFonts w:ascii="Cambria Math" w:hAnsi="Cambria Math"/>
          <w:i/>
        </w:rPr>
        <w:t>~ 8.1</w:t>
      </w:r>
      <w:r>
        <w:t xml:space="preserve"> seconds per request in our DEV pilot) and token overhead (mean: </w:t>
      </w:r>
      <w:r>
        <w:rPr>
          <w:rFonts w:ascii="Cambria Math" w:hAnsi="Cambria Math"/>
          <w:i/>
        </w:rPr>
        <w:t>~ 657</w:t>
      </w:r>
      <w:r>
        <w:t xml:space="preserve">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state that bitwise determinism strictly applies to dataset regeneration, offline evaluation diagnostics, and retriever tie-breaking; live model provider outputs are subject to upstream non-determinism and provider-side variability, which is transparently recorded under Protocol Decision D3 through immutable timestamped metadata, system fingerprints, and execution logs.</w:t>
      </w:r>
    </w:p>
    <w:p>
      <w:pPr>
        <w:pStyle w:val="ListBullet"/>
        <w:spacing w:after="40" w:line="276" w:lineRule="auto"/>
      </w:pPr>
      <w:r>
        <w:rPr>
          <w:b/>
        </w:rPr>
        <w:t>External Validity:</w:t>
      </w:r>
      <w:r>
        <w:t xml:space="preserve"> The primary threat is the synthetic nature of </w:t>
      </w:r>
      <w:r>
        <w:rPr>
          <w:rFonts w:ascii="Consolas" w:hAnsi="Consolas"/>
          <w:color w:val="8A1F11"/>
          <w:sz w:val="19"/>
        </w:rPr>
        <w:t>synthetic-paired-v1</w:t>
      </w:r>
      <w:r>
        <w:t xml:space="preserve"> and the specific choice of </w:t>
      </w:r>
      <w:r>
        <w:rPr>
          <w:rFonts w:ascii="Consolas" w:hAnsi="Consolas"/>
          <w:color w:val="8A1F11"/>
          <w:sz w:val="19"/>
        </w:rPr>
        <w:t>gpt-5.6-luna</w:t>
      </w:r>
      <w:r>
        <w:t>. Results may not generalize directly to other model families or complex enterprise networks.</w:t>
      </w:r>
    </w:p>
    <w:p>
      <w:pPr>
        <w:pStyle w:val="ListBullet"/>
        <w:spacing w:after="40" w:line="276" w:lineRule="auto"/>
      </w:pPr>
      <w:r>
        <w:rPr>
          <w:b/>
        </w:rPr>
        <w:t>Construct Validity:</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establishes the research report scaffold and methodological framework for RAG2ATTCK: a controlled replication-and-extension study evaluating MITRE ATT&amp;CK-grounded RAG for technique attribution from Windows endpoint logs. By coupling a cryptographically frozen scientific protocol (v1.1,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design. Crucially, we clearly demarcate the synthetic boundaries of our dataset and disclose the reconciliation discrepancies in public telemetry that necessitate this boundary.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