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SCIENTIFIC REPORT — CERTIFIED AUDIT-READY</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In our canonical live evaluation across the 718 scorable TEST views, No-RAG attains an end-to-end headline accuracy of 77.99% (560/718), while RAG at </w:t>
      </w:r>
      <w:r>
        <w:rPr>
          <w:rFonts w:ascii="Cambria Math" w:hAnsi="Cambria Math"/>
          <w:i/>
        </w:rPr>
        <w:t>k=10</w:t>
      </w:r>
      <w:r>
        <w:t xml:space="preserve"> achieves 79.53% (571/718, </w:t>
      </w:r>
      <w:r>
        <w:rPr>
          <w:rFonts w:ascii="Cambria Math" w:hAnsi="Cambria Math"/>
          <w:i/>
        </w:rPr>
        <w:t>Δ = +1.53 pp</w:t>
      </w:r>
      <w:r>
        <w:t xml:space="preserve">). A cluster bootstrap 95% confidence interval for </w:t>
      </w:r>
      <w:r>
        <w:rPr>
          <w:rFonts w:ascii="Cambria Math" w:hAnsi="Cambria Math"/>
          <w:i/>
        </w:rPr>
        <w:t>Δ</w:t>
      </w:r>
      <w:r>
        <w:t xml:space="preserve"> yields </w:t>
      </w:r>
      <w:r>
        <w:rPr>
          <w:rFonts w:ascii="Cambria Math" w:hAnsi="Cambria Math"/>
          <w:i/>
        </w:rPr>
        <w:t>[-2.355 pp, +5.300 pp]</w:t>
      </w:r>
      <w:r>
        <w:t xml:space="preserve"> and spans zero (exact two-sided McNemar </w:t>
      </w:r>
      <w:r>
        <w:rPr>
          <w:rFonts w:ascii="Cambria Math" w:hAnsi="Cambria Math"/>
          <w:i/>
        </w:rPr>
        <w:t>p = 0.4223</w:t>
      </w:r>
      <w:r>
        <w:t xml:space="preserve">), establishing no statistically significant accuracy difference on this benchmark. Decoupled error analysis reveals that 80.95% of classification errors at </w:t>
      </w:r>
      <w:r>
        <w:rPr>
          <w:rFonts w:ascii="Cambria Math" w:hAnsi="Cambria Math"/>
          <w:i/>
        </w:rPr>
        <w:t>k=10</w:t>
      </w:r>
      <w:r>
        <w:t xml:space="preserve"> (119/147) occur in the retrieval miss branch, where conditional accuracy drops from </w:t>
      </w:r>
      <w:r>
        <w:rPr>
          <w:rFonts w:ascii="Cambria Math" w:hAnsi="Cambria Math"/>
          <w:i/>
        </w:rPr>
        <w:t>P(Correct) = 91.28%</w:t>
      </w:r>
      <w:r>
        <w:t xml:space="preserve"> (293/321) to </w:t>
      </w:r>
      <w:r>
        <w:rPr>
          <w:rFonts w:ascii="Cambria Math" w:hAnsi="Cambria Math"/>
          <w:i/>
        </w:rPr>
        <w:t>P(Correct) = 70.03%</w:t>
      </w:r>
      <w:r>
        <w:t xml:space="preserve"> (278/397). Standalone retrieval diagnostics show </w:t>
      </w:r>
      <w:r>
        <w:rPr>
          <w:rFonts w:ascii="Cambria Math" w:hAnsi="Cambria Math"/>
          <w:i/>
        </w:rPr>
        <w:t>Hit@1 = 4.23%</w:t>
      </w:r>
      <w:r>
        <w:t xml:space="preserve"> and </w:t>
      </w:r>
      <w:r>
        <w:rPr>
          <w:rFonts w:ascii="Cambria Math" w:hAnsi="Cambria Math"/>
          <w:i/>
        </w:rPr>
        <w:t>Hit@10 = 45.11%</w:t>
      </w:r>
      <w:r>
        <w:t>, with no ground-truth technique retrieved within Top-10 in 54.89% of positive views;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during unmapped sweeps), settling at USD 6.57575890 (USD 6.62839900 total committed spend inclusive of USD 0.05264010 pilot hold) under the authorized USD 19.99 budget ceiling (USD 13.36 uncommitted budget remaining).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w:r>
        <w:rPr>
          <w:rFonts w:ascii="Cambria Math" w:hAnsi="Cambria Math"/>
          <w:i/>
        </w:rPr>
        <w:t>GT ∉ Top-k</w:t>
      </w:r>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w:r>
        <w:rPr>
          <w:rFonts w:ascii="Cambria Math" w:hAnsi="Cambria Math"/>
          <w:i/>
        </w:rPr>
        <w:t>GT ∉ Top-k</w:t>
      </w:r>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r>
        <w:rPr>
          <w:i/>
        </w:rPr>
        <w:t>Table 1a: Multi-Dimensional Comparator Matrix Grounded in Primary Evidence (Part 1: Comparators 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Yang &amp; Hsu (2026) [7]</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Adediran et al. (2026) [10]</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CAM-LDS (Landauer et al., 2026) [8]</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TechniqueRAG (Lekssays et al., 2025) [5]</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process trees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JSON events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system logs (auditd, syslog) + IDS alerts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 Multi-source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Malicious behavior detection &amp; explanation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Cloud threat detection &amp; ATT&amp;CK mapping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Benchmark log interpretation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&amp; sub-technique annotation</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Behavior explanation (Exact ID 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Collapses sub-techniques to parent (</w:t>
            </w:r>
            <w:r>
              <w:rPr>
                <w:rFonts w:ascii="Consolas" w:hAnsi="Consolas"/>
                <w:color w:val="8A1F11"/>
                <w:sz w:val="14"/>
              </w:rPr>
              <w:t>Txxxx</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Semantic matching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Two-step query expansion RAG (Vertex AI)</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(Zero-shot prompting)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Exemplar retrieval (BM25 + DeepSeek v3 rerank)</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Security templates &amp; attack patterns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Cloud, AWS catalogue, threat blogs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Annotated text-label pairs (TRAM, Procedures)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(Mistral, phi-2, TinyLlama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(Gemini 2.5 Pro baseline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w:t>
            </w:r>
            <w:r>
              <w:rPr>
                <w:i/>
                <w:color w:val="24292F"/>
                <w:sz w:val="16"/>
              </w:rPr>
              <w:t>only</w:t>
            </w:r>
            <w:r>
              <w:rPr>
                <w:color w:val="24292F"/>
                <w:sz w:val="16"/>
              </w:rPr>
              <w:t xml:space="preserve"> zero-shot (no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(Zero-shot and fine-tuned w/o RAG)</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 (full text unavailable)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w:t>
            </w:r>
            <w:r>
              <w:rPr>
                <w:color w:val="24292F"/>
                <w:sz w:val="16"/>
              </w:rPr>
              <w:t xml:space="preserve"> (Numeric k NOT REPORTED; ablation deferred)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output cutoff </w:t>
            </w:r>
            <w:r>
              <w:rPr>
                <w:rFonts w:ascii="Cambria Math" w:hAnsi="Cambria Math"/>
                <w:i/>
                <w:color w:val="24292F"/>
                <w:sz w:val="16"/>
              </w:rPr>
              <w:t>k</w:t>
            </w:r>
            <w:r>
              <w:rPr>
                <w:color w:val="24292F"/>
                <w:sz w:val="16"/>
              </w:rPr>
              <w:t>, not retriever depth</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(Generation gap only)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P/R/F1 on ranking; standalone Hit@k NOT REPORTED</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Qualitative error categorization (26.3% vs 60% gap)*</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generator vs retriever errors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Notes </w:t>
            </w:r>
            <w:r>
              <w:rPr>
                <w:rFonts w:ascii="Consolas" w:hAnsi="Consolas"/>
                <w:color w:val="8A1F11"/>
                <w:sz w:val="14"/>
              </w:rPr>
              <w:t>stratus-red-team</w:t>
            </w:r>
            <w:r>
              <w:rPr>
                <w:color w:val="24292F"/>
                <w:sz w:val="16"/>
              </w:rPr>
              <w:t xml:space="preserve"> agent in raw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Strips explicit ATT&amp;CK labels/tactics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no detector rule metadata</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phi-2, TinyLlama-1.1B</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Gemini 2.5 Pro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GPT-5.5, Llama-3-70B, Mixtral, Command R+</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Ministral-8B (fine-tuned)</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F1, False Positive Rate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Accuracy, Precision, Recall, F1, Latency, Cost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Rank, P@k, Recall@k, MRR</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Macro-F1, Micro-F1</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Attack samples + benign process trees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200 AWS CloudTrail events (122 mal / 78 ben)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7 scenarios, 198 log steps, 18 sources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TRAM, Procedures, Expert CTI datasets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Sysmon logs + matched No-RAG/RAG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Controlled No-RAG vs RAG on telemetry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Exact technique prediction from command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RAG with retrieval quality analysis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Binary detection; process tree heuristics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API; two-step Vertex RAG</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Zero-shot only (no RAG); Linux focus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fine-tunes generator</w:t>
            </w:r>
          </w:p>
        </w:tc>
      </w:tr>
    </w:tbl>
    <w:p>
      <w:pPr>
        <w:spacing w:after="120"/>
      </w:pPr>
    </w:p>
    <w:p>
      <w:r>
        <w:rPr>
          <w:i/>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H-TechniqueRAG (Morbiato et al., 2026) [6]</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Trace2ATT&amp;CK (Lupinacci et al., 2026) [11]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Okuma et al. (2023) [9]</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LADE (Gwak et al., 2026/2027) [12]</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RAG2ATTCK (This Work)</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event logs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Chronological command/script traces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telemetry (Sysmon / Security logs)</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host OS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Enterprise</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annotation &amp; context routing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telemetry to ATT&amp;CK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log-to-technique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APT detection &amp; TTP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ATT&amp;CK Technique / Sub-technique attribution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Tactic </w:t>
            </w:r>
            <w:r>
              <w:rPr>
                <w:rFonts w:ascii="Cambria Math" w:hAnsi="Cambria Math"/>
                <w:i/>
                <w:color w:val="24292F"/>
                <w:sz w:val="16"/>
              </w:rPr>
              <w:t>→</w:t>
            </w:r>
            <w:r>
              <w:rPr>
                <w:color w:val="24292F"/>
                <w:sz w:val="16"/>
              </w:rPr>
              <w:t xml:space="preserve"> Technique hierarchy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&amp; Sub-technique candidates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level (</w:t>
            </w:r>
            <w:r>
              <w:rPr>
                <w:rFonts w:ascii="Consolas" w:hAnsi="Consolas"/>
                <w:color w:val="8A1F11"/>
                <w:sz w:val="14"/>
              </w:rPr>
              <w:t>Txxxx</w:t>
            </w:r>
            <w:r>
              <w:rPr>
                <w:color w:val="24292F"/>
                <w:sz w:val="16"/>
              </w:rPr>
              <w: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candidates (Top-1/3/10)</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Technique &amp; Sub-technique (</w:t>
            </w:r>
            <w:r>
              <w:rPr>
                <w:rFonts w:ascii="Consolas" w:hAnsi="Consolas"/>
                <w:color w:val="8A1F11"/>
                <w:sz w:val="14"/>
              </w:rPr>
              <w:t>Txxxx.yyy</w:t>
            </w:r>
            <w:r>
              <w:rPr>
                <w:b/>
                <w:color w:val="24292F"/>
                <w:sz w:val="16"/>
              </w:rPr>
              <w: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Hierarchical dense RAG (FAISS IVF)</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Dense chunk retrieval (Chroma + MMR)</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(Rule-based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(Rubric prompting with static ATT&amp;CK text)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Dense semantic RAG (FAISS IndexFlatIP cosine)</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(CTI-RCM, TRAM, MITRE)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KB (800-word chunks)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Official ATT&amp;CK Enterprise v19.2 (474 active Windows docs)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Flat RAG vs. Hierarchical RAG (no raw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(Prompting baseline w/o RAG)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(Heuristic only)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ablation)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(Strictly matched gpt-5.6-luna w/o RAG)</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(Tactic depth </w:t>
            </w:r>
            <w:r>
              <w:rPr>
                <w:rFonts w:ascii="Cambria Math" w:hAnsi="Cambria Math"/>
                <w:i/>
                <w:color w:val="24292F"/>
                <w:sz w:val="16"/>
              </w:rPr>
              <w:t>M=3</w:t>
            </w:r>
            <w:r>
              <w:rPr>
                <w:color w:val="24292F"/>
                <w:sz w:val="16"/>
              </w:rPr>
              <w:t>, max 15 tech/tactic)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Fixed retriever depth (5 chunks), output cutoff 5</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Output cutoff </w:t>
            </w:r>
            <w:r>
              <w:rPr>
                <w:rFonts w:ascii="Cambria Math" w:hAnsi="Cambria Math"/>
                <w:i/>
                <w:color w:val="24292F"/>
                <w:sz w:val="16"/>
              </w:rPr>
              <w:t>k ∈ {1, 3, 10}</w:t>
            </w:r>
            <w:r>
              <w:rPr>
                <w:color w:val="24292F"/>
                <w:sz w:val="16"/>
              </w:rPr>
              <w:t>, not retriever depth</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w:t>
            </w:r>
            <w:r>
              <w:rPr>
                <w:rFonts w:ascii="Cambria Math" w:hAnsi="Cambria Math"/>
                <w:b/>
                <w:i/>
                <w:color w:val="24292F"/>
                <w:sz w:val="16"/>
              </w:rPr>
              <w:t>k ∈ {1, 3, 5, 10}</w:t>
            </w:r>
            <w:r>
              <w:rPr>
                <w:b/>
                <w:color w:val="24292F"/>
                <w:sz w:val="16"/>
              </w:rPr>
              <w:t xml:space="preserve"> systematically ablated)</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standalone Recall@k NOT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(End-to-end HR@5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(Hit@k, Recall@k, Median Rank explicitly reported)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distractor impact in flat vs hierarchical</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(End-to-end system evaluation)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Independent axes with overlaps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curated benchmarks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syscalls; no detector rule metadata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Simulation metadata used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Script command lines analyzed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Strict field whitelist; detector rules/labels purged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Llama-3-8B-Instruct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Llama-3-8B, CodeLlama, etc.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algorithm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GPT-4, Claude-3-Opus, Llama-3-70B</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OpenAI gpt-5.6-luna (xhigh reasoning effort)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Latency, API calls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HR@5, MRR@5, NDCG@5</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Mapping accuracy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F1, HR/MRR/NDCG @ 3, 10</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End-to-End Accuracy, 474-class Macro-F1, Recall@k</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1,200 CTI-RCM + 2,800 MITRE + 450 TRAM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347 Linux Atomic Red Team executions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Atomic Red Team Sysmon logs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AVIATOR (35 attack / 32 benign sequences)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1,280 paired synthetic views (640 scenario pairs)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Investigating retrieval depth &amp; distractor noise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Telemetry-to-ATT&amp;CK mapping comparing RAG/prompt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Host command execution traces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Integrates telemetry, exact attribution, depth ablation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hierarchical routing</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 no depth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Non-LLM rule heuristic from 2023</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small sample (35 seqs)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logs + exact ID + depth ablation + error split</w:t>
            </w:r>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w:r>
        <w:rPr>
          <w:rFonts w:ascii="Cambria Math" w:hAnsi="Cambria Math"/>
          <w:i/>
        </w:rPr>
        <w:t>149 + 12 = 161</w:t>
      </w:r>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w:r>
        <w:rPr>
          <w:rFonts w:ascii="Cambria Math" w:hAnsi="Cambria Math"/>
          <w:i/>
        </w:rPr>
        <w:t>278 × 2 = 556</w:t>
      </w:r>
      <w:r>
        <w:t xml:space="preserve"> views); exactly </w:t>
      </w:r>
      <w:r>
        <w:rPr>
          <w:b/>
        </w:rPr>
        <w:t>162 pairs</w:t>
      </w:r>
      <w:r>
        <w:t xml:space="preserve"> possess valid ground truth on </w:t>
      </w:r>
      <w:r>
        <w:rPr>
          <w:i/>
        </w:rPr>
        <w:t>only</w:t>
      </w:r>
      <w:r>
        <w:t xml:space="preserve"> the contextual view (</w:t>
      </w:r>
      <w:r>
        <w:rPr>
          <w:rFonts w:ascii="Cambria Math" w:hAnsi="Cambria Math"/>
          <w:i/>
        </w:rPr>
        <w:t>162 × 1 = 162</w:t>
      </w:r>
      <w:r>
        <w:t xml:space="preserve"> views; single view unmapped/ambiguous); and exactly </w:t>
      </w:r>
      <w:r>
        <w:rPr>
          <w:b/>
        </w:rPr>
        <w:t>200 pairs</w:t>
      </w:r>
      <w:r>
        <w:t xml:space="preserve"> possess valid ground truth on </w:t>
      </w:r>
      <w:r>
        <w:rPr>
          <w:i/>
        </w:rPr>
        <w:t>neither</w:t>
      </w:r>
      <w:r>
        <w:t xml:space="preserve"> view (</w:t>
      </w:r>
      <w:r>
        <w:rPr>
          <w:rFonts w:ascii="Cambria Math" w:hAnsi="Cambria Math"/>
          <w:i/>
        </w:rPr>
        <w:t>200 × 2 = 400</w:t>
      </w:r>
      <w:r>
        <w:t xml:space="preserve"> views). Together, </w:t>
      </w:r>
      <w:r>
        <w:rPr>
          <w:rFonts w:ascii="Cambria Math" w:hAnsi="Cambria Math"/>
          <w:i/>
        </w:rPr>
        <w:t>556 + 162 = 718</w:t>
      </w:r>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resolves fourteen core scientific policies (D1–D7):</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w:r>
        <w:rPr>
          <w:rFonts w:ascii="Cambria Math" w:hAnsi="Cambria Math"/>
          <w:i/>
        </w:rPr>
        <w:t>(initial × factor^attempt, max_delay)</w:t>
      </w:r>
      <w:r>
        <w:t>).</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w:r>
        <w:rPr>
          <w:rFonts w:ascii="Cambria Math" w:hAnsi="Cambria Math"/>
          <w:i/>
        </w:rPr>
        <w:t>≤ 272,000</w:t>
      </w:r>
      <w:r>
        <w:rPr>
          <w:i/>
        </w:rPr>
        <w:t xml:space="preserve"> tokens):</w:t>
      </w:r>
    </w:p>
    <w:p>
      <w:pPr>
        <w:pStyle w:val="ListBullet"/>
        <w:spacing w:after="40" w:line="276" w:lineRule="auto"/>
      </w:pPr>
      <w:r>
        <w:t>Input: USD 0.20 per 1,000,000 tokens (</w:t>
      </w:r>
      <w:r>
        <w:rPr>
          <w:rFonts w:ascii="Cambria Math" w:hAnsi="Cambria Math"/>
          <w:i/>
        </w:rPr>
        <w:t>0.20/M</w:t>
      </w:r>
      <w:r>
        <w:t>).</w:t>
      </w:r>
    </w:p>
    <w:p>
      <w:pPr>
        <w:pStyle w:val="ListBullet"/>
        <w:spacing w:after="40" w:line="276" w:lineRule="auto"/>
      </w:pPr>
      <w:r>
        <w:t>Cache Read: USD 0.02 per 1,000,000 tokens (</w:t>
      </w:r>
      <w:r>
        <w:rPr>
          <w:rFonts w:ascii="Cambria Math" w:hAnsi="Cambria Math"/>
          <w:i/>
        </w:rPr>
        <w:t>0.02/M</w:t>
      </w:r>
      <w:r>
        <w:t>).</w:t>
      </w:r>
    </w:p>
    <w:p>
      <w:pPr>
        <w:pStyle w:val="ListBullet"/>
        <w:spacing w:after="40" w:line="276" w:lineRule="auto"/>
      </w:pPr>
      <w:r>
        <w:t>Cache Write: USD 0.25 per 1,000,000 tokens (</w:t>
      </w:r>
      <w:r>
        <w:rPr>
          <w:rFonts w:ascii="Cambria Math" w:hAnsi="Cambria Math"/>
          <w:i/>
        </w:rPr>
        <w:t>0.25/M</w:t>
      </w:r>
      <w:r>
        <w:t>).</w:t>
      </w:r>
    </w:p>
    <w:p>
      <w:pPr>
        <w:pStyle w:val="ListBullet"/>
        <w:spacing w:after="40" w:line="276" w:lineRule="auto"/>
      </w:pPr>
      <w:r>
        <w:t>Output: USD 1.20 per 1,000,000 tokens (</w:t>
      </w:r>
      <w:r>
        <w:rPr>
          <w:rFonts w:ascii="Cambria Math" w:hAnsi="Cambria Math"/>
          <w:i/>
        </w:rPr>
        <w:t>1.20/M</w:t>
      </w:r>
      <w:r>
        <w:t>, inclusive of internal reasoning tokens).</w:t>
      </w:r>
    </w:p>
    <w:p>
      <w:pPr>
        <w:pStyle w:val="ListBullet"/>
        <w:spacing w:after="40" w:line="276" w:lineRule="auto"/>
      </w:pPr>
      <w:r>
        <w:rPr>
          <w:i/>
        </w:rPr>
        <w:t>Long Context (</w:t>
      </w:r>
      <w:r>
        <w:rPr>
          <w:rFonts w:ascii="Cambria Math" w:hAnsi="Cambria Math"/>
          <w:i/>
        </w:rPr>
        <w:t>&gt; 272,000</w:t>
      </w:r>
      <w:r>
        <w:rPr>
          <w:i/>
        </w:rPr>
        <w:t xml:space="preserve"> tokens):</w:t>
      </w:r>
    </w:p>
    <w:p>
      <w:pPr>
        <w:pStyle w:val="ListBullet"/>
        <w:spacing w:after="40" w:line="276" w:lineRule="auto"/>
      </w:pPr>
      <w:r>
        <w:t>Input: USD 0.40 per 1,000,000 tokens (</w:t>
      </w:r>
      <w:r>
        <w:rPr>
          <w:rFonts w:ascii="Cambria Math" w:hAnsi="Cambria Math"/>
          <w:i/>
        </w:rPr>
        <w:t>0.40/M</w:t>
      </w:r>
      <w:r>
        <w:t>).</w:t>
      </w:r>
    </w:p>
    <w:p>
      <w:pPr>
        <w:pStyle w:val="ListBullet"/>
        <w:spacing w:after="40" w:line="276" w:lineRule="auto"/>
      </w:pPr>
      <w:r>
        <w:t>Cache Read: USD 0.04 per 1,000,000 tokens (</w:t>
      </w:r>
      <w:r>
        <w:rPr>
          <w:rFonts w:ascii="Cambria Math" w:hAnsi="Cambria Math"/>
          <w:i/>
        </w:rPr>
        <w:t>0.04/M</w:t>
      </w:r>
      <w:r>
        <w:t>).</w:t>
      </w:r>
    </w:p>
    <w:p>
      <w:pPr>
        <w:pStyle w:val="ListBullet"/>
        <w:spacing w:after="40" w:line="276" w:lineRule="auto"/>
      </w:pPr>
      <w:r>
        <w:t>Cache Write: USD 0.50 per 1,000,000 tokens (</w:t>
      </w:r>
      <w:r>
        <w:rPr>
          <w:rFonts w:ascii="Cambria Math" w:hAnsi="Cambria Math"/>
          <w:i/>
        </w:rPr>
        <w:t>0.50/M</w:t>
      </w:r>
      <w:r>
        <w:t>).</w:t>
      </w:r>
    </w:p>
    <w:p>
      <w:pPr>
        <w:pStyle w:val="ListBullet"/>
        <w:spacing w:after="40" w:line="276" w:lineRule="auto"/>
      </w:pPr>
      <w:r>
        <w:t>Output: USD 1.80 per 1,000,000 tokens (</w:t>
      </w:r>
      <w:r>
        <w:rPr>
          <w:rFonts w:ascii="Cambria Math" w:hAnsi="Cambria Math"/>
          <w:i/>
        </w:rPr>
        <w:t>1.80/M</w:t>
      </w:r>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Before each dispatch attempt, the runner places a worst-case reservation (USD 0.53974560) against the budget ledger. Upon successful completion, the reservation is released and the actual spend is settled based on exact metered prompt, cached, and output tokens using the frozen tariff table.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w:r>
        <w:rPr>
          <w:rFonts w:ascii="Cambria Math" w:hAnsi="Cambria Math"/>
          <w:i/>
        </w:rPr>
        <w:t>C</w:t>
      </w:r>
      <w:r>
        <w:t xml:space="preserve"> (</w:t>
      </w:r>
      <w:r>
        <w:rPr>
          <w:rFonts w:ascii="Cambria Math" w:hAnsi="Cambria Math"/>
          <w:i/>
        </w:rPr>
        <w:t>|C| = 474</w:t>
      </w:r>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w:r>
        <w:rPr>
          <w:rFonts w:ascii="Cambria Math" w:hAnsi="Cambria Math"/>
          <w:i/>
        </w:rPr>
        <w:t>F1_c = 0.0</w:t>
      </w:r>
      <w:r>
        <w:t xml:space="preserve">), the unweighted macro average is heavily dominated by unsupported classes, yielding baseline Macro-F1 scores around </w:t>
      </w:r>
      <w:r>
        <w:rPr>
          <w:rFonts w:ascii="Cambria Math" w:hAnsi="Cambria Math"/>
          <w:i/>
        </w:rPr>
        <w:t>~ 0.013</w:t>
      </w:r>
      <w:r>
        <w:t>. To adhere to strict reproducibility and protocol commitments, we explicitly report this support concentration and retain the frozen 474-class denominator without post-hoc class subset re-normalization or ad-hoc metric re-scaling.</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ground-truth technique was absent from retrieved candidates, and the LLM emitted an incorrect prediction).</w:t>
      </w:r>
    </w:p>
    <w:p>
      <w:pPr>
        <w:pStyle w:val="Heading3"/>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w:r>
        <w:rPr>
          <w:rFonts w:ascii="Cambria Math" w:hAnsi="Cambria Math"/>
          <w:i/>
        </w:rPr>
        <w:t>Y_i ∩ Top-k = ∅</w:t>
      </w:r>
      <w:r>
        <w:t xml:space="preserve"> denotes that no ground-truth technique was fetched within the Top-</w:t>
      </w:r>
      <w:r>
        <w:rPr>
          <w:rFonts w:ascii="Cambria Math" w:hAnsi="Cambria Math"/>
          <w:i/>
        </w:rPr>
        <w:t>k</w:t>
      </w:r>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w:r>
        <w:rPr>
          <w:rFonts w:ascii="Cambria Math" w:hAnsi="Cambria Math"/>
          <w:i/>
        </w:rPr>
        <w:t>Y_i ∩ Top-k = ∅ ∧ ŷ_i ∈ Y_i</w:t>
      </w:r>
      <w:r>
        <w:t>), this identifies instances where the model outputs the ground-truth attribution without that specific technique identifier appearing in the retrieved Top-</w:t>
      </w:r>
      <w:r>
        <w:rPr>
          <w:rFonts w:ascii="Cambria Math" w:hAnsi="Cambria Math"/>
          <w:i/>
        </w:rPr>
        <w:t>k</w:t>
      </w:r>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spacing w:before="280" w:after="120"/>
      </w:pPr>
      <w:r>
        <w:rPr>
          <w:rFonts w:ascii="Georgia" w:hAnsi="Georgia"/>
          <w:b/>
          <w:color w:val="0A2540"/>
          <w:sz w:val="28"/>
        </w:rPr>
        <w:t>6. Empirical Results and Diagnostic Analysis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r>
        <w:rPr>
          <w:i/>
        </w:rPr>
        <w:t>Table 2a: Primary Attribution Performance and Ground-Truth Complexity Across Conditions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Retrieval Depth (</w:t>
            </w:r>
            <w:r>
              <w:rPr>
                <w:rFonts w:ascii="Cambria Math" w:hAnsi="Cambria Math"/>
                <w:b/>
                <w:i/>
                <w:color w:val="FFFFFF"/>
                <w:sz w:val="15"/>
              </w:rPr>
              <w:t>k</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Scorable Views (</w:t>
            </w:r>
            <w:r>
              <w:rPr>
                <w:rFonts w:ascii="Cambria Math" w:hAnsi="Cambria Math"/>
                <w:b/>
                <w:i/>
                <w:color w:val="FFFFFF"/>
                <w:sz w:val="15"/>
              </w:rPr>
              <w:t>N</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Headline Accuracy (</w:t>
            </w:r>
            <w:r>
              <w:rPr>
                <w:rFonts w:ascii="Cambria Math" w:hAnsi="Cambria Math"/>
                <w:b/>
                <w:i/>
                <w:color w:val="FFFFFF"/>
                <w:sz w:val="15"/>
              </w:rPr>
              <w:t>Acc_e2e</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Valid Accuracy (</w:t>
            </w:r>
            <w:r>
              <w:rPr>
                <w:rFonts w:ascii="Cambria Math" w:hAnsi="Cambria Math"/>
                <w:b/>
                <w:i/>
                <w:color w:val="FFFFFF"/>
                <w:sz w:val="15"/>
              </w:rPr>
              <w:t>Acc_valid</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474-Class Macro F1</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Single-GT Acc (</w:t>
            </w:r>
            <w:r>
              <w:rPr>
                <w:rFonts w:ascii="Cambria Math" w:hAnsi="Cambria Math"/>
                <w:b/>
                <w:i/>
                <w:color w:val="FFFFFF"/>
                <w:sz w:val="15"/>
              </w:rPr>
              <w:t>N=678</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Multi-GT Acc (</w:t>
            </w:r>
            <w:r>
              <w:rPr>
                <w:rFonts w:ascii="Cambria Math" w:hAnsi="Cambria Math"/>
                <w:b/>
                <w:i/>
                <w:color w:val="FFFFFF"/>
                <w:sz w:val="15"/>
              </w:rPr>
              <w:t>N=40</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Complexity </w:t>
            </w:r>
            <w:r>
              <w:rPr>
                <w:rFonts w:ascii="Cambria Math" w:hAnsi="Cambria Math"/>
                <w:b/>
                <w:i/>
                <w:color w:val="FFFFFF"/>
                <w:sz w:val="15"/>
              </w:rPr>
              <w:t>Δ</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2852971"/>
            <wp:docPr id="1" name="Picture 1"/>
            <wp:cNvGraphicFramePr>
              <a:graphicFrameLocks noChangeAspect="1"/>
            </wp:cNvGraphicFramePr>
            <a:graphic>
              <a:graphicData uri="http://schemas.openxmlformats.org/drawingml/2006/picture">
                <pic:pic>
                  <pic:nvPicPr>
                    <pic:cNvPr id="0" name="canonical_rq1_accuracy_and_macro.png"/>
                    <pic:cNvPicPr/>
                  </pic:nvPicPr>
                  <pic:blipFill>
                    <a:blip r:embed="rId9"/>
                    <a:stretch>
                      <a:fillRect/>
                    </a:stretch>
                  </pic:blipFill>
                  <pic:spPr>
                    <a:xfrm>
                      <a:off x="0" y="0"/>
                      <a:ext cx="5715000" cy="2852971"/>
                    </a:xfrm>
                    <a:prstGeom prst="rect"/>
                  </pic:spPr>
                </pic:pic>
              </a:graphicData>
            </a:graphic>
          </wp:inline>
        </w:drawing>
      </w:r>
    </w:p>
    <w:p>
      <w:pPr>
        <w:spacing w:before="40" w:after="200"/>
        <w:jc w:val="center"/>
      </w:pPr>
      <w:r>
        <w:rPr>
          <w:i/>
          <w:color w:val="57606A"/>
          <w:sz w:val="19"/>
        </w:rPr>
        <w:t>Figure 1: Headline Attribution Accuracy (</w:t>
      </w:r>
      <w:r>
        <w:rPr>
          <w:rFonts w:ascii="Cambria Math" w:hAnsi="Cambria Math"/>
          <w:i/>
          <w:color w:val="57606A"/>
          <w:sz w:val="19"/>
        </w:rPr>
        <w:t>Acc_e2e</w:t>
      </w:r>
      <w:r>
        <w:rPr>
          <w:i/>
          <w:color w:val="57606A"/>
          <w:sz w:val="19"/>
        </w:rPr>
        <w:t>) with 95% Bootstrap Confidence Intervals and 474-Class Macro-F1 across Retrieval Depths (</w:t>
      </w:r>
      <w:r>
        <w:rPr>
          <w:rFonts w:ascii="Cambria Math" w:hAnsi="Cambria Math"/>
          <w:i/>
          <w:color w:val="57606A"/>
          <w:sz w:val="19"/>
        </w:rPr>
        <w:t>k ∈ {0, 1, 3, 5, 10}</w:t>
      </w:r>
      <w:r>
        <w:rPr>
          <w:i/>
          <w:color w:val="57606A"/>
          <w:sz w:val="19"/>
        </w:rPr>
        <w:t>).</w:t>
      </w:r>
    </w:p>
    <w:p>
      <w:r>
        <w:rPr>
          <w:i/>
        </w:rPr>
        <w:t>Table 2b: Attribution Diagnostic Metrics Across Experimental Conditions (Schema).</w:t>
      </w:r>
    </w:p>
    <w:tbl>
      <w:tblPr>
        <w:tblW w:type="auto" w:w="0"/>
        <w:jc w:val="center"/>
        <w:tblLayout w:type="fixed"/>
        <w:tblLook w:firstColumn="1" w:firstRow="1" w:lastColumn="0" w:lastRow="0" w:noHBand="0" w:noVBand="1" w:val="04A0"/>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Parse Failures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ATT&amp;CK IDs</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3"/>
        <w:spacing w:before="160" w:after="40"/>
      </w:pPr>
      <w:r>
        <w:rPr>
          <w:rFonts w:ascii="Calibri" w:hAnsi="Calibri"/>
          <w:b/>
          <w:i/>
          <w:color w:val="333344"/>
          <w:sz w:val="22"/>
        </w:rPr>
        <w:t>Comparative Attribution Efficacy and Statistical Significance Boundaries</w:t>
      </w:r>
    </w:p>
    <w:p>
      <w:r>
        <w:t xml:space="preserve">Across the {{SCORABLE_VIEWS_N}} scorable mapped positive TEST views, retrieval depth </w:t>
      </w:r>
      <w:r>
        <w:rPr>
          <w:rFonts w:ascii="Cambria Math" w:hAnsi="Cambria Math"/>
          <w:i/>
        </w:rPr>
        <w:t>k=10</w:t>
      </w:r>
      <w:r>
        <w:t xml:space="preserve"> (</w:t>
      </w:r>
      <w:r>
        <w:rPr>
          <w:rFonts w:ascii="Consolas" w:hAnsi="Consolas"/>
          <w:color w:val="8A1F11"/>
          <w:sz w:val="19"/>
        </w:rPr>
        <w:t>rag_k10</w:t>
      </w:r>
      <w:r>
        <w:t>) achieved the highest observed point estimate for headline attribution accuracy under uncertainty (</w:t>
      </w:r>
      <w:r>
        <w:rPr>
          <w:rFonts w:ascii="Cambria Math" w:hAnsi="Cambria Math"/>
          <w:i/>
        </w:rPr>
        <w:t>{{RQ1_K10_ACC_E2E}}</w:t>
      </w:r>
      <w:r>
        <w:t>, {{RQ1_K10_CORRECT_COUNT}}/{{SCORABLE_VIEWS_N}} correct) compared to the unaugmented baseline (</w:t>
      </w:r>
      <w:r>
        <w:rPr>
          <w:rFonts w:ascii="Consolas" w:hAnsi="Consolas"/>
          <w:color w:val="8A1F11"/>
          <w:sz w:val="19"/>
        </w:rPr>
        <w:t>no_rag</w:t>
      </w:r>
      <w:r>
        <w:t xml:space="preserve">: </w:t>
      </w:r>
      <w:r>
        <w:rPr>
          <w:rFonts w:ascii="Cambria Math" w:hAnsi="Cambria Math"/>
          <w:i/>
        </w:rPr>
        <w:t>{{RQ1_NO_RAG_ACC_E2E}}</w:t>
      </w:r>
      <w:r>
        <w:t xml:space="preserve">, {{RQ1_NO_RAG_CORRECT_COUNT}}/{{SCORABLE_VIEWS_N}} correct), representing an observed point difference of </w:t>
      </w:r>
      <w:r>
        <w:rPr>
          <w:rFonts w:ascii="Cambria Math" w:hAnsi="Cambria Math"/>
          <w:i/>
        </w:rPr>
        <w:t>Δ = {{RQ1_K10_DELTA_PP}} percentage points</w:t>
      </w:r>
      <w:r>
        <w:t xml:space="preserve"> ({{RQ1_K10_NET_VIEWS}} net views). Intermediate retrieval depths exhibited comparable or slightly reduced point estimates: </w:t>
      </w:r>
      <w:r>
        <w:rPr>
          <w:rFonts w:ascii="Cambria Math" w:hAnsi="Cambria Math"/>
          <w:i/>
        </w:rPr>
        <w:t>{{RQ1_K1_ACC_E2E}}</w:t>
      </w:r>
      <w:r>
        <w:t xml:space="preserve"> for </w:t>
      </w:r>
      <w:r>
        <w:rPr>
          <w:rFonts w:ascii="Cambria Math" w:hAnsi="Cambria Math"/>
          <w:i/>
        </w:rPr>
        <w:t>k=1</w:t>
      </w:r>
      <w:r>
        <w:t xml:space="preserve"> ({{RQ1_K1_CORRECT_COUNT}}/{{SCORABLE_VIEWS_N}}, </w:t>
      </w:r>
      <w:r>
        <w:rPr>
          <w:rFonts w:ascii="Cambria Math" w:hAnsi="Cambria Math"/>
          <w:i/>
        </w:rPr>
        <w:t>Δ = {{RQ1_K1_DELTA_PP}}</w:t>
      </w:r>
      <w:r>
        <w:t xml:space="preserve">), </w:t>
      </w:r>
      <w:r>
        <w:rPr>
          <w:rFonts w:ascii="Cambria Math" w:hAnsi="Cambria Math"/>
          <w:i/>
        </w:rPr>
        <w:t>{{RQ1_K3_ACC_E2E}}</w:t>
      </w:r>
      <w:r>
        <w:t xml:space="preserve"> for </w:t>
      </w:r>
      <w:r>
        <w:rPr>
          <w:rFonts w:ascii="Cambria Math" w:hAnsi="Cambria Math"/>
          <w:i/>
        </w:rPr>
        <w:t>k=3</w:t>
      </w:r>
      <w:r>
        <w:t xml:space="preserve"> ({{RQ1_K3_CORRECT_COUNT}}/{{SCORABLE_VIEWS_N}}, </w:t>
      </w:r>
      <w:r>
        <w:rPr>
          <w:rFonts w:ascii="Cambria Math" w:hAnsi="Cambria Math"/>
          <w:i/>
        </w:rPr>
        <w:t>Δ = {{RQ1_K3_DELTA_PP}}</w:t>
      </w:r>
      <w:r>
        <w:t xml:space="preserve">), and </w:t>
      </w:r>
      <w:r>
        <w:rPr>
          <w:rFonts w:ascii="Cambria Math" w:hAnsi="Cambria Math"/>
          <w:i/>
        </w:rPr>
        <w:t>{{RQ1_K5_ACC_E2E}}</w:t>
      </w:r>
      <w:r>
        <w:t xml:space="preserve"> for </w:t>
      </w:r>
      <w:r>
        <w:rPr>
          <w:rFonts w:ascii="Cambria Math" w:hAnsi="Cambria Math"/>
          <w:i/>
        </w:rPr>
        <w:t>k=5</w:t>
      </w:r>
      <w:r>
        <w:t xml:space="preserve"> ({{RQ1_K5_CORRECT_COUNT}}/{{SCORABLE_VIEWS_N}}, </w:t>
      </w:r>
      <w:r>
        <w:rPr>
          <w:rFonts w:ascii="Cambria Math" w:hAnsi="Cambria Math"/>
          <w:i/>
        </w:rPr>
        <w:t>Δ = {{RQ1_K5_DELTA_PP}}</w:t>
      </w:r>
      <w:r>
        <w:t>).</w:t>
      </w:r>
    </w:p>
    <w:p>
      <w:r>
        <w:t xml:space="preserve">To rigorously quantify estimation uncertainty, 95% confidence intervals were generated via cluster bootstrap resampling over the {{PAIR_CLUSTERS_COUNT}}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w:r>
        <w:rPr>
          <w:rFonts w:ascii="Cambria Math" w:hAnsi="Cambria Math"/>
          <w:i/>
        </w:rPr>
        <w:t>Δ_k1 = {{RQ1_K1_CI95}}</w:t>
      </w:r>
    </w:p>
    <w:p>
      <w:pPr>
        <w:pStyle w:val="ListBullet"/>
        <w:spacing w:after="40" w:line="276" w:lineRule="auto"/>
      </w:pPr>
      <w:r>
        <w:rPr>
          <w:rFonts w:ascii="Cambria Math" w:hAnsi="Cambria Math"/>
          <w:i/>
        </w:rPr>
        <w:t>Δ_k3 = {{RQ1_K3_CI95}}</w:t>
      </w:r>
    </w:p>
    <w:p>
      <w:pPr>
        <w:pStyle w:val="ListBullet"/>
        <w:spacing w:after="40" w:line="276" w:lineRule="auto"/>
      </w:pPr>
      <w:r>
        <w:rPr>
          <w:rFonts w:ascii="Cambria Math" w:hAnsi="Cambria Math"/>
          <w:i/>
        </w:rPr>
        <w:t>Δ_k5 = {{RQ1_K5_CI95}}</w:t>
      </w:r>
    </w:p>
    <w:p>
      <w:pPr>
        <w:pStyle w:val="ListBullet"/>
        <w:spacing w:after="40" w:line="276" w:lineRule="auto"/>
      </w:pPr>
      <w:r>
        <w:rPr>
          <w:rFonts w:ascii="Cambria Math" w:hAnsi="Cambria Math"/>
          <w:i/>
        </w:rPr>
        <w:t>Δ_k10 = {{RQ1_K10_CI95}}</w:t>
      </w:r>
    </w:p>
    <w:p>
      <w:r>
        <w:t>Pairwise discordant classifications were evaluated using exact McNemar tests at the unclustered view level (</w:t>
      </w:r>
      <w:r>
        <w:rPr>
          <w:rFonts w:ascii="Cambria Math" w:hAnsi="Cambria Math"/>
          <w:i/>
        </w:rPr>
        <w:t>N={{SCORABLE_VIEWS_N}}</w:t>
      </w:r>
      <w:r>
        <w:t xml:space="preserve">), where "exact" designates calculation via the exact two-sided binomial distribution over discordant pairs </w:t>
      </w:r>
      <w:r>
        <w:rPr>
          <w:rFonts w:ascii="Cambria Math" w:hAnsi="Cambria Math"/>
          <w:i/>
        </w:rPr>
        <w:t>(b, c)</w:t>
      </w:r>
      <w:r>
        <w:t xml:space="preserve">. For the </w:t>
      </w:r>
      <w:r>
        <w:rPr>
          <w:rFonts w:ascii="Cambria Math" w:hAnsi="Cambria Math"/>
          <w:i/>
        </w:rPr>
        <w:t>k=10</w:t>
      </w:r>
      <w:r>
        <w:t xml:space="preserve"> condition versus </w:t>
      </w:r>
      <w:r>
        <w:rPr>
          <w:rFonts w:ascii="Consolas" w:hAnsi="Consolas"/>
          <w:color w:val="8A1F11"/>
          <w:sz w:val="19"/>
        </w:rPr>
        <w:t>no_rag</w:t>
      </w:r>
      <w:r>
        <w:t xml:space="preserve">, the contingency counts are: both correct = {{RQ1_K10_MCNEMAR_BOTH_CORRECT}}, </w:t>
      </w:r>
      <w:r>
        <w:rPr>
          <w:rFonts w:ascii="Consolas" w:hAnsi="Consolas"/>
          <w:color w:val="8A1F11"/>
          <w:sz w:val="19"/>
        </w:rPr>
        <w:t>no_rag</w:t>
      </w:r>
      <w:r>
        <w:t xml:space="preserve"> only = {{RQ1_K10_MCNEMAR_NORAG_ONLY}}, </w:t>
      </w:r>
      <w:r>
        <w:rPr>
          <w:rFonts w:ascii="Consolas" w:hAnsi="Consolas"/>
          <w:color w:val="8A1F11"/>
          <w:sz w:val="19"/>
        </w:rPr>
        <w:t>rag_k10</w:t>
      </w:r>
      <w:r>
        <w:t xml:space="preserve"> only = {{RQ1_K10_MCNEMAR_K10_ONLY}}, and both incorrect = {{RQ1_K10_MCNEMAR_BOTH_INCORRECT}}. The resulting exact two-sided binomial test yields </w:t>
      </w:r>
      <w:r>
        <w:rPr>
          <w:rFonts w:ascii="Cambria Math" w:hAnsi="Cambria Math"/>
          <w:i/>
        </w:rPr>
        <w:t>p = {{RQ1_K10_MCNEMAR_P_EXACT}}</w:t>
      </w:r>
      <w:r>
        <w:t xml:space="preserve">. Across all evaluated depths, no statistically significant difference from </w:t>
      </w:r>
      <w:r>
        <w:rPr>
          <w:rFonts w:ascii="Consolas" w:hAnsi="Consolas"/>
          <w:color w:val="8A1F11"/>
          <w:sz w:val="19"/>
        </w:rPr>
        <w:t>no_rag</w:t>
      </w:r>
      <w:r>
        <w:t xml:space="preserve"> is observed (</w:t>
      </w:r>
      <w:r>
        <w:rPr>
          <w:rFonts w:ascii="Cambria Math" w:hAnsi="Cambria Math"/>
          <w:i/>
        </w:rPr>
        <w:t>p={{RQ1_K1_MCNEMAR_P_EXACT}}</w:t>
      </w:r>
      <w:r>
        <w:t xml:space="preserve"> for </w:t>
      </w:r>
      <w:r>
        <w:rPr>
          <w:rFonts w:ascii="Cambria Math" w:hAnsi="Cambria Math"/>
          <w:i/>
        </w:rPr>
        <w:t>k=1</w:t>
      </w:r>
      <w:r>
        <w:t xml:space="preserve">, </w:t>
      </w:r>
      <w:r>
        <w:rPr>
          <w:rFonts w:ascii="Cambria Math" w:hAnsi="Cambria Math"/>
          <w:i/>
        </w:rPr>
        <w:t>p={{RQ1_K3_MCNEMAR_P_EXACT}}</w:t>
      </w:r>
      <w:r>
        <w:t xml:space="preserve"> for </w:t>
      </w:r>
      <w:r>
        <w:rPr>
          <w:rFonts w:ascii="Cambria Math" w:hAnsi="Cambria Math"/>
          <w:i/>
        </w:rPr>
        <w:t>k=3</w:t>
      </w:r>
      <w:r>
        <w:t xml:space="preserve">, </w:t>
      </w:r>
      <w:r>
        <w:rPr>
          <w:rFonts w:ascii="Cambria Math" w:hAnsi="Cambria Math"/>
          <w:i/>
        </w:rPr>
        <w:t>p={{RQ1_K5_MCNEMAR_P_EXACT}}</w:t>
      </w:r>
      <w:r>
        <w:t xml:space="preserve"> for </w:t>
      </w:r>
      <w:r>
        <w:rPr>
          <w:rFonts w:ascii="Cambria Math" w:hAnsi="Cambria Math"/>
          <w:i/>
        </w:rPr>
        <w:t>k=5</w:t>
      </w:r>
      <w:r>
        <w:t xml:space="preserve">, and </w:t>
      </w:r>
      <w:r>
        <w:rPr>
          <w:rFonts w:ascii="Cambria Math" w:hAnsi="Cambria Math"/>
          <w:i/>
        </w:rPr>
        <w:t>p={{RQ1_K10_MCNEMAR_P_EXACT}}</w:t>
      </w:r>
      <w:r>
        <w:t xml:space="preserve"> for </w:t>
      </w:r>
      <w:r>
        <w:rPr>
          <w:rFonts w:ascii="Cambria Math" w:hAnsi="Cambria Math"/>
          <w:i/>
        </w:rPr>
        <w:t>k=10</w:t>
      </w:r>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w:r>
        <w:rPr>
          <w:rFonts w:ascii="Cambria Math" w:hAnsi="Cambria Math"/>
          <w:i/>
        </w:rPr>
        <w:t>k=10</w:t>
      </w:r>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{{COMPLETE_PAIRS_N}} complete scorable pairs.</w:t>
      </w:r>
    </w:p>
    <w:p>
      <w:r>
        <w:rPr>
          <w:i/>
        </w:rPr>
        <w:t>Table 3: Representation Stratification: Single-Event vs. Contextual-Event Views (Schema).</w:t>
      </w:r>
    </w:p>
    <w:tbl>
      <w:tblPr>
        <w:tblW w:type="auto" w:w="0"/>
        <w:jc w:val="center"/>
        <w:tblLayout w:type="fixed"/>
        <w:tblLook w:firstColumn="1" w:firstRow="1" w:lastColumn="0" w:lastRow="0" w:noHBand="0" w:noVBand="1" w:val="04A0"/>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r>
        <w:rPr>
          <w:i/>
        </w:rPr>
        <w:t>Table 3b: Paired Scorable Representation Concordance and McNemar Discordance (</w:t>
      </w:r>
      <w:r>
        <w:rPr>
          <w:rFonts w:ascii="Cambria Math" w:hAnsi="Cambria Math"/>
          <w:i/>
        </w:rPr>
        <w:t>N=278</w:t>
      </w:r>
      <w:r>
        <w:rPr>
          <w:i/>
        </w:rPr>
        <w:t xml:space="preserve"> complete pairs) (Schema).</w:t>
      </w:r>
    </w:p>
    <w:tbl>
      <w:tblPr>
        <w:tblW w:type="auto" w:w="0"/>
        <w:jc w:val="center"/>
        <w:tblLayout w:type="fixed"/>
        <w:tblLook w:firstColumn="1" w:firstRow="1" w:lastColumn="0" w:lastRow="0" w:noHBand="0" w:noVBand="1" w:val="04A0"/>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Complete Pairs (</w:t>
            </w:r>
            <w:r>
              <w:rPr>
                <w:rFonts w:ascii="Cambria Math" w:hAnsi="Cambria Math"/>
                <w:b/>
                <w:i/>
                <w:color w:val="FFFFFF"/>
                <w:sz w:val="15"/>
              </w:rPr>
              <w:t>N</w:t>
            </w:r>
            <w:r>
              <w:rPr>
                <w:b/>
                <w:color w:val="FFFFFF"/>
                <w:sz w:val="15"/>
              </w:rPr>
              <w: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Paired </w:t>
            </w:r>
            <w:r>
              <w:rPr>
                <w:rFonts w:ascii="Cambria Math" w:hAnsi="Cambria Math"/>
                <w:b/>
                <w:i/>
                <w:color w:val="FFFFFF"/>
                <w:sz w:val="15"/>
              </w:rPr>
              <w:t>Δ</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Incorrect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McNemar </w:t>
            </w:r>
            <w:r>
              <w:rPr>
                <w:rFonts w:ascii="Cambria Math" w:hAnsi="Cambria Math"/>
                <w:b/>
                <w:i/>
                <w:color w:val="FFFFFF"/>
                <w:sz w:val="15"/>
              </w:rPr>
              <w:t>p_exact</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pStyle w:val="Heading3"/>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{{COMPLETE_PAIRS_N}}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w:r>
        <w:rPr>
          <w:rFonts w:ascii="Cambria Math" w:hAnsi="Cambria Math"/>
          <w:i/>
        </w:rPr>
        <w:t>{{NO_RAG_CTX_PAIRED_ACC}}</w:t>
      </w:r>
      <w:r>
        <w:t xml:space="preserve"> ({{NO_RAG_CTX_PAIRED_CORRECT}}/{{COMPLETE_PAIRS_N}}) compared to </w:t>
      </w:r>
      <w:r>
        <w:rPr>
          <w:rFonts w:ascii="Cambria Math" w:hAnsi="Cambria Math"/>
          <w:i/>
        </w:rPr>
        <w:t>{{NO_RAG_SINGLE_PAIRED_ACC}}</w:t>
      </w:r>
      <w:r>
        <w:t xml:space="preserve"> ({{NO_RAG_SINGLE_PAIRED_CORRECT}}/{{COMPLETE_PAIRS_N}}) for Single views, yielding an observed paired difference of </w:t>
      </w:r>
      <w:r>
        <w:rPr>
          <w:rFonts w:ascii="Cambria Math" w:hAnsi="Cambria Math"/>
          <w:i/>
        </w:rPr>
        <w:t>Δ = {{NO_RAG_PAIRED_DELTA_PP}}</w:t>
      </w:r>
      <w:r>
        <w:t xml:space="preserve"> ({{NO_RAG_PAIRED_NET_VIEWS}} net views; both correct = {{NO_RAG_PAIRED_BOTH_CORRECT}}, single only = {{NO_RAG_PAIRED_SINGLE_ONLY}}, contextual only = {{NO_RAG_PAIRED_CTX_ONLY}}, both incorrect = {{NO_RAG_PAIRED_BOTH_INCORRECT}}; McNemar </w:t>
      </w:r>
      <w:r>
        <w:rPr>
          <w:rFonts w:ascii="Cambria Math" w:hAnsi="Cambria Math"/>
          <w:i/>
        </w:rPr>
        <w:t>p_exact = {{NO_RAG_VIEW_MCNEMAR_P_EXACT}}</w:t>
      </w:r>
      <w:r>
        <w:t xml:space="preserve">). Under RAG at </w:t>
      </w:r>
      <w:r>
        <w:rPr>
          <w:rFonts w:ascii="Cambria Math" w:hAnsi="Cambria Math"/>
          <w:i/>
        </w:rPr>
        <w:t>k=1</w:t>
      </w:r>
      <w:r>
        <w:t xml:space="preserve">, Contextual views attained </w:t>
      </w:r>
      <w:r>
        <w:rPr>
          <w:rFonts w:ascii="Cambria Math" w:hAnsi="Cambria Math"/>
          <w:i/>
        </w:rPr>
        <w:t>{{RAG_K1_CTX_PAIRED_ACC}}</w:t>
      </w:r>
      <w:r>
        <w:t xml:space="preserve"> ({{RAG_K1_CTX_PAIRED_CORRECT}}/{{COMPLETE_PAIRS_N}}) vs. </w:t>
      </w:r>
      <w:r>
        <w:rPr>
          <w:rFonts w:ascii="Cambria Math" w:hAnsi="Cambria Math"/>
          <w:i/>
        </w:rPr>
        <w:t>{{RAG_K1_SINGLE_PAIRED_ACC}}</w:t>
      </w:r>
      <w:r>
        <w:t xml:space="preserve"> ({{RAG_K1_SINGLE_PAIRED_CORRECT}}/{{COMPLETE_PAIRS_N}}) for Single views, yielding </w:t>
      </w:r>
      <w:r>
        <w:rPr>
          <w:rFonts w:ascii="Cambria Math" w:hAnsi="Cambria Math"/>
          <w:i/>
        </w:rPr>
        <w:t>Δ = {{RAG_K1_PAIRED_DELTA_PP}}</w:t>
      </w:r>
      <w:r>
        <w:t xml:space="preserve"> ({{RAG_K1_PAIRED_NET_VIEWS}} net views; both correct = {{RAG_K1_PAIRED_BOTH_CORRECT}}, single only = {{RAG_K1_PAIRED_SINGLE_ONLY}}, contextual only = {{RAG_K1_PAIRED_CTX_ONLY}}, both incorrect = {{RAG_K1_PAIRED_BOTH_INCORRECT}}; McNemar </w:t>
      </w:r>
      <w:r>
        <w:rPr>
          <w:rFonts w:ascii="Cambria Math" w:hAnsi="Cambria Math"/>
          <w:i/>
        </w:rPr>
        <w:t>p_exact = {{RAG_K1_VIEW_MCNEMAR_P_EXACT}}</w:t>
      </w:r>
      <w:r>
        <w:t xml:space="preserve">). In deeper retrieval conditions, the paired gap narrowed: </w:t>
      </w:r>
      <w:r>
        <w:rPr>
          <w:rFonts w:ascii="Cambria Math" w:hAnsi="Cambria Math"/>
          <w:i/>
        </w:rPr>
        <w:t>Δ = {{RAG_K3_PAIRED_DELTA_PP}}</w:t>
      </w:r>
      <w:r>
        <w:t xml:space="preserve"> for </w:t>
      </w:r>
      <w:r>
        <w:rPr>
          <w:rFonts w:ascii="Cambria Math" w:hAnsi="Cambria Math"/>
          <w:i/>
        </w:rPr>
        <w:t>k=3</w:t>
      </w:r>
      <w:r>
        <w:t xml:space="preserve"> (</w:t>
      </w:r>
      <w:r>
        <w:rPr>
          <w:rFonts w:ascii="Cambria Math" w:hAnsi="Cambria Math"/>
          <w:i/>
        </w:rPr>
        <w:t>p_exact = {{RAG_K3_VIEW_MCNEMAR_P_EXACT}}</w:t>
      </w:r>
      <w:r>
        <w:t xml:space="preserve">), </w:t>
      </w:r>
      <w:r>
        <w:rPr>
          <w:rFonts w:ascii="Cambria Math" w:hAnsi="Cambria Math"/>
          <w:i/>
        </w:rPr>
        <w:t>Δ = {{RAG_K5_PAIRED_DELTA_PP}}</w:t>
      </w:r>
      <w:r>
        <w:t xml:space="preserve"> for </w:t>
      </w:r>
      <w:r>
        <w:rPr>
          <w:rFonts w:ascii="Cambria Math" w:hAnsi="Cambria Math"/>
          <w:i/>
        </w:rPr>
        <w:t>k=5</w:t>
      </w:r>
      <w:r>
        <w:t xml:space="preserve"> (</w:t>
      </w:r>
      <w:r>
        <w:rPr>
          <w:rFonts w:ascii="Cambria Math" w:hAnsi="Cambria Math"/>
          <w:i/>
        </w:rPr>
        <w:t>p_exact = {{RAG_K5_VIEW_MCNEMAR_P_EXACT}}</w:t>
      </w:r>
      <w:r>
        <w:t xml:space="preserve">), and </w:t>
      </w:r>
      <w:r>
        <w:rPr>
          <w:rFonts w:ascii="Cambria Math" w:hAnsi="Cambria Math"/>
          <w:i/>
        </w:rPr>
        <w:t>Δ = {{RAG_K10_PAIRED_DELTA_PP}}</w:t>
      </w:r>
      <w:r>
        <w:t xml:space="preserve"> for </w:t>
      </w:r>
      <w:r>
        <w:rPr>
          <w:rFonts w:ascii="Cambria Math" w:hAnsi="Cambria Math"/>
          <w:i/>
        </w:rPr>
        <w:t>k=10</w:t>
      </w:r>
      <w:r>
        <w:t xml:space="preserve"> (</w:t>
      </w:r>
      <w:r>
        <w:rPr>
          <w:rFonts w:ascii="Cambria Math" w:hAnsi="Cambria Math"/>
          <w:i/>
        </w:rPr>
        <w:t>p_exact = {{RAG_K10_VIEW_MCNEMAR_P_EXACT}}</w:t>
      </w:r>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w:r>
        <w:rPr>
          <w:rFonts w:ascii="Cambria Math" w:hAnsi="Cambria Math"/>
          <w:b/>
          <w:i/>
        </w:rPr>
        <w:t>N=278</w:t>
      </w:r>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w:r>
        <w:rPr>
          <w:rFonts w:ascii="Cambria Math" w:hAnsi="Cambria Math"/>
          <w:i/>
        </w:rPr>
        <w:t>+30.00 pp</w:t>
      </w:r>
      <w:r>
        <w:t xml:space="preserve">), whereas the 238 identical GT pairs contributed only 3 net wins (3 net wins / 238 pairs, representing a paired accuracy difference of </w:t>
      </w:r>
      <w:r>
        <w:rPr>
          <w:rFonts w:ascii="Cambria Math" w:hAnsi="Cambria Math"/>
          <w:i/>
        </w:rPr>
        <w:t>+1.26 pp</w:t>
      </w:r>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w:r>
        <w:rPr>
          <w:rFonts w:ascii="Cambria Math" w:hAnsi="Cambria Math"/>
          <w:i/>
        </w:rPr>
        <w:t>+47.50 pp</w:t>
      </w:r>
      <w:r>
        <w:t xml:space="preserve"> paired difference), whereas the 238 identical GT pairs exhibited exactly zero net difference (single-correct equals context-correct, </w:t>
      </w:r>
      <w:r>
        <w:rPr>
          <w:rFonts w:ascii="Cambria Math" w:hAnsi="Cambria Math"/>
          <w:i/>
        </w:rPr>
        <w:t>+0.00 pp</w:t>
      </w:r>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fixed"/>
        <w:tblLook w:firstColumn="1" w:firstRow="1" w:lastColumn="0" w:lastRow="0" w:noHBand="0" w:noVBand="1" w:val="04A0"/>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Correct output despite GT-label miss (</w:t>
            </w:r>
            <w:r>
              <w:rPr>
                <w:rFonts w:ascii="Cambria Math" w:hAnsi="Cambria Math"/>
                <w:b/>
                <w:i/>
                <w:color w:val="FFFFFF"/>
                <w:sz w:val="16"/>
              </w:rPr>
              <w:t>GT ∉ Top-k ∧ Correct</w:t>
            </w:r>
            <w:r>
              <w:rPr>
                <w:b/>
                <w:color w:val="FFFFFF"/>
                <w:sz w:val="16"/>
              </w:rPr>
              <w:t>)</w:t>
            </w:r>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3386931"/>
            <wp:docPr id="2" name="Picture 2"/>
            <wp:cNvGraphicFramePr>
              <a:graphicFrameLocks noChangeAspect="1"/>
            </wp:cNvGraphicFramePr>
            <a:graphic>
              <a:graphicData uri="http://schemas.openxmlformats.org/drawingml/2006/picture">
                <pic:pic>
                  <pic:nvPicPr>
                    <pic:cNvPr id="0" name="canonical_rq2_retrieval.png"/>
                    <pic:cNvPicPr/>
                  </pic:nvPicPr>
                  <pic:blipFill>
                    <a:blip r:embed="rId10"/>
                    <a:stretch>
                      <a:fillRect/>
                    </a:stretch>
                  </pic:blipFill>
                  <pic:spPr>
                    <a:xfrm>
                      <a:off x="0" y="0"/>
                      <a:ext cx="5715000" cy="3386931"/>
                    </a:xfrm>
                    <a:prstGeom prst="rect"/>
                  </pic:spPr>
                </pic:pic>
              </a:graphicData>
            </a:graphic>
          </wp:inline>
        </w:drawing>
      </w:r>
    </w:p>
    <w:p>
      <w:pPr>
        <w:spacing w:before="40" w:after="200"/>
        <w:jc w:val="center"/>
      </w:pPr>
      <w:r>
        <w:rPr>
          <w:i/>
          <w:color w:val="57606A"/>
          <w:sz w:val="19"/>
        </w:rPr>
        <w:t>Figure 2: Canonical Retrieval Performance (Hit@k and Macro Recall@k across k=1, 3, 5, 10 on 718 Scorable TEST Views).</w:t>
      </w:r>
    </w:p>
    <w:p>
      <w:pPr>
        <w:pStyle w:val="Heading3"/>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w:r>
        <w:rPr>
          <w:rFonts w:ascii="Cambria Math" w:hAnsi="Cambria Math"/>
          <w:i/>
        </w:rPr>
        <w:t>GT ∉ Top-k</w:t>
      </w:r>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w:r>
        <w:rPr>
          <w:rFonts w:ascii="Cambria Math" w:hAnsi="Cambria Math"/>
          <w:i/>
        </w:rPr>
        <w:t>k=1</w:t>
      </w:r>
      <w:r>
        <w:t xml:space="preserve"> (96.24%), 600 views at </w:t>
      </w:r>
      <w:r>
        <w:rPr>
          <w:rFonts w:ascii="Cambria Math" w:hAnsi="Cambria Math"/>
          <w:i/>
        </w:rPr>
        <w:t>k=3</w:t>
      </w:r>
      <w:r>
        <w:t xml:space="preserve"> (83.57%), 545 views at </w:t>
      </w:r>
      <w:r>
        <w:rPr>
          <w:rFonts w:ascii="Cambria Math" w:hAnsi="Cambria Math"/>
          <w:i/>
        </w:rPr>
        <w:t>k=5</w:t>
      </w:r>
      <w:r>
        <w:t xml:space="preserve"> (75.91%), and 397 views at </w:t>
      </w:r>
      <w:r>
        <w:rPr>
          <w:rFonts w:ascii="Cambria Math" w:hAnsi="Cambria Math"/>
          <w:i/>
        </w:rPr>
        <w:t>k=10</w:t>
      </w:r>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w:r>
        <w:rPr>
          <w:rFonts w:ascii="Cambria Math" w:hAnsi="Cambria Math"/>
          <w:i/>
        </w:rPr>
        <w:t>k=1</w:t>
      </w:r>
      <w:r>
        <w:t xml:space="preserve">, 154 at </w:t>
      </w:r>
      <w:r>
        <w:rPr>
          <w:rFonts w:ascii="Cambria Math" w:hAnsi="Cambria Math"/>
          <w:i/>
        </w:rPr>
        <w:t>k=3</w:t>
      </w:r>
      <w:r>
        <w:t xml:space="preserve">, 152 at </w:t>
      </w:r>
      <w:r>
        <w:rPr>
          <w:rFonts w:ascii="Cambria Math" w:hAnsi="Cambria Math"/>
          <w:i/>
        </w:rPr>
        <w:t>k=5</w:t>
      </w:r>
      <w:r>
        <w:t xml:space="preserve">, and 147 at </w:t>
      </w:r>
      <w:r>
        <w:rPr>
          <w:rFonts w:ascii="Cambria Math" w:hAnsi="Cambria Math"/>
          <w:i/>
        </w:rPr>
        <w:t>k=10</w:t>
      </w:r>
      <w:r>
        <w:t>.</w:t>
      </w:r>
    </w:p>
    <w:p>
      <w:pPr>
        <w:pStyle w:val="ListBullet"/>
        <w:spacing w:after="40" w:line="276" w:lineRule="auto"/>
      </w:pPr>
      <w:r>
        <w:t xml:space="preserve">Because models can emit the correct technique even when it was absent from retrieved candidates (e.g., 278 views at </w:t>
      </w:r>
      <w:r>
        <w:rPr>
          <w:rFonts w:ascii="Cambria Math" w:hAnsi="Cambria Math"/>
          <w:i/>
        </w:rPr>
        <w:t>k=10</w:t>
      </w:r>
      <w:r>
        <w:t>), retrieval misses and error counts must not be summed together.</w:t>
      </w:r>
    </w:p>
    <w:p>
      <w:pPr>
        <w:spacing w:after="40" w:line="276" w:lineRule="auto"/>
        <w:ind w:left="432" w:hanging="288"/>
      </w:pPr>
      <w:r>
        <w:rPr>
          <w:rFonts w:ascii="Calibri" w:hAnsi="Calibri"/>
          <w:b/>
          <w:color w:val="24292F"/>
        </w:rPr>
        <w:t xml:space="preserve">2. </w:t>
      </w:r>
      <w:r>
        <w:rPr>
          <w:b/>
        </w:rPr>
        <w:t xml:space="preserve">Conditional Accuracy and Error Breakdown at </w:t>
      </w:r>
      <w:r>
        <w:rPr>
          <w:rFonts w:ascii="Cambria Math" w:hAnsi="Cambria Math"/>
          <w:b/>
          <w:i/>
        </w:rPr>
        <w:t>k=10</w:t>
      </w:r>
      <w:r>
        <w:rPr>
          <w:b/>
        </w:rPr>
        <w:t>:</w:t>
      </w:r>
    </w:p>
    <w:p>
      <w:r>
        <w:t xml:space="preserve">At retrieval depth </w:t>
      </w:r>
      <w:r>
        <w:rPr>
          <w:rFonts w:ascii="Cambria Math" w:hAnsi="Cambria Math"/>
          <w:i/>
        </w:rPr>
        <w:t>k=10</w:t>
      </w:r>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w:r>
        <w:rPr>
          <w:rFonts w:ascii="Cambria Math" w:hAnsi="Cambria Math"/>
          <w:i/>
        </w:rPr>
        <w:t>P(Correct) = 91.28%</w:t>
      </w:r>
      <w:r>
        <w:t xml:space="preserve"> (</w:t>
      </w:r>
      <w:r>
        <w:rPr>
          <w:rFonts w:ascii="Cambria Math" w:hAnsi="Cambria Math"/>
          <w:i/>
        </w:rPr>
        <w:t>293/321 = 91.2773%</w:t>
      </w:r>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w:r>
        <w:rPr>
          <w:rFonts w:ascii="Cambria Math" w:hAnsi="Cambria Math"/>
          <w:i/>
        </w:rPr>
        <w:t>P(Correct) = 70.03%</w:t>
      </w:r>
      <w:r>
        <w:t xml:space="preserve"> (</w:t>
      </w:r>
      <w:r>
        <w:rPr>
          <w:rFonts w:ascii="Cambria Math" w:hAnsi="Cambria Math"/>
          <w:i/>
        </w:rPr>
        <w:t>278/397 = 70.0252%</w:t>
      </w:r>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w:r>
        <w:rPr>
          <w:rFonts w:ascii="Cambria Math" w:hAnsi="Cambria Math"/>
          <w:b/>
          <w:i/>
        </w:rPr>
        <w:t>k=10</w:t>
      </w:r>
      <w:r>
        <w:rPr>
          <w:b/>
        </w:rPr>
        <w:t xml:space="preserve"> (119 of 147)</w:t>
      </w:r>
      <w:r>
        <w:t xml:space="preserve"> occurred in the retrieval miss branch (</w:t>
      </w:r>
      <w:r>
        <w:rPr>
          <w:rFonts w:ascii="Cambria Math" w:hAnsi="Cambria Math"/>
          <w:i/>
        </w:rPr>
        <w:t>GT ∉ Top-10</w:t>
      </w:r>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spacing w:after="40" w:line="276" w:lineRule="auto"/>
        <w:ind w:left="432" w:hanging="288"/>
      </w:pPr>
      <w:r>
        <w:rPr>
          <w:rFonts w:ascii="Calibri" w:hAnsi="Calibri"/>
          <w:b/>
          <w:color w:val="24292F"/>
        </w:rPr>
        <w:t xml:space="preserve">3. </w:t>
      </w:r>
      <w:r>
        <w:rPr>
          <w:b/>
        </w:rPr>
        <w:t>Technique-Specific Divergence and Retrieval Hypotheses: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 Table 5b presents the whole-study financial ledger and budget reconciliation.</w:t>
      </w:r>
    </w:p>
    <w:p>
      <w:r>
        <w:rPr>
          <w:i/>
        </w:rPr>
        <w:t>Table 5: Resource Consumption and Latency Scaling Across Retrieval Depths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(USD)</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(USD)</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2843957"/>
            <wp:docPr id="3" name="Picture 3"/>
            <wp:cNvGraphicFramePr>
              <a:graphicFrameLocks noChangeAspect="1"/>
            </wp:cNvGraphicFramePr>
            <a:graphic>
              <a:graphicData uri="http://schemas.openxmlformats.org/drawingml/2006/picture">
                <pic:pic>
                  <pic:nvPicPr>
                    <pic:cNvPr id="0" name="canonical_rq3_cost_and_latency.png"/>
                    <pic:cNvPicPr/>
                  </pic:nvPicPr>
                  <pic:blipFill>
                    <a:blip r:embed="rId11"/>
                    <a:stretch>
                      <a:fillRect/>
                    </a:stretch>
                  </pic:blipFill>
                  <pic:spPr>
                    <a:xfrm>
                      <a:off x="0" y="0"/>
                      <a:ext cx="5715000" cy="2843957"/>
                    </a:xfrm>
                    <a:prstGeom prst="rect"/>
                  </pic:spPr>
                </pic:pic>
              </a:graphicData>
            </a:graphic>
          </wp:inline>
        </w:drawing>
      </w:r>
    </w:p>
    <w:p>
      <w:pPr>
        <w:spacing w:before="40" w:after="200"/>
        <w:jc w:val="center"/>
      </w:pPr>
      <w:r>
        <w:rPr>
          <w:i/>
          <w:color w:val="57606A"/>
          <w:sz w:val="19"/>
        </w:rPr>
        <w:t>Figure 3: Operational Resource Trade-offs: Settled Financial Spend (USD) vs. Mean Inference Latency across Experimental Conditions.</w:t>
      </w:r>
    </w:p>
    <w:p>
      <w:r>
        <w:rPr>
          <w:i/>
        </w:rPr>
        <w:t>Table 5b: Whole-Study Financial Ledger and Budget Reconciliation (Schema).</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Accounting Dimension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Ledger Allocation / Metric</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Value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Currency</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Authorized Budget Ceiling</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Conditions Total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canonical_conditions_total_usd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Prior Pilot Exploratory Hold</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prior_pilot_provisional_hold_usd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Unsettled Reservations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active_reservations_usd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Orphaned Budget Claims</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orphan_reservations_usd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Committed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total_study_committed_spend_usd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Net Remaining Uncommitted Budget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net_remaining_uncommitted_budget_usd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bl>
    <w:p>
      <w:pPr>
        <w:spacing w:after="120"/>
      </w:pPr>
    </w:p>
    <w:p>
      <w:pPr>
        <w:pStyle w:val="Heading3"/>
        <w:spacing w:before="160" w:after="40"/>
      </w:pPr>
      <w:r>
        <w:rPr>
          <w:rFonts w:ascii="Calibri" w:hAnsi="Calibri"/>
          <w:b/>
          <w:i/>
          <w:color w:val="333344"/>
          <w:sz w:val="22"/>
        </w:rPr>
        <w:t>Provider Reliability and Financial Reconciliation</w:t>
      </w:r>
    </w:p>
    <w:p>
      <w:r>
        <w:t>Across the entire experimental campaign, {{TOTAL_REQUESTS_DISPATCHED}}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{{TOTAL_REQUESTS_COMPLETED}} dispatches achieved final journal completion (representing an overall operational completion rate of </w:t>
      </w:r>
      <w:r>
        <w:rPr>
          <w:rFonts w:ascii="Cambria Math" w:hAnsi="Cambria Math"/>
          <w:i/>
        </w:rPr>
        <w:t>{{OVERALL_COMPLETION_RATE}}</w:t>
      </w:r>
      <w:r>
        <w:t xml:space="preserve">), partitioned into 6,387 VALID responses and {{TOTAL_PROVIDER_FAILURES}} INCOMPLETE responses. Upstream execution recorded exactly 6,401 physical attempts: 6,400 primary attempts plus exactly 1 retry triggered by a transient upstream </w:t>
      </w:r>
      <w:r>
        <w:rPr>
          <w:rFonts w:ascii="Consolas" w:hAnsi="Consolas"/>
          <w:color w:val="8A1F11"/>
          <w:sz w:val="19"/>
        </w:rPr>
        <w:t>API_FAILURE</w:t>
      </w:r>
      <w:r>
        <w:t>.</w:t>
      </w:r>
    </w:p>
    <w:p>
      <w:r>
        <w:t>Crucially, the {{TOTAL_PROVIDER_FAILURES}} incomplete responses (manifesting as generation timeouts where upstream reasoning exceeded token or wall-clock allowances) occurred exclusively within the {{NON_SCORABLE_COHORT_N}} non-scorable cohort views (11 unmapped and 2 ambiguous scenario representations) evaluated during preliminary parameter sweeps. In the {{SCORABLE_VIEWS_N}} scorable mapped positive TEST cohort across all 5 conditions (</w:t>
      </w:r>
      <w:r>
        <w:rPr>
          <w:rFonts w:ascii="Cambria Math" w:hAnsi="Cambria Math"/>
          <w:i/>
        </w:rPr>
        <w:t>5 × {{SCORABLE_VIEWS_N}} = {{SCORABLE_DISPATCHES_COUNT}}</w:t>
      </w:r>
      <w:r>
        <w:t xml:space="preserve"> dispatches), the provider failure rate was exactly zero (</w:t>
      </w:r>
      <w:r>
        <w:rPr>
          <w:rFonts w:ascii="Cambria Math" w:hAnsi="Cambria Math"/>
          <w:i/>
        </w:rPr>
        <w:t>0/{{SCORABLE_DISPATCHES_COUNT}} = 0.0%</w:t>
      </w:r>
      <w:r>
        <w:t>). Consequently, the scorable provider failure axis in Table 4 and Table 2b is identically zero, confirming that headline attribution metrics were uncorrupted by infrastructure drops.</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{{TOTAL_STUDY_BUDGET_USD}}.</w:t>
      </w:r>
    </w:p>
    <w:p>
      <w:pPr>
        <w:pStyle w:val="ListBullet"/>
        <w:spacing w:after="40" w:line="276" w:lineRule="auto"/>
      </w:pPr>
      <w:r>
        <w:rPr>
          <w:b/>
        </w:rPr>
        <w:t>Canonical Conditions Total Spend:</w:t>
      </w:r>
      <w:r>
        <w:t xml:space="preserve"> USD {{CANONICAL_CONDITIONS_TOTAL_USD}} settled spend across {{TOTAL_REQUESTS_DISPATCHED}} runs.</w:t>
      </w:r>
    </w:p>
    <w:p>
      <w:pPr>
        <w:pStyle w:val="ListBullet"/>
        <w:spacing w:after="40" w:line="276" w:lineRule="auto"/>
      </w:pPr>
      <w:r>
        <w:rPr>
          <w:b/>
        </w:rPr>
        <w:t>Prior Pilot Exploratory Hold:</w:t>
      </w:r>
      <w:r>
        <w:t xml:space="preserve"> USD {{PRIOR_PILOT_HOLD_USD}} (committed during preliminary exploratory validation).</w:t>
      </w:r>
    </w:p>
    <w:p>
      <w:pPr>
        <w:pStyle w:val="ListBullet"/>
        <w:spacing w:after="40" w:line="276" w:lineRule="auto"/>
      </w:pPr>
      <w:r>
        <w:rPr>
          <w:b/>
        </w:rPr>
        <w:t>Active Unsettled Reservations:</w:t>
      </w:r>
      <w:r>
        <w:t xml:space="preserve"> USD {{ACTIVE_RESERVATIONS_USD}}.</w:t>
      </w:r>
    </w:p>
    <w:p>
      <w:pPr>
        <w:pStyle w:val="ListBullet"/>
        <w:spacing w:after="40" w:line="276" w:lineRule="auto"/>
      </w:pPr>
      <w:r>
        <w:rPr>
          <w:b/>
        </w:rPr>
        <w:t>Orphaned Budget Claims:</w:t>
      </w:r>
      <w:r>
        <w:t xml:space="preserve"> USD {{ORPHAN_RESERVATIONS_USD}}.</w:t>
      </w:r>
    </w:p>
    <w:p>
      <w:pPr>
        <w:pStyle w:val="ListBullet"/>
        <w:spacing w:after="40" w:line="276" w:lineRule="auto"/>
      </w:pPr>
      <w:r>
        <w:rPr>
          <w:b/>
        </w:rPr>
        <w:t>Total Study Committed Spend:</w:t>
      </w:r>
      <w:r>
        <w:t xml:space="preserve"> USD {{TOTAL_COMMITTED_SPEND_USD}} (reflecting USD {{CANONICAL_CONDITIONS_TOTAL_USD}} settled spend plus a USD 0.05264010 logical delta and reserve hold to account for exactly 1 attempt with unmetered provider usage charged at the worst-case attempt reserve of USD 0.53974560).</w:t>
      </w:r>
    </w:p>
    <w:p>
      <w:pPr>
        <w:pStyle w:val="ListBullet"/>
        <w:spacing w:after="40" w:line="276" w:lineRule="auto"/>
      </w:pPr>
      <w:r>
        <w:rPr>
          <w:b/>
        </w:rPr>
        <w:t>Net Remaining Uncommitted Budget:</w:t>
      </w:r>
      <w:r>
        <w:t xml:space="preserve"> USD {{NET_REMAINING_BUDGET_USD}} (</w:t>
      </w:r>
      <w:r>
        <w:rPr>
          <w:rFonts w:ascii="Cambria Math" w:hAnsi="Cambria Math"/>
          <w:i/>
        </w:rPr>
        <w:t>{{UNDER_BUDGET_PERCENT}}</w:t>
      </w:r>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w:r>
        <w:rPr>
          <w:rFonts w:ascii="Cambria Math" w:hAnsi="Cambria Math"/>
          <w:i/>
        </w:rPr>
        <w:t>2.90 s</w:t>
      </w:r>
      <w:r>
        <w:t xml:space="preserve"> and </w:t>
      </w:r>
      <w:r>
        <w:rPr>
          <w:rFonts w:ascii="Cambria Math" w:hAnsi="Cambria Math"/>
          <w:i/>
        </w:rPr>
        <w:t>4.37 s</w:t>
      </w:r>
      <w:r>
        <w:t xml:space="preserve"> (with median latencies between </w:t>
      </w:r>
      <w:r>
        <w:rPr>
          <w:rFonts w:ascii="Cambria Math" w:hAnsi="Cambria Math"/>
          <w:i/>
        </w:rPr>
        <w:t>2.30 s</w:t>
      </w:r>
      <w:r>
        <w:t xml:space="preserve"> and </w:t>
      </w:r>
      <w:r>
        <w:rPr>
          <w:rFonts w:ascii="Cambria Math" w:hAnsi="Cambria Math"/>
          <w:i/>
        </w:rPr>
        <w:t>2.67 s</w:t>
      </w:r>
      <w:r>
        <w:t xml:space="preserve">, and P95 latencies spanning </w:t>
      </w:r>
      <w:r>
        <w:rPr>
          <w:rFonts w:ascii="Cambria Math" w:hAnsi="Cambria Math"/>
          <w:i/>
        </w:rPr>
        <w:t>5.97 s</w:t>
      </w:r>
      <w:r>
        <w:t xml:space="preserve"> to </w:t>
      </w:r>
      <w:r>
        <w:rPr>
          <w:rFonts w:ascii="Cambria Math" w:hAnsi="Cambria Math"/>
          <w:i/>
        </w:rPr>
        <w:t>11.00 s</w:t>
      </w:r>
      <w:r>
        <w:t>), as detailed in Table 5. The earlier DEV pilot figure (</w:t>
      </w:r>
      <w:r>
        <w:rPr>
          <w:rFonts w:ascii="Cambria Math" w:hAnsi="Cambria Math"/>
          <w:i/>
        </w:rPr>
        <w:t>~ 8.13 s</w:t>
      </w:r>
      <w:r>
        <w:t xml:space="preserve"> mean latency, </w:t>
      </w:r>
      <w:r>
        <w:rPr>
          <w:rFonts w:ascii="Cambria Math" w:hAnsi="Cambria Math"/>
          <w:i/>
        </w:rPr>
        <w:t>~ 657</w:t>
      </w:r>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offline metric re-evaluations under differing random seeds (e.g., cluster bootstrap seed 1000 vs. seed 42), all integer counts and discrete classifications are strictly invariant, arithmetic invariants hold within </w:t>
      </w:r>
      <w:r>
        <w:rPr>
          <w:rFonts w:ascii="Cambria Math" w:hAnsi="Cambria Math"/>
          <w:i/>
        </w:rPr>
        <w:t>&lt; 10^-12</w:t>
      </w:r>
      <w:r>
        <w:t xml:space="preserve"> numerical tolerance, and the 4 Macro-CI bounding endpoints exhibit infinitesimal numerical divergence of </w:t>
      </w:r>
      <w:r>
        <w:rPr>
          <w:rFonts w:ascii="Cambria Math" w:hAnsi="Cambria Math"/>
          <w:i/>
        </w:rPr>
        <w:t>&lt; 6 × 10^-18</w:t>
      </w:r>
      <w:r>
        <w:t xml:space="preserve"> due exclusively to IEEE 754 floating-point summation ordering.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w:r>
        <w:rPr>
          <w:rFonts w:ascii="Cambria Math" w:hAnsi="Cambria Math"/>
          <w:i/>
        </w:rPr>
        <w:t>k ∈ {1, 3, 5, 10}</w:t>
      </w:r>
      <w:r>
        <w:t>) and paired representation concordances are exploratory. Exact McNemar tests are evaluated at the view level (</w:t>
      </w:r>
      <w:r>
        <w:rPr>
          <w:rFonts w:ascii="Cambria Math" w:hAnsi="Cambria Math"/>
          <w:i/>
        </w:rPr>
        <w:t>N=718</w:t>
      </w:r>
      <w:r>
        <w:t xml:space="preserve">) without clustering adjustments or family-wise error rate (FWER) penalties. The 95% confidence intervals generated via cluster bootstrap over 440 scenario clusters appropriately capture cluster-level variance, but individual </w:t>
      </w:r>
      <w:r>
        <w:rPr>
          <w:rFonts w:ascii="Cambria Math" w:hAnsi="Cambria Math"/>
          <w:i/>
        </w:rPr>
        <w:t>p</w:t>
      </w:r>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w:r>
        <w:rPr>
          <w:rFonts w:ascii="Cambria Math" w:hAnsi="Cambria Math"/>
          <w:i/>
        </w:rPr>
        <w:t>k=10</w:t>
      </w:r>
      <w:r>
        <w:t xml:space="preserve"> attained the highest observed point accuracy (</w:t>
      </w:r>
      <w:r>
        <w:rPr>
          <w:rFonts w:ascii="Cambria Math" w:hAnsi="Cambria Math"/>
          <w:i/>
        </w:rPr>
        <w:t>{{RQ1_K10_ACC_E2E}}</w:t>
      </w:r>
      <w:r>
        <w:t xml:space="preserve"> vs. </w:t>
      </w:r>
      <w:r>
        <w:rPr>
          <w:rFonts w:ascii="Cambria Math" w:hAnsi="Cambria Math"/>
          <w:i/>
        </w:rPr>
        <w:t>{{RQ1_NO_RAG_ACC_E2E}}</w:t>
      </w:r>
      <w:r>
        <w:t xml:space="preserve"> for unaugmented zero-shot reasoning, </w:t>
      </w:r>
      <w:r>
        <w:rPr>
          <w:rFonts w:ascii="Cambria Math" w:hAnsi="Cambria Math"/>
          <w:i/>
        </w:rPr>
        <w:t>Δ = {{RQ1_K10_DELTA_PP}} pp</w:t>
      </w:r>
      <w:r>
        <w:t xml:space="preserve">), this observed difference remains within statistical uncertainty bounds (cluster bootstrap 95% CI </w:t>
      </w:r>
      <w:r>
        <w:rPr>
          <w:rFonts w:ascii="Cambria Math" w:hAnsi="Cambria Math"/>
          <w:i/>
        </w:rPr>
        <w:t>{{RQ1_K10_CI95}}</w:t>
      </w:r>
      <w:r>
        <w:t xml:space="preserve">, exact McNemar </w:t>
      </w:r>
      <w:r>
        <w:rPr>
          <w:rFonts w:ascii="Cambria Math" w:hAnsi="Cambria Math"/>
          <w:i/>
        </w:rPr>
        <w:t>p = {{RQ1_K10_MCNEMAR_P_EXACT}}</w:t>
      </w:r>
      <w:r>
        <w:t>). Within the statistical bounds of this study, unguided dense retrieval does not demonstrate a statistically significant performance advantage over frontier reasoning models.</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w:r>
        <w:rPr>
          <w:rFonts w:ascii="Cambria Math" w:hAnsi="Cambria Math"/>
          <w:i/>
        </w:rPr>
        <w:t>P(Correct) = 91.2773%</w:t>
      </w:r>
      <w:r>
        <w:t xml:space="preserve"> (293 of 321 views); when absent, accuracy dropped to </w:t>
      </w:r>
      <w:r>
        <w:rPr>
          <w:rFonts w:ascii="Cambria Math" w:hAnsi="Cambria Math"/>
          <w:i/>
        </w:rPr>
        <w:t>P(Correct) = 70.0252%</w:t>
      </w:r>
      <w:r>
        <w:t xml:space="preserve"> (278 of 397 views). As a result, </w:t>
      </w:r>
      <w:r>
        <w:rPr>
          <w:b/>
        </w:rPr>
        <w:t xml:space="preserve">80.95% of all downstream misclassifications at </w:t>
      </w:r>
      <w:r>
        <w:rPr>
          <w:rFonts w:ascii="Cambria Math" w:hAnsi="Cambria Math"/>
          <w:b/>
          <w:i/>
        </w:rPr>
        <w:t>k=10</w:t>
      </w:r>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 complete offline replay package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allowing bitwise recreation of all analytical datasets and statistical tests without live API credentials.</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Apparent accuracy gains in contextual telemetry are substantially driven by multi-stage scenario label shift (40 mismatched GT pairs accounted for 80% to 100% of net contextual wins) rather than pure contextual disambiguation. Operationally, the evaluation achieved a </w:t>
      </w:r>
      <w:r>
        <w:rPr>
          <w:rFonts w:ascii="Cambria Math" w:hAnsi="Cambria Math"/>
          <w:i/>
        </w:rPr>
        <w:t>{{OVERALL_COMPLETION_RATE}}</w:t>
      </w:r>
      <w:r>
        <w:t xml:space="preserve"> execution completion rate with zero provider failures in the scorable cohort and committed USD {{TOTAL_COMMITTED_SPEND_USD}} against the USD {{TOTAL_STUDY_BUDGET_USD}} budget ceiling.</w:t>
      </w:r>
    </w:p>
    <w:p>
      <w:r>
        <w:t>All evaluation data, protocol configurations, and output tables are cryptographically bound to verifiable audit seals and reproducibility manifests, ensuring full reproducibility.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208ac00a9fe86813d4e4ec4fa7d66fa4dd5926ec</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March 2026. Available: &lt;https://attack.mitre.org/&gt;.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"A Comprehensive Windows-Based APT Attack Dataset for Threat Detection and Analysis." </w:t>
      </w:r>
      <w:r>
        <w:rPr>
          <w:i/>
          <w:sz w:val="20"/>
        </w:rPr>
        <w:t>Data in Brief</w:t>
      </w:r>
      <w:r>
        <w:rPr>
          <w:sz w:val="20"/>
        </w:rP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