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Georgia" w:hAnsi="Georgia"/>
          <w:b/>
          <w:color w:val="000000"/>
          <w:sz w:val="40"/>
        </w:rPr>
        <w:t>Evaluating MITRE ATT&amp;CK-Grounded RAG for Technique Attribution from Windows Endpoint Logs: A Replication-and-Extension Study</w:t>
      </w:r>
    </w:p>
    <w:p>
      <w:r>
        <w:rPr>
          <w:b/>
        </w:rPr>
        <w:t>Author:</w:t>
      </w:r>
      <w:r>
        <w:t xml:space="preserve"> Hà Hoàng Bách</w:t>
      </w:r>
    </w:p>
    <w:p>
      <w:r>
        <w:rPr>
          <w:b/>
        </w:rPr>
        <w:t>Affiliation:</w:t>
      </w:r>
      <w:r>
        <w:t xml:space="preserve"> RAG2ATT&amp;CK Project</w:t>
      </w:r>
    </w:p>
    <w:p>
      <w:r>
        <w:rPr>
          <w:b/>
        </w:rPr>
        <w:t>Date:</w:t>
      </w:r>
      <w:r>
        <w:t xml:space="preserve"> October 2026</w:t>
      </w:r>
    </w:p>
    <w:p>
      <w:r>
        <w:rPr>
          <w:b/>
        </w:rPr>
        <w:t>Status:</w:t>
      </w:r>
      <w:r>
        <w:t xml:space="preserve"> DRAFT — IN PROGRESS / PENDING EXPERIMENTAL EXECUTION</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pStyle w:val="Heading1"/>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w:r>
        <w:rPr>
          <w:rFonts w:ascii="Cambria Math" w:hAnsi="Cambria Math"/>
          <w:i/>
        </w:rPr>
        <w:t>k ∈ {1, 3, 5, 10}</w:t>
      </w:r>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64 template families, featuring matched single-event and contextual-event representations).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evaluated dataset is strictly synthetic (</w:t>
      </w:r>
      <w:r>
        <w:rPr>
          <w:rFonts w:ascii="Consolas" w:hAnsi="Consolas"/>
          <w:color w:val="8A1F11"/>
          <w:sz w:val="19"/>
        </w:rPr>
        <w:t>synthetic-paired-v1</w:t>
      </w:r>
      <w:r>
        <w:t>), as forensic analysis of historical public Windows-APT telemetry revealed unresolved cell discrepancies and precision inconsistencies during reconciliation, preventing independent verification of authoritative ground truth. Consequently, our findings are bounded to the synthetic benchmark, and generalization to production enterprise telemetry remains unsupported.</w:t>
      </w:r>
    </w:p>
    <w:p>
      <w:r>
        <w:t xml:space="preserve">Our evaluation framework employs a fixed 474-class macro-averaged F1 universe, multi-label </w:t>
      </w:r>
      <w:r>
        <w:rPr>
          <w:rFonts w:ascii="Consolas" w:hAnsi="Consolas"/>
          <w:color w:val="8A1F11"/>
          <w:sz w:val="19"/>
        </w:rPr>
        <w:t>ANY_MATCH</w:t>
      </w:r>
      <w:r>
        <w:t xml:space="preserve"> correctness semantics, headline end-to-end accuracy incorporating provider and parse failures, and an independent-axes failure decomposition. In compliance with strict empirical integrity guidelines, this report establishes the formal research report scaffold, mathematical formulations, literature review, and experimental table schemas without inventing unexecuted numerical results. Preliminary offline retrieval diagnostics across positive views demonstrate that dense retrieval achieves </w:t>
      </w:r>
      <w:r>
        <w:rPr>
          <w:rFonts w:ascii="Cambria Math" w:hAnsi="Cambria Math"/>
          <w:i/>
        </w:rPr>
        <w:t>Hit@1 = 4.23%</w:t>
      </w:r>
      <w:r>
        <w:t xml:space="preserve"> and </w:t>
      </w:r>
      <w:r>
        <w:rPr>
          <w:rFonts w:ascii="Cambria Math" w:hAnsi="Cambria Math"/>
          <w:i/>
        </w:rPr>
        <w:t>Hit@10 = 45.11%</w:t>
      </w:r>
      <w:r>
        <w:t xml:space="preserve">, with no ground-truth technique retrieved within Top-10 in </w:t>
      </w:r>
      <w:r>
        <w:rPr>
          <w:rFonts w:ascii="Cambria Math" w:hAnsi="Cambria Math"/>
          <w:i/>
        </w:rPr>
        <w:t>54.89%</w:t>
      </w:r>
      <w:r>
        <w:t xml:space="preserve"> of positive views (the complement of view-level Any-GT Hit@10), influenced by lexical mismatch in command-line arguments and contextual event dilution. The canonical live execution matrix (6,400 requests) is strictly budgeted under a $19.99 financial guard, establishing a reproducible foundation for evaluating knowledge grounding in security reasoning.</w:t>
      </w:r>
    </w:p>
    <w:p>
      <w:pPr>
        <w:spacing w:before="120" w:after="120"/>
        <w:pBdr>
          <w:bottom w:val="single" w:sz="6" w:space="1" w:color="D0D7DE"/>
        </w:pBdr>
      </w:pPr>
    </w:p>
    <w:p>
      <w:pPr>
        <w:pStyle w:val="Heading1"/>
        <w:spacing w:before="280" w:after="120"/>
      </w:pPr>
      <w:r>
        <w:rPr>
          <w:rFonts w:ascii="Georgia" w:hAnsi="Georgia"/>
          <w:b/>
          <w:color w:val="0A2540"/>
          <w:sz w:val="28"/>
        </w:rPr>
        <w:t>1. Introduction</w:t>
      </w:r>
    </w:p>
    <w:p>
      <w:pPr>
        <w:pStyle w:val="Heading2"/>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spacing w:before="200" w:after="80"/>
      </w:pPr>
      <w:r>
        <w:rPr>
          <w:rFonts w:ascii="Calibri" w:hAnsi="Calibri"/>
          <w:b/>
          <w:color w:val="1F2328"/>
          <w:sz w:val="24"/>
        </w:rPr>
        <w:t>1.2 LLMs and the RAG Paradigm in Threat Attribution</w:t>
      </w:r>
    </w:p>
    <w:p>
      <w:r>
        <w:t xml:space="preserve">Recent advancements in commercial language models with extended internal reasoning capabilities (such as OpenAI's </w:t>
      </w:r>
      <w:r>
        <w:rPr>
          <w:rFonts w:ascii="Consolas" w:hAnsi="Consolas"/>
          <w:color w:val="8A1F11"/>
          <w:sz w:val="19"/>
        </w:rPr>
        <w:t>gpt-5.6-luna</w:t>
      </w:r>
      <w:r>
        <w:t>) have demonstrated notable analytical performance in log triage and security analysis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w:r>
        <w:rPr>
          <w:rFonts w:ascii="Cambria Math" w:hAnsi="Cambria Math"/>
          <w:i/>
        </w:rPr>
        <w:t>k</w:t>
      </w:r>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Decoupled Failure Decomposition:</w:t>
      </w:r>
      <w:r>
        <w:t xml:space="preserve"> We decouple upstream retrieval failures (where the true technique is not retrieved in the Top-</w:t>
      </w:r>
      <w:r>
        <w:rPr>
          <w:rFonts w:ascii="Cambria Math" w:hAnsi="Cambria Math"/>
          <w:i/>
        </w:rPr>
        <w:t>k</w:t>
      </w:r>
      <w:r>
        <w:t xml:space="preserve"> candidates) from downstream LLM generation/selection failures, revealing where the attribution pipeline breaks down.</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w:r>
        <w:rPr>
          <w:rFonts w:ascii="Cambria Math" w:hAnsi="Cambria Math"/>
          <w:i/>
        </w:rPr>
        <w:t>k ∈ {1, 3, 5, 10}</w:t>
      </w:r>
      <w:r>
        <w:t xml:space="preserve"> to measure the transition from informative context to distractor noise, tracking token costs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pStyle w:val="Heading2"/>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Decomposition):</w:t>
      </w:r>
      <w:r>
        <w:t xml:space="preserve"> When attribution errors occur under RAG, what proportion is attributable to upstream retrieval misses (</w:t>
      </w:r>
      <w:r>
        <w:rPr>
          <w:rFonts w:ascii="Cambria Math" w:hAnsi="Cambria Math"/>
          <w:i/>
        </w:rPr>
        <w:t>GT ∉ Top-k</w:t>
      </w:r>
      <w:r>
        <w:t>) versus downstream model generation or selection failures? Furthermore, how do single-event versus multi-event contextual representations influence these independent failure axes?</w:t>
      </w:r>
    </w:p>
    <w:p>
      <w:pPr>
        <w:pStyle w:val="ListBullet"/>
        <w:spacing w:after="40" w:line="276" w:lineRule="auto"/>
      </w:pPr>
      <w:r>
        <w:rPr>
          <w:b/>
        </w:rPr>
        <w:t>RQ3 (Retrieval Depth, API Cost, and Latency Trade-Offs):</w:t>
      </w:r>
      <w:r>
        <w:t xml:space="preserve"> How does varying retrieval candidate depth (</w:t>
      </w:r>
      <w:r>
        <w:rPr>
          <w:rFonts w:ascii="Cambria Math" w:hAnsi="Cambria Math"/>
          <w:i/>
        </w:rPr>
        <w:t>k ∈ {1, 3, 5, 10}</w:t>
      </w:r>
      <w:r>
        <w:t>) affect attribution performance, context distractor susceptibility, latency, and monetary API token costs?</w:t>
      </w:r>
    </w:p>
    <w:p>
      <w:pPr>
        <w:spacing w:before="120" w:after="120"/>
        <w:pBdr>
          <w:bottom w:val="single" w:sz="6" w:space="1" w:color="D0D7DE"/>
        </w:pBdr>
      </w:pPr>
    </w:p>
    <w:p>
      <w:pPr>
        <w:pStyle w:val="Heading1"/>
        <w:spacing w:before="280" w:after="120"/>
      </w:pPr>
      <w:r>
        <w:rPr>
          <w:rFonts w:ascii="Georgia" w:hAnsi="Georgia"/>
          <w:b/>
          <w:color w:val="0A2540"/>
          <w:sz w:val="28"/>
        </w:rPr>
        <w:t>2. Related Work and Research Gap</w:t>
      </w:r>
    </w:p>
    <w:p>
      <w:pPr>
        <w:pStyle w:val="Heading2"/>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(6/8):</w:t>
      </w:r>
      <w:r>
        <w:t xml:space="preserve"> Adediran et al. [10], Landauer et al. (CAM-LDS journal version) [8], Lekssays et al. (TechniqueRAG ACL version) [5], Morbiato et al. (H-TechniqueRAG) [6], Lupinacci et al. (Trace2ATT&amp;CK) [11], and Gwak et al. (LADE author manuscript) [12].</w:t>
      </w:r>
    </w:p>
    <w:p>
      <w:pPr>
        <w:pStyle w:val="ListBullet"/>
        <w:spacing w:after="40" w:line="276" w:lineRule="auto"/>
      </w:pPr>
      <w:r>
        <w:rPr>
          <w:b/>
        </w:rPr>
        <w:t>Partial / Access-Blocked (2/8):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Claims regarding these two works are strictly bounded to verified metadata.</w:t>
      </w:r>
    </w:p>
    <w:p>
      <w:pPr>
        <w:pStyle w:val="Heading2"/>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r>
        <w:rPr>
          <w:i/>
        </w:rPr>
        <w:t>Table 1a: Multi-Dimensional Comparator Matrix Grounded in Primary Evidence (Part 1: Comparators 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Yang &amp; Hsu (2026) [7]</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Adediran et al. (2026) [10]</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CAM-LDS (Landauer et al., 2026) [8]</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TechniqueRAG (Lekssays et al., 2025) [5]</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process trees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JSON events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system logs (auditd, syslog) + IDS alerts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 Multi-source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Malicious behavior detection &amp; explanation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Cloud threat detection &amp; ATT&amp;CK mapping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Benchmark log interpretation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&amp; sub-technique annotation</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Behavior explanation (Exact ID 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Collapses sub-techniques to parent (</w:t>
            </w:r>
            <w:r>
              <w:rPr>
                <w:rFonts w:ascii="Consolas" w:hAnsi="Consolas"/>
                <w:color w:val="8A1F11"/>
                <w:sz w:val="14"/>
              </w:rPr>
              <w:t>Txxxx</w:t>
            </w:r>
            <w:r>
              <w:rPr>
                <w:color w:val="24292F"/>
                <w:sz w:val="16"/>
              </w:rPr>
              <w: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&amp; Sub-technique (</w:t>
            </w:r>
            <w:r>
              <w:rPr>
                <w:rFonts w:ascii="Consolas" w:hAnsi="Consolas"/>
                <w:color w:val="8A1F11"/>
                <w:sz w:val="14"/>
              </w:rPr>
              <w:t>Txxxx.yyy</w:t>
            </w:r>
            <w:r>
              <w:rPr>
                <w:color w:val="24292F"/>
                <w:sz w:val="16"/>
              </w:rPr>
              <w:t>)</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Semantic matching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Two-step query expansion RAG (Vertex AI)</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(Zero-shot prompting)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Exemplar retrieval (BM25 + DeepSeek v3 rerank)</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Security templates &amp; attack patterns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Cloud, AWS catalogue, threat blogs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Annotated text-label pairs (TRAM, Procedures)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(Mistral, phi-2, TinyLlama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(Gemini 2.5 Pro baseline w/o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w:t>
            </w:r>
            <w:r>
              <w:rPr>
                <w:i/>
                <w:color w:val="24292F"/>
                <w:sz w:val="16"/>
              </w:rPr>
              <w:t>only</w:t>
            </w:r>
            <w:r>
              <w:rPr>
                <w:color w:val="24292F"/>
                <w:sz w:val="16"/>
              </w:rPr>
              <w:t xml:space="preserve"> zero-shot (no 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(Zero-shot and fine-tuned w/o RAG)</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 (full text unavailable)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w:t>
            </w:r>
            <w:r>
              <w:rPr>
                <w:color w:val="24292F"/>
                <w:sz w:val="16"/>
              </w:rPr>
              <w:t xml:space="preserve"> (Numeric k NOT REPORTED; ablation deferred)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output cutoff </w:t>
            </w:r>
            <w:r>
              <w:rPr>
                <w:rFonts w:ascii="Cambria Math" w:hAnsi="Cambria Math"/>
                <w:i/>
                <w:color w:val="24292F"/>
                <w:sz w:val="16"/>
              </w:rPr>
              <w:t>k</w:t>
            </w:r>
            <w:r>
              <w:rPr>
                <w:color w:val="24292F"/>
                <w:sz w:val="16"/>
              </w:rPr>
              <w:t>, not retriever depth</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Evaluates pool size </w:t>
            </w:r>
            <w:r>
              <w:rPr>
                <w:rFonts w:ascii="Cambria Math" w:hAnsi="Cambria Math"/>
                <w:i/>
                <w:color w:val="24292F"/>
                <w:sz w:val="16"/>
              </w:rPr>
              <w:t>K=40</w:t>
            </w:r>
            <w:r>
              <w:rPr>
                <w:color w:val="24292F"/>
                <w:sz w:val="16"/>
              </w:rPr>
              <w:t xml:space="preserve">, fixed </w:t>
            </w:r>
            <w:r>
              <w:rPr>
                <w:rFonts w:ascii="Cambria Math" w:hAnsi="Cambria Math"/>
                <w:i/>
                <w:color w:val="24292F"/>
                <w:sz w:val="16"/>
              </w:rPr>
              <w:t>k=3</w:t>
            </w:r>
            <w:r>
              <w:rPr>
                <w:color w:val="24292F"/>
                <w:sz w:val="16"/>
              </w:rPr>
              <w:t xml:space="preserve"> exemplars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(Generation gap only)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P/R/F1 on ranking; standalone Hit@k NOT REPORTED</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Qualitative error categorization (26.3% vs 60% gap)*</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generator vs retriever errors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UNVERIFIED</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Notes </w:t>
            </w:r>
            <w:r>
              <w:rPr>
                <w:rFonts w:ascii="Consolas" w:hAnsi="Consolas"/>
                <w:color w:val="8A1F11"/>
                <w:sz w:val="14"/>
              </w:rPr>
              <w:t>stratus-red-team</w:t>
            </w:r>
            <w:r>
              <w:rPr>
                <w:color w:val="24292F"/>
                <w:sz w:val="16"/>
              </w:rPr>
              <w:t xml:space="preserve"> agent in raw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Strips explicit ATT&amp;CK labels/tactics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no detector rule metadata</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phi-2, TinyLlama-1.1B</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Gemini 2.5 Pro</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GPT-5.5, Llama-3-70B, Mixtral, Command R+</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Ministral-8B (fine-tuned)</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F1, False Positive Rate</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Accuracy, Precision, Recall, F1, Latency, Cost</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Rank, P@k, Recall@k, MRR</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Macro-F1, Micro-F1</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Attack samples + benign process trees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200 AWS CloudTrail events (122 mal / 78 ben)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7 scenarios, 198 log steps, 18 sources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TRAM, Procedures, Expert CTI datasets</w:t>
            </w:r>
          </w:p>
        </w:tc>
      </w:tr>
      <w:tr>
        <w:trPr>
          <w:cantSplit/>
        </w:trPr>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Sysmon logs + matched No-RAG/RAG</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Controlled No-RAG vs RAG on telemetry</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Exact technique prediction from command logs</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RAG with retrieval quality analysis</w:t>
            </w:r>
          </w:p>
        </w:tc>
      </w:tr>
      <w:tr>
        <w:trPr>
          <w:cantSplit/>
        </w:trPr>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Binary detection; process tree heuristics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AWS CloudTrail API; two-step Vertex RAG</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Zero-shot only (no RAG); Linux focus</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fine-tunes generator</w:t>
            </w:r>
          </w:p>
        </w:tc>
      </w:tr>
    </w:tbl>
    <w:p>
      <w:pPr>
        <w:spacing w:after="120"/>
      </w:pPr>
    </w:p>
    <w:p>
      <w:r>
        <w:rPr>
          <w:i/>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Pr>
      <w:tblGrid>
        <w:gridCol w:w="1800"/>
        <w:gridCol w:w="1512"/>
        <w:gridCol w:w="1512"/>
        <w:gridCol w:w="1512"/>
        <w:gridCol w:w="1512"/>
        <w:gridCol w:w="1512"/>
      </w:tblGrid>
      <w:tr>
        <w:trPr>
          <w:cantSplit/>
          <w:tblHeader/>
        </w:trPr>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Dimension</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H-TechniqueRAG (Morbiato et al., 2026) [6]</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Trace2ATT&amp;CK (Lupinacci et al., 2026) [11]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Okuma et al. (2023) [9]</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LADE (Gwak et al., 2026/2027) [12]</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RAG2ATTCK (This Work)</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 Primary Input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reports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event logs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Chronological command/script traces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telemetry (Sysmon / Security logs)</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2. Target Platform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(CTI text)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Cross-platform host OS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Enterprise</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3. Core Task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technique annotation &amp; context routing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telemetry to ATT&amp;CK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log-to-technique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APT detection &amp; TTP mapping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ATT&amp;CK Technique / Sub-technique attribution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4. ATT&amp;CK Target Granularity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Tactic </w:t>
            </w:r>
            <w:r>
              <w:rPr>
                <w:rFonts w:ascii="Cambria Math" w:hAnsi="Cambria Math"/>
                <w:i/>
                <w:color w:val="24292F"/>
                <w:sz w:val="16"/>
              </w:rPr>
              <w:t>→</w:t>
            </w:r>
            <w:r>
              <w:rPr>
                <w:color w:val="24292F"/>
                <w:sz w:val="16"/>
              </w:rPr>
              <w:t xml:space="preserve"> Technique hierarchy</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&amp; Sub-technique candidates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Technique level (</w:t>
            </w:r>
            <w:r>
              <w:rPr>
                <w:rFonts w:ascii="Consolas" w:hAnsi="Consolas"/>
                <w:color w:val="8A1F11"/>
                <w:sz w:val="14"/>
              </w:rPr>
              <w:t>Txxxx</w:t>
            </w:r>
            <w:r>
              <w:rPr>
                <w:color w:val="24292F"/>
                <w:sz w:val="16"/>
              </w:rPr>
              <w: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Ranked Technique candidates (Top-1/3/10)</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Exact Technique &amp; Sub-technique (</w:t>
            </w:r>
            <w:r>
              <w:rPr>
                <w:rFonts w:ascii="Consolas" w:hAnsi="Consolas"/>
                <w:color w:val="8A1F11"/>
                <w:sz w:val="14"/>
              </w:rPr>
              <w:t>Txxxx.yyy</w:t>
            </w:r>
            <w:r>
              <w:rPr>
                <w:b/>
                <w:color w:val="24292F"/>
                <w:sz w:val="16"/>
              </w:rPr>
              <w: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5. RAG Architecture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Hierarchical dense RAG (FAISS IVF)</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Dense chunk retrieval (Chroma + MMR)</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(Rule-based correlation)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None</w:t>
            </w:r>
            <w:r>
              <w:rPr>
                <w:color w:val="24292F"/>
                <w:sz w:val="16"/>
              </w:rPr>
              <w:t xml:space="preserve"> (Rubric prompting with static ATT&amp;CK text)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Dense semantic RAG (FAISS IndexFlatIP cosine)</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6. Retrieval Corpus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(CTI-RCM, TRAM, MITRE)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ATT&amp;CK Enterprise KB (800-word chunks)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Official ATT&amp;CK Enterprise v19.2 (474 active Windows docs)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7. Matched No-RAG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Flat RAG vs. Hierarchical RAG (no raw baseline)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(Prompting baseline w/o RAG)</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(Heuristic only)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ablation)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(Strictly matched gpt-5.6-luna w/o RAG)</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8. Top-k Retrieval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w:t>
            </w:r>
            <w:r>
              <w:rPr>
                <w:color w:val="24292F"/>
                <w:sz w:val="16"/>
              </w:rPr>
              <w:t xml:space="preserve"> (Tactic depth </w:t>
            </w:r>
            <w:r>
              <w:rPr>
                <w:rFonts w:ascii="Cambria Math" w:hAnsi="Cambria Math"/>
                <w:i/>
                <w:color w:val="24292F"/>
                <w:sz w:val="16"/>
              </w:rPr>
              <w:t>M=3</w:t>
            </w:r>
            <w:r>
              <w:rPr>
                <w:color w:val="24292F"/>
                <w:sz w:val="16"/>
              </w:rPr>
              <w:t>, max 15 tech/tactic)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Fixed retriever depth (5 chunks), output cutoff 5</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 xml:space="preserve">Output cutoff </w:t>
            </w:r>
            <w:r>
              <w:rPr>
                <w:rFonts w:ascii="Cambria Math" w:hAnsi="Cambria Math"/>
                <w:i/>
                <w:color w:val="24292F"/>
                <w:sz w:val="16"/>
              </w:rPr>
              <w:t>k ∈ {1, 3, 10}</w:t>
            </w:r>
            <w:r>
              <w:rPr>
                <w:color w:val="24292F"/>
                <w:sz w:val="16"/>
              </w:rPr>
              <w:t>, not retriever depth</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w:t>
            </w:r>
            <w:r>
              <w:rPr>
                <w:rFonts w:ascii="Cambria Math" w:hAnsi="Cambria Math"/>
                <w:b/>
                <w:i/>
                <w:color w:val="24292F"/>
                <w:sz w:val="16"/>
              </w:rPr>
              <w:t>k ∈ {1, 3, 5, 10}</w:t>
            </w:r>
            <w:r>
              <w:rPr>
                <w:b/>
                <w:color w:val="24292F"/>
                <w:sz w:val="16"/>
              </w:rPr>
              <w:t xml:space="preserve"> systematically ablated)</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9. Standalone Retriever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standalone Recall@k NOT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NOT REPORTED</w:t>
            </w:r>
            <w:r>
              <w:rPr>
                <w:color w:val="24292F"/>
                <w:sz w:val="16"/>
              </w:rPr>
              <w:t xml:space="preserve"> (End-to-end HR@5 reported)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(Hit@k, Recall@k, Median Rank explicitly reported)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10. Failure Decomposition?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Analyzes distractor impact in flat vs hierarchical</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 (End-to-end system evaluation)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Yes (Formal decoupled split: Retrieval vs Generation error)</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11. Telemetry Leakage Controls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CTI text; curated benchmarks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Kernel syscalls; no detector rule metadata</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Simulation metadata used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Script command lines analyzed</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Strict field whitelist; detector rules/labels purged</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 Primary Models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Llama-3-8B-Instruct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Mistral-7B, Llama-3-8B, CodeLlama, etc.</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Heuristic algorithm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GPT-4, Claude-3-Opus, Llama-3-70B</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OpenAI gpt-5.6-luna (xhigh reasoning effort)</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13. Headline Metrics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Micro P/R/F1, MAP@10, Latency, API calls</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HR@5, MRR@5, NDCG@5</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Mapping accuracy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Precision, Recall, F1, HR/MRR/NDCG @ 3, 10</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End-to-End Accuracy, 474-class Macro-F1, Recall@k</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14. Primary Dataset</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1,200 CTI-RCM + 2,800 MITRE + 450 TRAM</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347 Linux Atomic Red Team executions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Atomic Red Team Sysmon logs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AVIATOR (35 attack / 32 benign sequences)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1,280 paired synthetic views (640 scenario pairs)</w:t>
            </w:r>
          </w:p>
        </w:tc>
      </w:tr>
      <w:tr>
        <w:trPr>
          <w:cantSplit/>
        </w:trPr>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15. Closest Similarity</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Investigating retrieval depth &amp; distractor noise</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Telemetry-to-ATT&amp;CK mapping comparing RAG/prompt</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Windows Sysmon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Host command execution traces mapped to ATT&amp;CK</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Integrates telemetry, exact attribution, depth ablation</w:t>
            </w:r>
          </w:p>
        </w:tc>
      </w:tr>
      <w:tr>
        <w:trPr>
          <w:cantSplit/>
        </w:trPr>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16. Key Difference</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Unstructured CTI text; hierarchical routing</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Linux eBPF provenance graphs; no depth ablation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Non-LLM rule heuristic from 2023</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Prompting only (no RAG); small sample (35 seqs)</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6"/>
              </w:rPr>
              <w:t>Windows endpoint logs + exact ID + depth ablation + error split</w:t>
            </w:r>
          </w:p>
        </w:tc>
      </w:tr>
    </w:tbl>
    <w:p>
      <w:pPr>
        <w:spacing w:after="120"/>
      </w:pPr>
    </w:p>
    <w:p>
      <w:r>
        <w:rPr>
          <w:i/>
        </w:rPr>
        <w:t>Note on Adediran et al. [10]: The published text contains an unresolved reporting discrepancy, stating in Section 2 that retrieval-generation gaps account for 60% of errors, while Section 6.4.1 reports 26.3% (5/19).</w:t>
      </w:r>
    </w:p>
    <w:p>
      <w:pPr>
        <w:pStyle w:val="Heading2"/>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registry paths, hex codes).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but restricts its scope to Linux eBPF execution graphs across 347 Atomic Red Team tests, maintaining a fixed retriever depth (5 chunks) and evaluating local models. Adediran et al. [10] evaluate Gemini 2.5 Pro on AWS CloudTrail logs across 200 events, demonstrating that RAG improves cloud threat detection, but employs a two-step query expansion pipeline without isolating retrieval depth </w:t>
      </w:r>
      <w:r>
        <w:rPr>
          <w:rFonts w:ascii="Cambria Math" w:hAnsi="Cambria Math"/>
          <w:i/>
        </w:rPr>
        <w:t>k</w:t>
      </w:r>
      <w:r>
        <w:t>. CAM-LDS [8] evaluates zero-shot LLM log interpretation across multiple Linux and network sources, but deliberately excludes RAG, focusing instead on output candidate ranking.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w:r>
        <w:rPr>
          <w:rFonts w:ascii="Cambria Math" w:hAnsi="Cambria Math"/>
          <w:i/>
        </w:rPr>
        <w:t>k</w:t>
      </w:r>
      <w:r>
        <w:t xml:space="preserve"> Hit Rate, P@</w:t>
      </w:r>
      <w:r>
        <w:rPr>
          <w:rFonts w:ascii="Cambria Math" w:hAnsi="Cambria Math"/>
          <w:i/>
        </w:rPr>
        <w:t>k</w:t>
      </w:r>
      <w:r>
        <w:t>, or NDCG@</w:t>
      </w:r>
      <w:r>
        <w:rPr>
          <w:rFonts w:ascii="Cambria Math" w:hAnsi="Cambria Math"/>
          <w:i/>
        </w:rPr>
        <w:t>k</w:t>
      </w:r>
      <w:r>
        <w:t xml:space="preserve">. In CAM-LDS and LADE, </w:t>
      </w:r>
      <w:r>
        <w:rPr>
          <w:rFonts w:ascii="Cambria Math" w:hAnsi="Cambria Math"/>
          <w:i/>
        </w:rPr>
        <w:t>k</w:t>
      </w:r>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w:r>
        <w:rPr>
          <w:rFonts w:ascii="Cambria Math" w:hAnsi="Cambria Math"/>
          <w:i/>
        </w:rPr>
        <w:t>k ∈ {1, 3, 5, 10}</w:t>
      </w:r>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explicitly decoupling retrieval misses from generation errors, RAG2ATTCK establishes a rigorous benchmark for knowledge-grounded security reasoning.</w:t>
      </w:r>
    </w:p>
    <w:p>
      <w:pPr>
        <w:spacing w:before="120" w:after="120"/>
        <w:pBdr>
          <w:bottom w:val="single" w:sz="6" w:space="1" w:color="D0D7DE"/>
        </w:pBdr>
      </w:pPr>
    </w:p>
    <w:p>
      <w:pPr>
        <w:pStyle w:val="Heading1"/>
        <w:spacing w:before="280" w:after="120"/>
      </w:pPr>
      <w:r>
        <w:rPr>
          <w:rFonts w:ascii="Georgia" w:hAnsi="Georgia"/>
          <w:b/>
          <w:color w:val="0A2540"/>
          <w:sz w:val="28"/>
        </w:rPr>
        <w:t>3. Threat Model, Benchmark Scope, and Telemetry Boundaries</w:t>
      </w:r>
    </w:p>
    <w:p>
      <w:pPr>
        <w:pStyle w:val="Heading2"/>
        <w:spacing w:before="200" w:after="80"/>
      </w:pPr>
      <w:r>
        <w:rPr>
          <w:rFonts w:ascii="Calibri" w:hAnsi="Calibri"/>
          <w:b/>
          <w:color w:val="1F2328"/>
          <w:sz w:val="24"/>
        </w:rPr>
        <w:t>3.1 MITRE ATT&amp;CK Enterprise Matrix v19.2</w:t>
      </w:r>
    </w:p>
    <w:p>
      <w:r>
        <w:t>All retrieval, ground truth, and evaluation components in RAG2ATTCK are cryptographically bound to the official MITRE ATT&amp;CK Enterprise Matrix release v19.2:</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From the 858 raw </w:t>
      </w:r>
      <w:r>
        <w:rPr>
          <w:rFonts w:ascii="Consolas" w:hAnsi="Consolas"/>
          <w:color w:val="8A1F11"/>
          <w:sz w:val="19"/>
        </w:rPr>
        <w:t>attack-pattern</w:t>
      </w:r>
      <w:r>
        <w:t xml:space="preserve"> objects in STIX v19.2, we filter out 161 inactive techniques (33 revoked, 128 deprecated). From the remaining 697 active techniques, we extract all techniques supporting the Windows platform (</w:t>
      </w:r>
      <w:r>
        <w:rPr>
          <w:rFonts w:ascii="Consolas" w:hAnsi="Consolas"/>
          <w:color w:val="8A1F11"/>
          <w:sz w:val="19"/>
        </w:rPr>
        <w:t>"Windows" in platforms</w:t>
      </w:r>
      <w:r>
        <w:t xml:space="preserve">), resulting in an active Windows corpus of exactly </w:t>
      </w:r>
      <w:r>
        <w:rPr>
          <w:b/>
        </w:rPr>
        <w:t>474 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w:r>
        <w:rPr>
          <w:rFonts w:ascii="Cambria Math" w:hAnsi="Cambria Math"/>
          <w:i/>
        </w:rPr>
        <w:t>Family_TEST ∩ Family_DEV = ∅</w:t>
      </w:r>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w:r>
        <w:rPr>
          <w:rFonts w:ascii="Cambria Math" w:hAnsi="Cambria Math"/>
          <w:i/>
        </w:rPr>
        <w:t>→</w:t>
      </w:r>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w:r>
        <w:rPr>
          <w:rFonts w:ascii="Cambria Math" w:hAnsi="Cambria Math"/>
          <w:i/>
        </w:rPr>
        <w:t>278 + 440 = 718</w:t>
      </w:r>
      <w:r>
        <w:t>).</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spacing w:before="200" w:after="80"/>
      </w:pPr>
      <w:r>
        <w:rPr>
          <w:rFonts w:ascii="Calibri" w:hAnsi="Calibri"/>
          <w:b/>
          <w:color w:val="1F2328"/>
          <w:sz w:val="24"/>
        </w:rPr>
        <w:t>3.4 CRITICAL CLAIM SCOPE: Synthetic Boundary and Real Telemetry Blocker</w:t>
      </w:r>
    </w:p>
    <w:p>
      <w:r>
        <w:t>To uphold strict scientific integrity, we explicitly declare the empirical boundaries of this study:</w:t>
      </w:r>
    </w:p>
    <w:p>
      <w:pPr>
        <w:spacing w:before="80" w:after="120"/>
        <w:ind w:left="432" w:right="288"/>
        <w:pBdr>
          <w:left w:val="single" w:sz="24" w:space="8" w:color="0969DA"/>
        </w:pBdr>
        <w:shd w:fill="F6F8FA"/>
      </w:pPr>
      <w:r>
        <w:rPr>
          <w:b/>
        </w:rPr>
        <w:t>CRITICAL CLAIM SCOPE:</w:t>
      </w:r>
      <w:r>
        <w:t xml:space="preserve"> All experimental evaluations, diagnostic analyses, and performance claims in this study are strictly bounded to the </w:t>
      </w:r>
      <w:r>
        <w:rPr>
          <w:rFonts w:ascii="Consolas" w:hAnsi="Consolas"/>
          <w:color w:val="8A1F11"/>
          <w:sz w:val="19"/>
        </w:rPr>
        <w:t>synthetic-paired-v1</w:t>
      </w:r>
      <w:r>
        <w:t xml:space="preserve"> benchmark. This dataset consists of synthetic and template-derived Windows endpoint logs. </w:t>
      </w:r>
      <w:r>
        <w:rPr>
          <w:b/>
        </w:rPr>
        <w:t>Under no circumstances should these results be interpreted as demonstrating real-world operational generalization or efficacy on production enterprise telemetry.</w:t>
      </w:r>
    </w:p>
    <w:p>
      <w:pPr>
        <w:pStyle w:val="Heading3"/>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audit of the raw data files (</w:t>
      </w:r>
      <w:r>
        <w:rPr>
          <w:rFonts w:ascii="Consolas" w:hAnsi="Consolas"/>
          <w:color w:val="8A1F11"/>
          <w:sz w:val="19"/>
        </w:rPr>
        <w:t>reports/final_repair_validation.md</w:t>
      </w:r>
      <w:r>
        <w:t>) identified 15,713 unresolved cell discrepancies between individual scenario CSVs and the combined dataset:</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spacing w:before="280" w:after="120"/>
      </w:pPr>
      <w:r>
        <w:rPr>
          <w:rFonts w:ascii="Georgia" w:hAnsi="Georgia"/>
          <w:b/>
          <w:color w:val="0A2540"/>
          <w:sz w:val="28"/>
        </w:rPr>
        <w:t>4. Experimental Methodology</w:t>
      </w:r>
    </w:p>
    <w:p>
      <w:pPr>
        <w:pStyle w:val="Heading2"/>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resolves fourteen core scientific policies (D1–D7):</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w:r>
        <w:rPr>
          <w:rFonts w:ascii="Cambria Math" w:hAnsi="Cambria Math"/>
          <w:i/>
        </w:rPr>
        <w:t>Y_GT</w:t>
      </w:r>
      <w:r>
        <w:t xml:space="preserve">), a single predicted technique </w:t>
      </w:r>
      <w:r>
        <w:rPr>
          <w:rFonts w:ascii="Cambria Math" w:hAnsi="Cambria Math"/>
          <w:i/>
        </w:rPr>
        <w:t>ŷ</w:t>
      </w:r>
      <w:r>
        <w:t xml:space="preserve"> is scored as correct if </w:t>
      </w:r>
      <w:r>
        <w:rPr>
          <w:rFonts w:ascii="Cambria Math" w:hAnsi="Cambria Math"/>
          <w:i/>
        </w:rPr>
        <w:t>ŷ ∈ Y_GT</w:t>
      </w:r>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w:r>
        <w:rPr>
          <w:rFonts w:ascii="Cambria Math" w:hAnsi="Cambria Math"/>
          <w:i/>
        </w:rPr>
        <w:t>N=474</w:t>
      </w:r>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w:r>
        <w:rPr>
          <w:rFonts w:ascii="Cambria Math" w:hAnsi="Cambria Math"/>
          <w:i/>
        </w:rPr>
        <w:t>Top-k ∩ Y_GT ≠ ∅</w:t>
      </w:r>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w:r>
        <w:rPr>
          <w:rFonts w:ascii="Cambria Math" w:hAnsi="Cambria Math"/>
          <w:i/>
        </w:rPr>
        <w:t>0.0</w:t>
      </w:r>
      <w:r>
        <w:t xml:space="preserve"> or </w:t>
      </w:r>
      <w:r>
        <w:rPr>
          <w:rFonts w:ascii="Cambria Math" w:hAnsi="Cambria Math"/>
          <w:i/>
        </w:rPr>
        <w:t>1.0</w:t>
      </w:r>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targeting the Pydantic contract:</w:t>
      </w:r>
    </w:p>
    <w:p>
      <w:pPr>
        <w:spacing w:before="80" w:after="120" w:line="240" w:lineRule="auto"/>
        <w:ind w:left="360" w:right="360"/>
        <w:shd w:fill="F6F8FA"/>
      </w:pPr>
      <w:r>
        <w:rPr>
          <w:rFonts w:ascii="Consolas" w:hAnsi="Consolas"/>
          <w:color w:val="1F2328"/>
          <w:sz w:val="18"/>
        </w:rPr>
        <w:t xml:space="preserve">  {</w:t>
        <w:br/>
        <w:t xml:space="preserve">    "type": "object",</w:t>
        <w:br/>
        <w:t xml:space="preserve">    "properties": {</w:t>
        <w:br/>
        <w:t xml:space="preserve">      "technique_id": {</w:t>
        <w:br/>
        <w:t xml:space="preserve">        "type": "string",</w:t>
        <w:br/>
        <w:t xml:space="preserve">        "pattern": "^T[0-9]{4}(\\.[0-9]{3})?$"</w:t>
        <w:br/>
        <w:t xml:space="preserve">      }</w:t>
        <w:br/>
        <w:t xml:space="preserve">    },</w:t>
        <w:br/>
        <w:t xml:space="preserve">    "required": ["technique_id"],</w:t>
        <w:br/>
        <w:t xml:space="preserve">    "additionalProperties": false</w:t>
        <w:br/>
        <w:t xml:space="preserve">  }</w:t>
      </w:r>
    </w:p>
    <w:p>
      <w:pPr>
        <w:pStyle w:val="ListBullet"/>
        <w:spacing w:after="40" w:line="276" w:lineRule="auto"/>
      </w:pPr>
      <w:r>
        <w:rPr>
          <w:b/>
        </w:rPr>
        <w:t>Sampling Parameters:</w:t>
      </w:r>
      <w:r>
        <w:t xml:space="preserve"> Left at provider defaults (</w:t>
      </w:r>
      <w:r>
        <w:rPr>
          <w:rFonts w:ascii="Consolas" w:hAnsi="Consolas"/>
          <w:color w:val="8A1F11"/>
          <w:sz w:val="19"/>
        </w:rPr>
        <w:t>temperature = 1.0</w:t>
      </w:r>
      <w:r>
        <w:t xml:space="preserve">, </w:t>
      </w:r>
      <w:r>
        <w:rPr>
          <w:rFonts w:ascii="Consolas" w:hAnsi="Consolas"/>
          <w:color w:val="8A1F11"/>
          <w:sz w:val="19"/>
        </w:rPr>
        <w:t>top_p = 1.0</w:t>
      </w:r>
      <w:r>
        <w:t xml:space="preserve">, </w:t>
      </w:r>
      <w:r>
        <w:rPr>
          <w:rFonts w:ascii="Consolas" w:hAnsi="Consolas"/>
          <w:color w:val="8A1F11"/>
          <w:sz w:val="19"/>
        </w:rPr>
        <w:t>presence_penalty = 0.0</w:t>
      </w:r>
      <w:r>
        <w:t xml:space="preserve">, </w:t>
      </w:r>
      <w:r>
        <w:rPr>
          <w:rFonts w:ascii="Consolas" w:hAnsi="Consolas"/>
          <w:color w:val="8A1F11"/>
          <w:sz w:val="19"/>
        </w:rPr>
        <w:t>frequency_penalty = 0.0</w:t>
      </w:r>
      <w:r>
        <w:t>).</w:t>
      </w:r>
    </w:p>
    <w:p>
      <w:pPr>
        <w:pStyle w:val="ListBullet"/>
        <w:spacing w:after="40" w:line="276" w:lineRule="auto"/>
      </w:pPr>
      <w:r>
        <w:rPr>
          <w:b/>
        </w:rPr>
        <w:t>Resilience Policy:</w:t>
      </w:r>
      <w:r>
        <w:t xml:space="preserve"> Exponential backoff with jitter (</w:t>
      </w:r>
      <w:r>
        <w:rPr>
          <w:rFonts w:ascii="Consolas" w:hAnsi="Consolas"/>
          <w:color w:val="8A1F11"/>
          <w:sz w:val="19"/>
        </w:rPr>
        <w:t>max_retries = 3</w:t>
      </w:r>
      <w:r>
        <w:t>, initial delay 1.0s, factor 2.0, max delay 30.0s, socket timeout 120s).</w:t>
      </w:r>
    </w:p>
    <w:p>
      <w:pPr>
        <w:pStyle w:val="Heading2"/>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w:r>
        <w:rPr>
          <w:rFonts w:ascii="Cambria Math" w:hAnsi="Cambria Math"/>
          <w:i/>
        </w:rPr>
        <w:t>||v||_2 = 1.0</w:t>
      </w:r>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spacing w:before="120" w:after="120" w:line="276" w:lineRule="auto"/>
        <w:ind w:left="576" w:right="576"/>
        <w:shd w:fill="F8FAFC"/>
        <w:pBdr>
          <w:left w:val="single" w:sz="18" w:space="8" w:color="0969DA"/>
        </w:pBdr>
      </w:pPr>
      <w:r>
        <w:rPr>
          <w:rFonts w:ascii="Cambria Math" w:hAnsi="Cambria Math"/>
          <w:i/>
          <w:color w:val="0A2540"/>
          <w:sz w:val="21"/>
        </w:rPr>
        <w:t>⟨ q̂, d̂_i ⟩ = (q · d_i) / (||q||_2 ||d_i||_2) = cos(q, d_i)</w:t>
      </w:r>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w:r>
        <w:rPr>
          <w:rFonts w:ascii="Cambria Math" w:hAnsi="Cambria Math"/>
          <w:i/>
        </w:rPr>
        <w:t>N=474</w:t>
      </w:r>
      <w:r>
        <w:t>), applies a stable Python sort with compound key:</w:t>
      </w:r>
    </w:p>
    <w:p>
      <w:pPr>
        <w:spacing w:before="120" w:after="120" w:line="276" w:lineRule="auto"/>
        <w:ind w:left="576" w:right="576"/>
        <w:shd w:fill="F8FAFC"/>
        <w:pBdr>
          <w:left w:val="single" w:sz="18" w:space="8" w:color="0969DA"/>
        </w:pBdr>
      </w:pPr>
      <w:r>
        <w:rPr>
          <w:rFonts w:ascii="Cambria Math" w:hAnsi="Cambria Math"/>
          <w:i/>
          <w:color w:val="0A2540"/>
          <w:sz w:val="21"/>
        </w:rPr>
        <w:t>sort_key = (-score, technique_id)</w:t>
      </w:r>
    </w:p>
    <w:p>
      <w:r>
        <w:t xml:space="preserve">and slices the top </w:t>
      </w:r>
      <w:r>
        <w:rPr>
          <w:rFonts w:ascii="Cambria Math" w:hAnsi="Cambria Math"/>
          <w:i/>
        </w:rPr>
        <w:t>k</w:t>
      </w:r>
      <w:r>
        <w:t xml:space="preserve">. This guarantees the </w:t>
      </w:r>
      <w:r>
        <w:rPr>
          <w:b/>
        </w:rPr>
        <w:t>Prefix Consistency Invariant</w:t>
      </w:r>
      <w:r>
        <w:t>:</w:t>
      </w:r>
    </w:p>
    <w:p>
      <w:pPr>
        <w:spacing w:before="120" w:after="120" w:line="276" w:lineRule="auto"/>
        <w:ind w:left="576" w:right="576"/>
        <w:shd w:fill="F8FAFC"/>
        <w:pBdr>
          <w:left w:val="single" w:sz="18" w:space="8" w:color="0969DA"/>
        </w:pBdr>
      </w:pPr>
      <w:r>
        <w:rPr>
          <w:rFonts w:ascii="Cambria Math" w:hAnsi="Cambria Math"/>
          <w:i/>
          <w:color w:val="0A2540"/>
          <w:sz w:val="21"/>
        </w:rPr>
        <w:t>∀ k_1 &lt; k_2 ∈ {1, 3, 5, 10}: results(k_1) ≡ results(k_2)[:k_1]</w:t>
      </w:r>
    </w:p>
    <w:p>
      <w:pPr>
        <w:pStyle w:val="Heading2"/>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spacing w:before="200" w:after="80"/>
      </w:pPr>
      <w:r>
        <w:rPr>
          <w:rFonts w:ascii="Calibri" w:hAnsi="Calibri"/>
          <w:b/>
          <w:color w:val="1F2328"/>
          <w:sz w:val="24"/>
        </w:rPr>
        <w:t>4.6 Tariff, Monetary Accounting, and Financial Guard ($19.99 Budget)</w:t>
      </w:r>
    </w:p>
    <w:p>
      <w:r>
        <w:t>Live provider execution involves non-trivial API costs. In accordance with Protocol Decision D5, execution is governed by a financial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w:t>
      </w:r>
    </w:p>
    <w:p>
      <w:pPr>
        <w:pStyle w:val="ListBullet"/>
        <w:spacing w:after="40" w:line="276" w:lineRule="auto"/>
      </w:pPr>
      <w:r>
        <w:t xml:space="preserve">Input Tokens: </w:t>
      </w:r>
      <w:r>
        <w:rPr>
          <w:rFonts w:ascii="Cambria Math" w:hAnsi="Cambria Math"/>
          <w:i/>
        </w:rPr>
        <w:t>\</w:t>
      </w:r>
      <w:r>
        <w:t>0.20</w:t>
      </w:r>
      <w:r>
        <w:rPr>
          <w:rFonts w:ascii="Cambria Math" w:hAnsi="Cambria Math"/>
          <w:i/>
        </w:rPr>
        <w:t>per</w:t>
      </w:r>
      <w:r>
        <w:t>10^6</w:t>
      </w:r>
      <w:r>
        <w:rPr>
          <w:rFonts w:ascii="Cambria Math" w:hAnsi="Cambria Math"/>
          <w:i/>
        </w:rPr>
        <w:t>tokens (conservative modeling rate:</w:t>
      </w:r>
      <w:r>
        <w:t>$0.25</w:t>
      </w:r>
      <w:r>
        <w:t xml:space="preserve"> / 10^6$).</w:t>
      </w:r>
    </w:p>
    <w:p>
      <w:pPr>
        <w:pStyle w:val="ListBullet"/>
        <w:spacing w:after="40" w:line="276" w:lineRule="auto"/>
      </w:pPr>
      <w:r>
        <w:t xml:space="preserve">Output Tokens: </w:t>
      </w:r>
      <w:r>
        <w:rPr>
          <w:rFonts w:ascii="Cambria Math" w:hAnsi="Cambria Math"/>
          <w:i/>
        </w:rPr>
        <w:t>\</w:t>
      </w:r>
      <w:r>
        <w:t>1.20</w:t>
      </w:r>
      <w:r>
        <w:rPr>
          <w:rFonts w:ascii="Cambria Math" w:hAnsi="Cambria Math"/>
          <w:i/>
        </w:rPr>
        <w:t>per</w:t>
      </w:r>
      <w:r>
        <w:t>10^6$ tokens (inclusive of hidden reasoning tokens).</w:t>
      </w:r>
    </w:p>
    <w:p>
      <w:pPr>
        <w:pStyle w:val="ListBullet"/>
        <w:spacing w:after="40" w:line="276" w:lineRule="auto"/>
      </w:pPr>
      <w:r>
        <w:rPr>
          <w:b/>
        </w:rPr>
        <w:t>Worst-Case Attempt Cap:</w:t>
      </w:r>
    </w:p>
    <w:p>
      <w:pPr>
        <w:spacing w:before="120" w:after="120" w:line="276" w:lineRule="auto"/>
        <w:ind w:left="576" w:right="576"/>
        <w:shd w:fill="F8FAFC"/>
        <w:pBdr>
          <w:left w:val="single" w:sz="18" w:space="8" w:color="0969DA"/>
        </w:pBdr>
      </w:pPr>
      <w:r>
        <w:rPr>
          <w:rFonts w:ascii="Cambria Math" w:hAnsi="Cambria Math"/>
          <w:i/>
          <w:color w:val="0A2540"/>
          <w:sz w:val="21"/>
        </w:rPr>
        <w:t>Cap = N_views × N_conditions × (max_retries + 1) = 1,280 × 5 × 4 = 25,600 attempts</w:t>
      </w:r>
    </w:p>
    <w:p>
      <w:pPr>
        <w:pStyle w:val="ListBullet"/>
        <w:spacing w:after="40" w:line="276" w:lineRule="auto"/>
      </w:pPr>
      <w:r>
        <w:rPr>
          <w:b/>
        </w:rPr>
        <w:t>DEV Pilot Empirical Calibration (2026-10-01):</w:t>
      </w:r>
      <w:r>
        <w:t xml:space="preserve"> A real-provider pilot on 20 DEV views (</w:t>
      </w:r>
      <w:r>
        <w:rPr>
          <w:rFonts w:ascii="Consolas" w:hAnsi="Consolas"/>
          <w:color w:val="8A1F11"/>
          <w:sz w:val="19"/>
        </w:rPr>
        <w:t>reports/dev_cost_pilot_20261001.md</w:t>
      </w:r>
      <w:r>
        <w:t>) observed:</w:t>
      </w:r>
    </w:p>
    <w:p>
      <w:pPr>
        <w:pStyle w:val="ListBullet"/>
        <w:spacing w:after="40" w:line="276" w:lineRule="auto"/>
      </w:pPr>
      <w:r>
        <w:t>Input Tokens: 42,213; Output Tokens: 13,139 (mean output: 656.95 tokens/request; peak: 2,421 tokens).</w:t>
      </w:r>
    </w:p>
    <w:p>
      <w:pPr>
        <w:pStyle w:val="ListBullet"/>
        <w:spacing w:after="40" w:line="276" w:lineRule="auto"/>
      </w:pPr>
      <w:r>
        <w:t xml:space="preserve">Total Empirical Spend: </w:t>
      </w:r>
      <w:r>
        <w:rPr>
          <w:rFonts w:ascii="Cambria Math" w:hAnsi="Cambria Math"/>
          <w:i/>
        </w:rPr>
        <w:t>\</w:t>
      </w:r>
      <w:r>
        <w:t>0.0242$ across 20 successful requests (mean latency: 8.13s).</w:t>
      </w:r>
    </w:p>
    <w:p>
      <w:pPr>
        <w:pStyle w:val="ListBullet"/>
        <w:spacing w:after="40" w:line="276" w:lineRule="auto"/>
      </w:pPr>
      <w:r>
        <w:rPr>
          <w:b/>
        </w:rPr>
        <w:t>Canonical Projection and the $19.99 Hard Ceiling:</w:t>
      </w:r>
      <w:r>
        <w:t xml:space="preserve"> Offline tokenization of all 6,400 planned TEST prompts via </w:t>
      </w:r>
      <w:r>
        <w:rPr>
          <w:rFonts w:ascii="Consolas" w:hAnsi="Consolas"/>
          <w:color w:val="8A1F11"/>
          <w:sz w:val="19"/>
        </w:rPr>
        <w:t>o200k_base</w:t>
      </w:r>
      <w:r>
        <w:t xml:space="preserve"> projected 15,766,654 input tokens. At the observed pilot output mean, the projected cost is approximately </w:t>
      </w:r>
      <w:r>
        <w:rPr>
          <w:rFonts w:ascii="Cambria Math" w:hAnsi="Cambria Math"/>
          <w:b/>
          <w:i/>
        </w:rPr>
        <w:t>\</w:t>
      </w:r>
      <w:r>
        <w:rPr>
          <w:b/>
        </w:rPr>
        <w:t>8.20$</w:t>
      </w:r>
      <w:r>
        <w:t xml:space="preserve"> (or </w:t>
      </w:r>
      <w:r>
        <w:rPr>
          <w:rFonts w:ascii="Cambria Math" w:hAnsi="Cambria Math"/>
          <w:b/>
          <w:i/>
        </w:rPr>
        <w:t>\</w:t>
      </w:r>
      <w:r>
        <w:rPr>
          <w:b/>
        </w:rPr>
        <w:t>8.99$</w:t>
      </w:r>
      <w:r>
        <w:t xml:space="preserve"> under conservative input rates). A hard budget ceiling of </w:t>
      </w:r>
      <w:r>
        <w:rPr>
          <w:rFonts w:ascii="Cambria Math" w:hAnsi="Cambria Math"/>
          <w:b/>
          <w:i/>
        </w:rPr>
        <w:t>\</w:t>
      </w:r>
      <w:r>
        <w:rPr>
          <w:b/>
        </w:rPr>
        <w:t>19.99$</w:t>
      </w:r>
      <w:r>
        <w:t xml:space="preserve"> is enforced by the execution runner, providing a </w:t>
      </w:r>
      <w:r>
        <w:rPr>
          <w:rFonts w:ascii="Cambria Math" w:hAnsi="Cambria Math"/>
          <w:i/>
        </w:rPr>
        <w:t>2.2×</w:t>
      </w:r>
      <w:r>
        <w:t xml:space="preserve"> safety margin before halting execution.</w:t>
      </w:r>
    </w:p>
    <w:p>
      <w:pPr>
        <w:spacing w:before="120" w:after="120"/>
        <w:pBdr>
          <w:bottom w:val="single" w:sz="6" w:space="1" w:color="D0D7DE"/>
        </w:pBdr>
      </w:pPr>
    </w:p>
    <w:p>
      <w:pPr>
        <w:pStyle w:val="Heading1"/>
        <w:spacing w:before="280" w:after="120"/>
      </w:pPr>
      <w:r>
        <w:rPr>
          <w:rFonts w:ascii="Georgia" w:hAnsi="Georgia"/>
          <w:b/>
          <w:color w:val="0A2540"/>
          <w:sz w:val="28"/>
        </w:rPr>
        <w:t>5. Evaluation Framework and Metrics</w:t>
      </w:r>
    </w:p>
    <w:p>
      <w:pPr>
        <w:pStyle w:val="Heading2"/>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w:r>
        <w:rPr>
          <w:rFonts w:ascii="Cambria Math" w:hAnsi="Cambria Math"/>
          <w:i/>
        </w:rPr>
        <w:t>i</w:t>
      </w:r>
      <w:r>
        <w:t xml:space="preserve"> with endpoint telemetry </w:t>
      </w:r>
      <w:r>
        <w:rPr>
          <w:rFonts w:ascii="Cambria Math" w:hAnsi="Cambria Math"/>
          <w:i/>
        </w:rPr>
        <w:t>x_i</w:t>
      </w:r>
      <w:r>
        <w:t xml:space="preserve"> has ground-truth annotation </w:t>
      </w:r>
      <w:r>
        <w:rPr>
          <w:rFonts w:ascii="Cambria Math" w:hAnsi="Cambria Math"/>
          <w:i/>
        </w:rPr>
        <w:t>Y_i ⊆ C</w:t>
      </w:r>
      <w:r>
        <w:t xml:space="preserve">, where </w:t>
      </w:r>
      <w:r>
        <w:rPr>
          <w:rFonts w:ascii="Cambria Math" w:hAnsi="Cambria Math"/>
          <w:i/>
        </w:rPr>
        <w:t>C</w:t>
      </w:r>
      <w:r>
        <w:t xml:space="preserve"> is the 474-technique universe. Given model prediction </w:t>
      </w:r>
      <w:r>
        <w:rPr>
          <w:rFonts w:ascii="Cambria Math" w:hAnsi="Cambria Math"/>
          <w:i/>
        </w:rPr>
        <w:t>ŷ_i ∈ C</w:t>
      </w:r>
      <w:r>
        <w:t>, the indicator function of correctness is:</w:t>
      </w:r>
    </w:p>
    <w:p>
      <w:pPr>
        <w:spacing w:before="120" w:after="120" w:line="276" w:lineRule="auto"/>
        <w:ind w:left="576" w:right="576"/>
        <w:shd w:fill="F8FAFC"/>
        <w:pBdr>
          <w:left w:val="single" w:sz="18" w:space="8" w:color="0969DA"/>
        </w:pBdr>
      </w:pPr>
      <w:r>
        <w:rPr>
          <w:rFonts w:ascii="Cambria Math" w:hAnsi="Cambria Math"/>
          <w:i/>
          <w:color w:val="0A2540"/>
          <w:sz w:val="21"/>
        </w:rPr>
        <w:t>I_correct(i) = 1 if ŷ_i ∈ Y_i, 0 otherwise</w:t>
      </w:r>
    </w:p>
    <w:p>
      <w:pPr>
        <w:pStyle w:val="Heading2"/>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w:r>
        <w:rPr>
          <w:rFonts w:ascii="Cambria Math" w:hAnsi="Cambria Math"/>
          <w:b/>
          <w:i/>
        </w:rPr>
        <w:t>Acc_e2e</w:t>
      </w:r>
      <w:r>
        <w:rPr>
          <w:b/>
        </w:rPr>
        <w:t>):</w:t>
      </w:r>
      <w:r>
        <w:t xml:space="preserve"> Computed over all scorable samples (</w:t>
      </w:r>
      <w:r>
        <w:rPr>
          <w:rFonts w:ascii="Cambria Math" w:hAnsi="Cambria Math"/>
          <w:i/>
        </w:rPr>
        <w:t>N_scorable = 718</w:t>
      </w:r>
      <w:r>
        <w:t xml:space="preserve"> in TEST), treating provider failures (timeouts, HTTP errors) and schema parse failures as incorrect:</w:t>
      </w:r>
    </w:p>
    <w:p>
      <w:pPr>
        <w:spacing w:before="120" w:after="120" w:line="276" w:lineRule="auto"/>
        <w:ind w:left="576" w:right="576"/>
        <w:shd w:fill="F8FAFC"/>
        <w:pBdr>
          <w:left w:val="single" w:sz="18" w:space="8" w:color="0969DA"/>
        </w:pBdr>
      </w:pPr>
      <w:r>
        <w:rPr>
          <w:rFonts w:ascii="Cambria Math" w:hAnsi="Cambria Math"/>
          <w:i/>
          <w:color w:val="0A2540"/>
          <w:sz w:val="21"/>
        </w:rPr>
        <w:t>Acc_e2e = (1) / (N_scorable) ∑_(i=1)^N_scorable I_correct(i)</w:t>
      </w:r>
    </w:p>
    <w:p>
      <w:pPr>
        <w:pStyle w:val="ListBullet"/>
        <w:spacing w:after="40" w:line="276" w:lineRule="auto"/>
      </w:pPr>
      <w:r>
        <w:rPr>
          <w:b/>
        </w:rPr>
        <w:t>Valid Output Accuracy (</w:t>
      </w:r>
      <w:r>
        <w:rPr>
          <w:rFonts w:ascii="Cambria Math" w:hAnsi="Cambria Math"/>
          <w:b/>
          <w:i/>
        </w:rPr>
        <w:t>Acc_valid</w:t>
      </w:r>
      <w:r>
        <w:rPr>
          <w:b/>
        </w:rPr>
        <w:t>):</w:t>
      </w:r>
      <w:r>
        <w:t xml:space="preserve"> Computed conditionally over completed, validly parsed responses (</w:t>
      </w:r>
      <w:r>
        <w:rPr>
          <w:rFonts w:ascii="Cambria Math" w:hAnsi="Cambria Math"/>
          <w:i/>
        </w:rPr>
        <w:t>N_valid</w:t>
      </w:r>
      <w:r>
        <w:t>):</w:t>
      </w:r>
    </w:p>
    <w:p>
      <w:pPr>
        <w:spacing w:before="120" w:after="120" w:line="276" w:lineRule="auto"/>
        <w:ind w:left="576" w:right="576"/>
        <w:shd w:fill="F8FAFC"/>
        <w:pBdr>
          <w:left w:val="single" w:sz="18" w:space="8" w:color="0969DA"/>
        </w:pBdr>
      </w:pPr>
      <w:r>
        <w:rPr>
          <w:rFonts w:ascii="Cambria Math" w:hAnsi="Cambria Math"/>
          <w:i/>
          <w:color w:val="0A2540"/>
          <w:sz w:val="21"/>
        </w:rPr>
        <w:t>Acc_valid = (1) / (N_valid) ∑_(i ∈ Valid) I_correct(i)</w:t>
      </w:r>
    </w:p>
    <w:p>
      <w:pPr>
        <w:pStyle w:val="Heading2"/>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w:r>
        <w:rPr>
          <w:rFonts w:ascii="Cambria Math" w:hAnsi="Cambria Math"/>
          <w:i/>
        </w:rPr>
        <w:t>C</w:t>
      </w:r>
      <w:r>
        <w:t xml:space="preserve"> (</w:t>
      </w:r>
      <w:r>
        <w:rPr>
          <w:rFonts w:ascii="Cambria Math" w:hAnsi="Cambria Math"/>
          <w:i/>
        </w:rPr>
        <w:t>|C| = 474</w:t>
      </w:r>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spacing w:before="160" w:after="40"/>
      </w:pPr>
      <w:r>
        <w:rPr>
          <w:rFonts w:ascii="Calibri" w:hAnsi="Calibri"/>
          <w:b/>
          <w:i/>
          <w:color w:val="333344"/>
          <w:sz w:val="22"/>
        </w:rPr>
        <w:t>1. Per-Class Confusion Components and Evaluator Accounting</w:t>
      </w:r>
    </w:p>
    <w:p>
      <w:r>
        <w:t xml:space="preserve">For each technique </w:t>
      </w:r>
      <w:r>
        <w:rPr>
          <w:rFonts w:ascii="Cambria Math" w:hAnsi="Cambria Math"/>
          <w:i/>
        </w:rPr>
        <w:t>c ∈ C</w:t>
      </w:r>
      <w:r>
        <w:t>, the evaluator tracks:</w:t>
      </w:r>
    </w:p>
    <w:p>
      <w:pPr>
        <w:pStyle w:val="ListBullet"/>
        <w:spacing w:after="40" w:line="276" w:lineRule="auto"/>
      </w:pPr>
      <w:r>
        <w:t>True Positives (</w:t>
      </w:r>
      <w:r>
        <w:rPr>
          <w:rFonts w:ascii="Cambria Math" w:hAnsi="Cambria Math"/>
          <w:i/>
        </w:rPr>
        <w:t>TP_c</w:t>
      </w:r>
      <w:r>
        <w:t xml:space="preserve">): Model predicted class </w:t>
      </w:r>
      <w:r>
        <w:rPr>
          <w:rFonts w:ascii="Cambria Math" w:hAnsi="Cambria Math"/>
          <w:i/>
        </w:rPr>
        <w:t>c</w:t>
      </w:r>
      <w:r>
        <w:t xml:space="preserve"> and </w:t>
      </w:r>
      <w:r>
        <w:rPr>
          <w:rFonts w:ascii="Cambria Math" w:hAnsi="Cambria Math"/>
          <w:i/>
        </w:rPr>
        <w:t>c ∈ Y_i</w:t>
      </w:r>
      <w:r>
        <w:t>.</w:t>
      </w:r>
    </w:p>
    <w:p>
      <w:pPr>
        <w:pStyle w:val="ListBullet"/>
        <w:spacing w:after="40" w:line="276" w:lineRule="auto"/>
      </w:pPr>
      <w:r>
        <w:t>False Positives (</w:t>
      </w:r>
      <w:r>
        <w:rPr>
          <w:rFonts w:ascii="Cambria Math" w:hAnsi="Cambria Math"/>
          <w:i/>
        </w:rPr>
        <w:t>FP_c</w:t>
      </w:r>
      <w:r>
        <w:t xml:space="preserve">): Model predicted class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False Negatives (</w:t>
      </w:r>
      <w:r>
        <w:rPr>
          <w:rFonts w:ascii="Cambria Math" w:hAnsi="Cambria Math"/>
          <w:i/>
        </w:rPr>
        <w:t>FN_c</w:t>
      </w:r>
      <w:r>
        <w:t xml:space="preserve">): Model predicted a class other than </w:t>
      </w:r>
      <w:r>
        <w:rPr>
          <w:rFonts w:ascii="Cambria Math" w:hAnsi="Cambria Math"/>
          <w:i/>
        </w:rPr>
        <w:t>c</w:t>
      </w:r>
      <w:r>
        <w:t xml:space="preserve">, but </w:t>
      </w:r>
      <w:r>
        <w:rPr>
          <w:rFonts w:ascii="Cambria Math" w:hAnsi="Cambria Math"/>
          <w:i/>
        </w:rPr>
        <w:t>c ∈ Y_i</w:t>
      </w:r>
      <w:r>
        <w:t>.</w:t>
      </w:r>
    </w:p>
    <w:p>
      <w:pPr>
        <w:pStyle w:val="ListBullet"/>
        <w:spacing w:after="40" w:line="276" w:lineRule="auto"/>
      </w:pPr>
      <w:r>
        <w:t xml:space="preserve">Ground-truth support: </w:t>
      </w:r>
      <w:r>
        <w:rPr>
          <w:rFonts w:ascii="Cambria Math" w:hAnsi="Cambria Math"/>
          <w:i/>
        </w:rPr>
        <w:t>support_c = TP_c + FN_c</w:t>
      </w:r>
      <w:r>
        <w:t>.</w:t>
      </w:r>
    </w:p>
    <w:p>
      <w:pPr>
        <w:pStyle w:val="ListBullet"/>
        <w:spacing w:after="40" w:line="276" w:lineRule="auto"/>
      </w:pPr>
      <w:r>
        <w:t xml:space="preserve">Emitted predictions: </w:t>
      </w:r>
      <w:r>
        <w:rPr>
          <w:rFonts w:ascii="Cambria Math" w:hAnsi="Cambria Math"/>
          <w:i/>
        </w:rPr>
        <w:t>pred_c = TP_c + FP_c</w:t>
      </w:r>
      <w:r>
        <w:t>.</w:t>
      </w:r>
    </w:p>
    <w:p>
      <w:pPr>
        <w:pStyle w:val="Heading3"/>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w:r>
        <w:rPr>
          <w:rFonts w:ascii="Cambria Math" w:hAnsi="Cambria Math"/>
          <w:b/>
          <w:i/>
        </w:rPr>
        <w:t>support_c = 0 ∧ pred_c = 0</w:t>
      </w:r>
      <w:r>
        <w:rPr>
          <w:b/>
        </w:rPr>
        <w:t>):</w:t>
      </w:r>
    </w:p>
    <w:p>
      <w:r>
        <w:rPr>
          <w:rFonts w:ascii="Cambria Math" w:hAnsi="Cambria Math"/>
          <w:i/>
        </w:rPr>
        <w:t>TP_c = 0, FP_c = 0, FN_c = 0</w:t>
      </w:r>
      <w:r>
        <w:t>. Both precision denominator (</w:t>
      </w:r>
      <w:r>
        <w:rPr>
          <w:rFonts w:ascii="Cambria Math" w:hAnsi="Cambria Math"/>
          <w:i/>
        </w:rPr>
        <w:t>TP+FP=0</w:t>
      </w:r>
      <w:r>
        <w:t>) and recall denominator (</w:t>
      </w:r>
      <w:r>
        <w:rPr>
          <w:rFonts w:ascii="Cambria Math" w:hAnsi="Cambria Math"/>
          <w:i/>
        </w:rPr>
        <w:t>TP+FN=0</w:t>
      </w:r>
      <w:r>
        <w:t>) are zero; F1 denominator (</w:t>
      </w:r>
      <w:r>
        <w:rPr>
          <w:rFonts w:ascii="Cambria Math" w:hAnsi="Cambria Math"/>
          <w:i/>
        </w:rPr>
        <w:t>2TP+FP+FN=0</w:t>
      </w:r>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Known-Answer Verification Example:</w:t>
      </w:r>
      <w:r>
        <w:t xml:space="preserve"> A technique in the 474 universe (e.g.,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w:r>
        <w:rPr>
          <w:rFonts w:ascii="Cambria Math" w:hAnsi="Cambria Math"/>
          <w:b/>
          <w:i/>
        </w:rPr>
        <w:t>support_c &gt; 0 ∧ pred_c = 0</w:t>
      </w:r>
      <w:r>
        <w:rPr>
          <w:b/>
        </w:rPr>
        <w:t>):</w:t>
      </w:r>
    </w:p>
    <w:p>
      <w:r>
        <w:rPr>
          <w:rFonts w:ascii="Cambria Math" w:hAnsi="Cambria Math"/>
          <w:i/>
        </w:rPr>
        <w:t>TP_c = 0, FP_c = 0, FN_c = support_c &gt; 0</w:t>
      </w:r>
      <w:r>
        <w:t>. Precision denominator (</w:t>
      </w:r>
      <w:r>
        <w:rPr>
          <w:rFonts w:ascii="Cambria Math" w:hAnsi="Cambria Math"/>
          <w:i/>
        </w:rPr>
        <w:t>TP+FP=0</w:t>
      </w:r>
      <w:r>
        <w:t xml:space="preserve">) is zero; recall denominator is </w:t>
      </w:r>
      <w:r>
        <w:rPr>
          <w:rFonts w:ascii="Cambria Math" w:hAnsi="Cambria Math"/>
          <w:i/>
        </w:rPr>
        <w:t>support_c &gt; 0</w:t>
      </w:r>
      <w:r>
        <w:t xml:space="preserve">; F1 denominator is </w:t>
      </w:r>
      <w:r>
        <w:rPr>
          <w:rFonts w:ascii="Cambria Math" w:hAnsi="Cambria Math"/>
          <w:i/>
        </w:rPr>
        <w:t>FN_c &gt; 0</w:t>
      </w:r>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present in ground truth (e.g.,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w:r>
        <w:rPr>
          <w:rFonts w:ascii="Cambria Math" w:hAnsi="Cambria Math"/>
          <w:b/>
          <w:i/>
        </w:rPr>
        <w:t>support_c = 0 ∧ pred_c &gt; 0</w:t>
      </w:r>
      <w:r>
        <w:rPr>
          <w:b/>
        </w:rPr>
        <w:t>):</w:t>
      </w:r>
    </w:p>
    <w:p>
      <w:r>
        <w:rPr>
          <w:rFonts w:ascii="Cambria Math" w:hAnsi="Cambria Math"/>
          <w:i/>
        </w:rPr>
        <w:t>TP_c = 0, FP_c = pred_c &gt; 0, FN_c = 0</w:t>
      </w:r>
      <w:r>
        <w:t xml:space="preserve">. Precision denominator is </w:t>
      </w:r>
      <w:r>
        <w:rPr>
          <w:rFonts w:ascii="Cambria Math" w:hAnsi="Cambria Math"/>
          <w:i/>
        </w:rPr>
        <w:t>FP_c &gt; 0</w:t>
      </w:r>
      <w:r>
        <w:t>; recall denominator (</w:t>
      </w:r>
      <w:r>
        <w:rPr>
          <w:rFonts w:ascii="Cambria Math" w:hAnsi="Cambria Math"/>
          <w:i/>
        </w:rPr>
        <w:t>TP+FN=0</w:t>
      </w:r>
      <w:r>
        <w:t xml:space="preserve">) is zero; F1 denominator is </w:t>
      </w:r>
      <w:r>
        <w:rPr>
          <w:rFonts w:ascii="Cambria Math" w:hAnsi="Cambria Math"/>
          <w:i/>
        </w:rPr>
        <w:t>FP_c &gt; 0</w:t>
      </w:r>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Known-Answer Verification Example:</w:t>
      </w:r>
      <w:r>
        <w:t xml:space="preserve"> A technique absent from ground truth (e.g.,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spacing w:before="160" w:after="40"/>
      </w:pPr>
      <w:r>
        <w:rPr>
          <w:rFonts w:ascii="Calibri" w:hAnsi="Calibri"/>
          <w:b/>
          <w:i/>
          <w:color w:val="333344"/>
          <w:sz w:val="22"/>
        </w:rPr>
        <w:t>3. Condition-Level Macro-F1 Aggregation (`compute_condition_metrics`)</w:t>
      </w:r>
    </w:p>
    <w:p>
      <w:r>
        <w:t xml:space="preserve">To produce the headline </w:t>
      </w:r>
      <w:r>
        <w:rPr>
          <w:rFonts w:ascii="Cambria Math" w:hAnsi="Cambria Math"/>
          <w:i/>
        </w:rPr>
        <w:t>Macro-F1</w:t>
      </w:r>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w:r>
        <w:rPr>
          <w:rFonts w:ascii="Cambria Math" w:hAnsi="Cambria Math"/>
          <w:i/>
        </w:rPr>
        <w:t>support_c = 0 ∧ pred_c = 0</w:t>
      </w:r>
      <w:r>
        <w:t xml:space="preserve">, Case A) contribute exactly </w:t>
      </w:r>
      <w:r>
        <w:rPr>
          <w:rFonts w:ascii="Cambria Math" w:hAnsi="Cambria Math"/>
          <w:i/>
        </w:rPr>
        <w:t>0.0</w:t>
      </w:r>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w:r>
        <w:rPr>
          <w:rFonts w:ascii="Cambria Math" w:hAnsi="Cambria Math"/>
          <w:i/>
        </w:rPr>
        <w:t>0.0</w:t>
      </w:r>
      <w:r>
        <w:t xml:space="preserve"> (</w:t>
      </w:r>
      <w:r>
        <w:rPr>
          <w:rFonts w:ascii="Consolas" w:hAnsi="Consolas"/>
          <w:color w:val="8A1F11"/>
          <w:sz w:val="19"/>
        </w:rPr>
        <w:t>f1_sum += 0.0</w:t>
      </w:r>
      <w:r>
        <w:t>).</w:t>
      </w:r>
    </w:p>
    <w:p>
      <w:pPr>
        <w:pStyle w:val="ListBullet"/>
        <w:spacing w:after="40" w:line="276" w:lineRule="auto"/>
      </w:pPr>
      <w:r>
        <w:t>Observed classes with true positives (</w:t>
      </w:r>
      <w:r>
        <w:rPr>
          <w:rFonts w:ascii="Cambria Math" w:hAnsi="Cambria Math"/>
          <w:i/>
        </w:rPr>
        <w:t>TP_c &gt; 0</w:t>
      </w:r>
      <w:r>
        <w:t>) compute:</w:t>
      </w:r>
    </w:p>
    <w:p>
      <w:pPr>
        <w:spacing w:before="120" w:after="120" w:line="276" w:lineRule="auto"/>
        <w:ind w:left="576" w:right="576"/>
        <w:shd w:fill="F8FAFC"/>
        <w:pBdr>
          <w:left w:val="single" w:sz="18" w:space="8" w:color="0969DA"/>
        </w:pBdr>
      </w:pPr>
      <w:r>
        <w:rPr>
          <w:rFonts w:ascii="Cambria Math" w:hAnsi="Cambria Math"/>
          <w:i/>
          <w:color w:val="0A2540"/>
          <w:sz w:val="21"/>
        </w:rPr>
        <w:t>P_c = (TP_c) / (TP_c + FP_c), R_c = (TP_c) / (TP_c + FN_c), F1_c = (2 · P_c · R_c) / (P_c + R_c)</w:t>
      </w:r>
    </w:p>
    <w:p>
      <w:pPr>
        <w:pStyle w:val="ListBullet"/>
        <w:spacing w:after="40" w:line="276" w:lineRule="auto"/>
      </w:pPr>
      <w:r>
        <w:t>The total sum is divided by the frozen universe size 474:</w:t>
      </w:r>
    </w:p>
    <w:p>
      <w:pPr>
        <w:spacing w:before="120" w:after="120" w:line="276" w:lineRule="auto"/>
        <w:ind w:left="576" w:right="576"/>
        <w:shd w:fill="F8FAFC"/>
        <w:pBdr>
          <w:left w:val="single" w:sz="18" w:space="8" w:color="0969DA"/>
        </w:pBdr>
      </w:pPr>
      <w:r>
        <w:rPr>
          <w:rFonts w:ascii="Cambria Math" w:hAnsi="Cambria Math"/>
          <w:i/>
          <w:color w:val="0A2540"/>
          <w:sz w:val="21"/>
        </w:rPr>
        <w:t>Macro-F1 = (1) / (474) ∑_(c ∈ C) F1_c</w:t>
      </w:r>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2"/>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w:r>
        <w:rPr>
          <w:rFonts w:ascii="Cambria Math" w:hAnsi="Cambria Math"/>
          <w:i/>
        </w:rPr>
        <w:t>Y_i ∩ Top-k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w:r>
        <w:rPr>
          <w:rFonts w:ascii="Cambria Math" w:hAnsi="Cambria Math"/>
          <w:i/>
        </w:rPr>
        <w:t>ŷ_i ∉ Y_i</w:t>
      </w:r>
      <w:r>
        <w:t>.</w:t>
      </w:r>
    </w:p>
    <w:p>
      <w:r>
        <w:t>Crucially, downstream generation failures are partitioned into:</w:t>
      </w:r>
    </w:p>
    <w:p>
      <w:pPr>
        <w:pStyle w:val="ListBullet"/>
        <w:spacing w:after="40" w:line="276" w:lineRule="auto"/>
      </w:pPr>
      <w:r>
        <w:rPr>
          <w:b/>
        </w:rPr>
        <w:t>Downstream Error Given Retrieval Success:</w:t>
      </w:r>
      <w:r>
        <w:t xml:space="preserve"> </w:t>
      </w:r>
      <w:r>
        <w:rPr>
          <w:rFonts w:ascii="Cambria Math" w:hAnsi="Cambria Math"/>
          <w:i/>
        </w:rPr>
        <w:t>Y_i ∩ Top-k ≠ ∅ ∧ ŷ_i ∉ Y_i</w:t>
      </w:r>
      <w:r>
        <w:t xml:space="preserve"> (the retriever succeeded, but the LLM failed to select the correct candidate).</w:t>
      </w:r>
    </w:p>
    <w:p>
      <w:pPr>
        <w:pStyle w:val="ListBullet"/>
        <w:spacing w:after="40" w:line="276" w:lineRule="auto"/>
      </w:pPr>
      <w:r>
        <w:rPr>
          <w:b/>
        </w:rPr>
        <w:t>Downstream Error Given Retrieval Miss:</w:t>
      </w:r>
      <w:r>
        <w:t xml:space="preserve"> </w:t>
      </w:r>
      <w:r>
        <w:rPr>
          <w:rFonts w:ascii="Cambria Math" w:hAnsi="Cambria Math"/>
          <w:i/>
        </w:rPr>
        <w:t>Y_i ∩ Top-k = ∅ ∧ ŷ_i ∉ Y_i</w:t>
      </w:r>
      <w:r>
        <w:t xml:space="preserve"> (the retriever failed, and the LLM was unable to recover parametrically).</w:t>
      </w:r>
    </w:p>
    <w:p>
      <w:pPr>
        <w:spacing w:before="120" w:after="120"/>
        <w:pBdr>
          <w:bottom w:val="single" w:sz="6" w:space="1" w:color="D0D7DE"/>
        </w:pBdr>
      </w:pPr>
    </w:p>
    <w:p>
      <w:pPr>
        <w:pStyle w:val="Heading1"/>
        <w:spacing w:before="280" w:after="120"/>
      </w:pPr>
      <w:r>
        <w:rPr>
          <w:rFonts w:ascii="Georgia" w:hAnsi="Georgia"/>
          <w:b/>
          <w:color w:val="0A2540"/>
          <w:sz w:val="28"/>
        </w:rPr>
        <w:t>6. Results Scaffold and Empirical Table Schemas</w:t>
      </w:r>
    </w:p>
    <w:p>
      <w:r>
        <w:t xml:space="preserve">In strict compliance with empirical integrity standards, </w:t>
      </w:r>
      <w:r>
        <w:rPr>
          <w:b/>
        </w:rPr>
        <w:t>all tables in this section present formal scientific schemas and placeholders (</w:t>
      </w:r>
      <w:r>
        <w:rPr>
          <w:rFonts w:ascii="Consolas" w:hAnsi="Consolas"/>
          <w:color w:val="8A1F11"/>
          <w:sz w:val="19"/>
        </w:rPr>
        <w:t>[TBD_AT_EXECUTION]</w:t>
      </w:r>
      <w:r>
        <w:rPr>
          <w:b/>
        </w:rPr>
        <w:t>)</w:t>
      </w:r>
      <w:r>
        <w:t>. Numerical values will be populated exclusively from canonical execution logs post-run.</w:t>
      </w:r>
    </w:p>
    <w:p>
      <w:pPr>
        <w:pStyle w:val="Heading2"/>
        <w:spacing w:before="200" w:after="80"/>
      </w:pPr>
      <w:r>
        <w:rPr>
          <w:rFonts w:ascii="Calibri" w:hAnsi="Calibri"/>
          <w:b/>
          <w:color w:val="1F2328"/>
          <w:sz w:val="24"/>
        </w:rPr>
        <w:t>6.1 RQ1: Retrieval-Augmented Attribution Efficacy</w:t>
      </w:r>
    </w:p>
    <w:p>
      <w:r>
        <w:t>Table 2a and Table 2b outline the comparative attribution performance and diagnostic metrics across the five experimental conditions on the 718 scorable mapped positive TEST views (678 single-GT, 40 multi-GT).</w:t>
      </w:r>
    </w:p>
    <w:p>
      <w:r>
        <w:rPr>
          <w:i/>
        </w:rPr>
        <w:t>Table 2a: Primary Attribution Performance Across Experimental Conditions (Schema).</w:t>
      </w:r>
    </w:p>
    <w:tbl>
      <w:tblPr>
        <w:tblW w:type="auto" w:w="0"/>
        <w:jc w:val="center"/>
        <w:tblLayout w:type="fixed"/>
        <w:tblLook w:firstColumn="1" w:firstRow="1" w:lastColumn="0" w:lastRow="0" w:noHBand="0" w:noVBand="1" w:val="04A0"/>
      </w:tblPr>
      <w:tblGrid>
        <w:gridCol w:w="1584"/>
        <w:gridCol w:w="1440"/>
        <w:gridCol w:w="1296"/>
        <w:gridCol w:w="1584"/>
        <w:gridCol w:w="1584"/>
        <w:gridCol w:w="187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Retrieval Depth (</w:t>
            </w:r>
            <w:r>
              <w:rPr>
                <w:rFonts w:ascii="Cambria Math" w:hAnsi="Cambria Math"/>
                <w:b/>
                <w:i/>
                <w:color w:val="FFFFFF"/>
                <w:sz w:val="17"/>
              </w:rPr>
              <w:t>k</w:t>
            </w:r>
            <w:r>
              <w:rPr>
                <w:b/>
                <w:color w:val="FFFFFF"/>
                <w:sz w:val="17"/>
              </w:rPr>
              <w:t>)</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Headline Accuracy (</w:t>
            </w:r>
            <w:r>
              <w:rPr>
                <w:rFonts w:ascii="Cambria Math" w:hAnsi="Cambria Math"/>
                <w:b/>
                <w:i/>
                <w:color w:val="FFFFFF"/>
                <w:sz w:val="17"/>
              </w:rPr>
              <w:t>Acc_e2e</w:t>
            </w:r>
            <w:r>
              <w:rPr>
                <w:b/>
                <w:color w:val="FFFFFF"/>
                <w:sz w:val="17"/>
              </w:rPr>
              <w:t>)</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Valid Accuracy (</w:t>
            </w:r>
            <w:r>
              <w:rPr>
                <w:rFonts w:ascii="Cambria Math" w:hAnsi="Cambria Math"/>
                <w:b/>
                <w:i/>
                <w:color w:val="FFFFFF"/>
                <w:sz w:val="17"/>
              </w:rPr>
              <w:t>Acc_valid</w:t>
            </w:r>
            <w:r>
              <w:rPr>
                <w:b/>
                <w:color w:val="FFFFFF"/>
                <w:sz w:val="17"/>
              </w:rPr>
              <w:t>)</w:t>
            </w:r>
          </w:p>
        </w:tc>
        <w:tc>
          <w:tcPr>
            <w:tcW w:type="dxa" w:w="187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474-Class Macro F1</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3</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5</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10</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7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r>
        <w:rPr>
          <w:i/>
        </w:rPr>
        <w:t>Table 2b: Attribution Diagnostic Metrics Across Experimental Conditions (Schema).</w:t>
      </w:r>
    </w:p>
    <w:tbl>
      <w:tblPr>
        <w:tblW w:type="auto" w:w="0"/>
        <w:jc w:val="center"/>
        <w:tblLayout w:type="fixed"/>
        <w:tblLook w:firstColumn="1" w:firstRow="1" w:lastColumn="0" w:lastRow="0" w:noHBand="0" w:noVBand="1" w:val="04A0"/>
      </w:tblPr>
      <w:tblGrid>
        <w:gridCol w:w="1584"/>
        <w:gridCol w:w="1440"/>
        <w:gridCol w:w="1656"/>
        <w:gridCol w:w="1584"/>
        <w:gridCol w:w="1584"/>
        <w:gridCol w:w="1512"/>
      </w:tblGrid>
      <w:tr>
        <w:trPr>
          <w:cantSplit/>
          <w:tblHeader/>
        </w:trPr>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Scorable Views (</w:t>
            </w:r>
            <w:r>
              <w:rPr>
                <w:rFonts w:ascii="Cambria Math" w:hAnsi="Cambria Math"/>
                <w:b/>
                <w:i/>
                <w:color w:val="FFFFFF"/>
                <w:sz w:val="17"/>
              </w:rPr>
              <w:t>N</w:t>
            </w:r>
            <w:r>
              <w:rPr>
                <w:b/>
                <w:color w:val="FFFFFF"/>
                <w:sz w:val="17"/>
              </w:rPr>
              <w:t>)</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Completed Outputs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Parse Failures</w:t>
            </w:r>
          </w:p>
        </w:tc>
        <w:tc>
          <w:tcPr>
            <w:tcW w:type="dxa" w:w="1584"/>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ATT&amp;CK IDs</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Invalid ID Rate (%)</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7"/>
              </w:rPr>
              <w:t>718</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84"/>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3"/>
        <w:spacing w:before="160" w:after="40"/>
      </w:pPr>
      <w:r>
        <w:rPr>
          <w:rFonts w:ascii="Calibri" w:hAnsi="Calibri"/>
          <w:b/>
          <w:i/>
          <w:color w:val="333344"/>
          <w:sz w:val="22"/>
        </w:rPr>
        <w:t>Single-Event vs. Contextual-Event Performance Breakdown</w:t>
      </w:r>
    </w:p>
    <w:p>
      <w:r>
        <w:t>Table 3 schemas the comparative performance partitioned by telemetry representation (278 Single-Event Views vs. 440 Contextual-Event Views).</w:t>
      </w:r>
    </w:p>
    <w:p>
      <w:r>
        <w:rPr>
          <w:i/>
        </w:rPr>
        <w:t>Table 3: Representation Stratification: Single-Event vs. Contextual-Event Views (Schema).</w:t>
      </w:r>
    </w:p>
    <w:tbl>
      <w:tblPr>
        <w:tblW w:type="auto" w:w="0"/>
        <w:jc w:val="center"/>
        <w:tblLayout w:type="fixed"/>
        <w:tblLook w:firstColumn="1" w:firstRow="1" w:lastColumn="0" w:lastRow="0" w:noHBand="0" w:noVBand="1" w:val="04A0"/>
      </w:tblPr>
      <w:tblGrid>
        <w:gridCol w:w="1440"/>
        <w:gridCol w:w="1656"/>
        <w:gridCol w:w="1800"/>
        <w:gridCol w:w="1512"/>
        <w:gridCol w:w="1512"/>
        <w:gridCol w:w="1440"/>
      </w:tblGrid>
      <w:tr>
        <w:trPr>
          <w:cantSplit/>
          <w:tblHeader/>
        </w:trPr>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Condition</w:t>
            </w:r>
          </w:p>
        </w:tc>
        <w:tc>
          <w:tcPr>
            <w:tcW w:type="dxa" w:w="165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Single-Event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N=278</w:t>
            </w:r>
            <w:r>
              <w:rPr>
                <w:b/>
                <w:color w:val="FFFFFF"/>
                <w:sz w:val="17"/>
              </w:rPr>
              <w:t>)</w:t>
            </w:r>
          </w:p>
        </w:tc>
        <w:tc>
          <w:tcPr>
            <w:tcW w:type="dxa" w:w="180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 xml:space="preserve">Contextual-Event </w:t>
            </w:r>
            <w:r>
              <w:rPr>
                <w:rFonts w:ascii="Cambria Math" w:hAnsi="Cambria Math"/>
                <w:b/>
                <w:i/>
                <w:color w:val="FFFFFF"/>
                <w:sz w:val="17"/>
              </w:rPr>
              <w:t>Acc_e2e</w:t>
            </w:r>
            <w:r>
              <w:rPr>
                <w:b/>
                <w:color w:val="FFFFFF"/>
                <w:sz w:val="17"/>
              </w:rPr>
              <w:t xml:space="preserve"> (</w:t>
            </w:r>
            <w:r>
              <w:rPr>
                <w:rFonts w:ascii="Cambria Math" w:hAnsi="Cambria Math"/>
                <w:b/>
                <w:i/>
                <w:color w:val="FFFFFF"/>
                <w:sz w:val="17"/>
              </w:rPr>
              <w:t>N=440</w:t>
            </w:r>
            <w:r>
              <w:rPr>
                <w:b/>
                <w:color w:val="FFFFFF"/>
                <w:sz w:val="17"/>
              </w:rPr>
              <w:t>)</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Single Macro-F1</w:t>
            </w:r>
          </w:p>
        </w:tc>
        <w:tc>
          <w:tcPr>
            <w:tcW w:type="dxa" w:w="151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7"/>
              </w:rPr>
              <w:t>Contextual Macro-F1</w:t>
            </w:r>
          </w:p>
        </w:tc>
        <w:tc>
          <w:tcPr>
            <w:tcW w:type="dxa" w:w="1440"/>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ambria Math" w:hAnsi="Cambria Math"/>
                <w:b/>
                <w:i/>
                <w:color w:val="FFFFFF"/>
                <w:sz w:val="17"/>
              </w:rPr>
              <w:t>Δ Acc</w:t>
            </w:r>
            <w:r>
              <w:rPr>
                <w:b/>
                <w:color w:val="FFFFFF"/>
                <w:sz w:val="17"/>
              </w:rPr>
              <w:t xml:space="preserve"> (Context - Single)</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no_rag</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rag_k3</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rag_k5</w:t>
            </w:r>
          </w:p>
        </w:tc>
        <w:tc>
          <w:tcPr>
            <w:tcW w:type="dxa" w:w="165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r>
        <w:trPr>
          <w:cantSplit/>
        </w:trPr>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rag_k10</w:t>
            </w:r>
          </w:p>
        </w:tc>
        <w:tc>
          <w:tcPr>
            <w:tcW w:type="dxa" w:w="165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80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51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c>
          <w:tcPr>
            <w:tcW w:type="dxa" w:w="1440"/>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5"/>
              </w:rPr>
              <w:t>[TBD_AT_EXECUTION]</w:t>
            </w:r>
          </w:p>
        </w:tc>
      </w:tr>
    </w:tbl>
    <w:p>
      <w:pPr>
        <w:spacing w:after="120"/>
      </w:pPr>
    </w:p>
    <w:p>
      <w:pPr>
        <w:pStyle w:val="Heading2"/>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r>
        <w:rPr>
          <w:i/>
        </w:rPr>
        <w:t>Table 4: Decoupled Failure Decomposition Matrix (Schema).</w:t>
      </w:r>
    </w:p>
    <w:tbl>
      <w:tblPr>
        <w:tblW w:type="auto" w:w="0"/>
        <w:jc w:val="center"/>
        <w:tblLayout w:type="fixed"/>
        <w:tblLook w:firstColumn="1" w:firstRow="1" w:lastColumn="0" w:lastRow="0" w:noHBand="0" w:noVBand="1" w:val="04A0"/>
      </w:tblPr>
      <w:tblGrid>
        <w:gridCol w:w="1296"/>
        <w:gridCol w:w="1152"/>
        <w:gridCol w:w="1296"/>
        <w:gridCol w:w="1368"/>
        <w:gridCol w:w="1368"/>
        <w:gridCol w:w="1008"/>
        <w:gridCol w:w="936"/>
        <w:gridCol w:w="936"/>
      </w:tblGrid>
      <w:tr>
        <w:trPr>
          <w:cantSplit/>
          <w:tblHeader/>
        </w:trPr>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Condition</w:t>
            </w:r>
          </w:p>
        </w:tc>
        <w:tc>
          <w:tcPr>
            <w:tcW w:type="dxa" w:w="1152"/>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Total Errors</w:t>
            </w:r>
          </w:p>
        </w:tc>
        <w:tc>
          <w:tcPr>
            <w:tcW w:type="dxa" w:w="129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Upstream Retrieval Miss (</w:t>
            </w:r>
            <w:r>
              <w:rPr>
                <w:rFonts w:ascii="Cambria Math" w:hAnsi="Cambria Math"/>
                <w:b/>
                <w:i/>
                <w:color w:val="FFFFFF"/>
                <w:sz w:val="16"/>
              </w:rPr>
              <w:t>GT ∉ Top-k</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Downstream Selection Failure (</w:t>
            </w:r>
            <w:r>
              <w:rPr>
                <w:rFonts w:ascii="Cambria Math" w:hAnsi="Cambria Math"/>
                <w:b/>
                <w:i/>
                <w:color w:val="FFFFFF"/>
                <w:sz w:val="16"/>
              </w:rPr>
              <w:t>GT ∈ Top-k ∧ Wrong</w:t>
            </w:r>
            <w:r>
              <w:rPr>
                <w:b/>
                <w:color w:val="FFFFFF"/>
                <w:sz w:val="16"/>
              </w:rPr>
              <w:t>)</w:t>
            </w:r>
          </w:p>
        </w:tc>
        <w:tc>
          <w:tcPr>
            <w:tcW w:type="dxa" w:w="136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Parametric Recovery (</w:t>
            </w:r>
            <w:r>
              <w:rPr>
                <w:rFonts w:ascii="Cambria Math" w:hAnsi="Cambria Math"/>
                <w:b/>
                <w:i/>
                <w:color w:val="FFFFFF"/>
                <w:sz w:val="16"/>
              </w:rPr>
              <w:t>GT ∉ Top-k ∧ Correct</w:t>
            </w:r>
            <w:r>
              <w:rPr>
                <w:b/>
                <w:color w:val="FFFFFF"/>
                <w:sz w:val="16"/>
              </w:rPr>
              <w:t>)</w:t>
            </w:r>
          </w:p>
        </w:tc>
        <w:tc>
          <w:tcPr>
            <w:tcW w:type="dxa" w:w="1008"/>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Invalid ATT&amp;CK ID</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Parse Failure</w:t>
            </w:r>
          </w:p>
        </w:tc>
        <w:tc>
          <w:tcPr>
            <w:tcW w:type="dxa" w:w="936"/>
            <w:shd w:fill="092C4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6"/>
              </w:rPr>
              <w:t>Provider / Timeout Failure</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no_rag</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6"/>
              </w:rPr>
              <w:t>N/A</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rag_k3</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rag_k5</w:t>
            </w:r>
          </w:p>
        </w:tc>
        <w:tc>
          <w:tcPr>
            <w:tcW w:type="dxa" w:w="1152"/>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FFFFF"/>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r>
        <w:trPr>
          <w:cantSplit/>
        </w:trPr>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rag_k10</w:t>
            </w:r>
          </w:p>
        </w:tc>
        <w:tc>
          <w:tcPr>
            <w:tcW w:type="dxa" w:w="1152"/>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29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36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1008"/>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c>
          <w:tcPr>
            <w:tcW w:type="dxa" w:w="936"/>
            <w:shd w:fill="F8FAFC"/>
            <w:tcMar>
              <w:top w:w="70" w:type="dxa"/>
              <w:bottom w:w="70" w:type="dxa"/>
              <w:left w:w="70" w:type="dxa"/>
              <w:right w:w="7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4"/>
              </w:rPr>
              <w:t>[TBD_AT_EXECUTION]</w:t>
            </w:r>
          </w:p>
        </w:tc>
      </w:tr>
    </w:tbl>
    <w:p>
      <w:pPr>
        <w:spacing w:after="120"/>
      </w:pPr>
    </w:p>
    <w:p>
      <w:pPr>
        <w:pStyle w:val="Heading3"/>
        <w:spacing w:before="160" w:after="40"/>
      </w:pPr>
      <w:r>
        <w:rPr>
          <w:rFonts w:ascii="Calibri" w:hAnsi="Calibri"/>
          <w:b/>
          <w:i/>
          <w:color w:val="333344"/>
          <w:sz w:val="22"/>
        </w:rPr>
        <w:t>Empirical Retrieval Baseline (Task T20 Diagnostic Findings)</w:t>
      </w:r>
    </w:p>
    <w:p>
      <w:r>
        <w:t>While end-to-end LLM inference awaits canonical execution, the standalone dense retriever (</w:t>
      </w:r>
      <w:r>
        <w:rPr>
          <w:rFonts w:ascii="Consolas" w:hAnsi="Consolas"/>
          <w:color w:val="8A1F11"/>
          <w:sz w:val="19"/>
        </w:rPr>
        <w:t>all-MiniLM-L6-v2</w:t>
      </w:r>
      <w:r>
        <w:t xml:space="preserve"> + FAISS </w:t>
      </w:r>
      <w:r>
        <w:rPr>
          <w:rFonts w:ascii="Consolas" w:hAnsi="Consolas"/>
          <w:color w:val="8A1F11"/>
          <w:sz w:val="19"/>
        </w:rPr>
        <w:t>IndexFlatIP</w:t>
      </w:r>
      <w:r>
        <w:t>) was evaluated offline across all 756 positive benchmark views (full benchmark: 718 TEST + 38 DEV) in Task T20 (</w:t>
      </w:r>
      <w:r>
        <w:rPr>
          <w:rFonts w:ascii="Consolas" w:hAnsi="Consolas"/>
          <w:color w:val="8A1F11"/>
          <w:sz w:val="19"/>
        </w:rPr>
        <w:t>reports/T20_retrieval_failure_analysis.md</w:t>
      </w:r>
      <w:r>
        <w:t>). These empirical findings establish critical baseline context for interpreting future RAG performance:</w:t>
      </w:r>
    </w:p>
    <w:p>
      <w:pPr>
        <w:spacing w:after="40" w:line="276" w:lineRule="auto"/>
        <w:ind w:left="432" w:hanging="288"/>
      </w:pPr>
      <w:r>
        <w:rPr>
          <w:rFonts w:ascii="Calibri" w:hAnsi="Calibri"/>
          <w:b/>
          <w:color w:val="24292F"/>
        </w:rPr>
        <w:t xml:space="preserve">1. </w:t>
      </w:r>
      <w:r>
        <w:rPr>
          <w:b/>
        </w:rPr>
        <w:t>Aggregate Retrieval Performance Across Full Benchmark (756 Positive Views):</w:t>
      </w:r>
    </w:p>
    <w:p>
      <w:pPr>
        <w:pStyle w:val="ListBullet"/>
        <w:spacing w:after="40" w:line="276" w:lineRule="auto"/>
      </w:pPr>
      <w:r>
        <w:rPr>
          <w:rFonts w:ascii="Cambria Math" w:hAnsi="Cambria Math"/>
          <w:b/>
          <w:i/>
        </w:rPr>
        <w:t>Hit@1</w:t>
      </w:r>
      <w:r>
        <w:rPr>
          <w:b/>
        </w:rPr>
        <w:t>:</w:t>
      </w:r>
      <w:r>
        <w:t xml:space="preserve"> </w:t>
      </w:r>
      <w:r>
        <w:rPr>
          <w:rFonts w:ascii="Cambria Math" w:hAnsi="Cambria Math"/>
          <w:i/>
        </w:rPr>
        <w:t>4.23%</w:t>
      </w:r>
      <w:r>
        <w:t xml:space="preserve"> (TEST: </w:t>
      </w:r>
      <w:r>
        <w:rPr>
          <w:rFonts w:ascii="Cambria Math" w:hAnsi="Cambria Math"/>
          <w:i/>
        </w:rPr>
        <w:t>3.76%</w:t>
      </w:r>
      <w:r>
        <w:t xml:space="preserve">, DEV: </w:t>
      </w:r>
      <w:r>
        <w:rPr>
          <w:rFonts w:ascii="Cambria Math" w:hAnsi="Cambria Math"/>
          <w:i/>
        </w:rPr>
        <w:t>13.16%</w:t>
      </w:r>
      <w:r>
        <w:t>)</w:t>
      </w:r>
    </w:p>
    <w:p>
      <w:pPr>
        <w:pStyle w:val="ListBullet"/>
        <w:spacing w:after="40" w:line="276" w:lineRule="auto"/>
      </w:pPr>
      <w:r>
        <w:rPr>
          <w:rFonts w:ascii="Cambria Math" w:hAnsi="Cambria Math"/>
          <w:b/>
          <w:i/>
        </w:rPr>
        <w:t>Hit@3</w:t>
      </w:r>
      <w:r>
        <w:rPr>
          <w:b/>
        </w:rPr>
        <w:t>:</w:t>
      </w:r>
      <w:r>
        <w:t xml:space="preserve"> </w:t>
      </w:r>
      <w:r>
        <w:rPr>
          <w:rFonts w:ascii="Cambria Math" w:hAnsi="Cambria Math"/>
          <w:i/>
        </w:rPr>
        <w:t>16.80%</w:t>
      </w:r>
      <w:r>
        <w:t xml:space="preserve"> (TEST: </w:t>
      </w:r>
      <w:r>
        <w:rPr>
          <w:rFonts w:ascii="Cambria Math" w:hAnsi="Cambria Math"/>
          <w:i/>
        </w:rPr>
        <w:t>16.43%</w:t>
      </w:r>
      <w:r>
        <w:t xml:space="preserve">, DEV: </w:t>
      </w:r>
      <w:r>
        <w:rPr>
          <w:rFonts w:ascii="Cambria Math" w:hAnsi="Cambria Math"/>
          <w:i/>
        </w:rPr>
        <w:t>23.68%</w:t>
      </w:r>
      <w:r>
        <w:t>)</w:t>
      </w:r>
    </w:p>
    <w:p>
      <w:pPr>
        <w:pStyle w:val="ListBullet"/>
        <w:spacing w:after="40" w:line="276" w:lineRule="auto"/>
      </w:pPr>
      <w:r>
        <w:rPr>
          <w:rFonts w:ascii="Cambria Math" w:hAnsi="Cambria Math"/>
          <w:b/>
          <w:i/>
        </w:rPr>
        <w:t>Hit@5</w:t>
      </w:r>
      <w:r>
        <w:rPr>
          <w:b/>
        </w:rPr>
        <w:t>:</w:t>
      </w:r>
      <w:r>
        <w:t xml:space="preserve"> </w:t>
      </w:r>
      <w:r>
        <w:rPr>
          <w:rFonts w:ascii="Cambria Math" w:hAnsi="Cambria Math"/>
          <w:i/>
        </w:rPr>
        <w:t>24.21%</w:t>
      </w:r>
      <w:r>
        <w:t xml:space="preserve"> (TEST: </w:t>
      </w:r>
      <w:r>
        <w:rPr>
          <w:rFonts w:ascii="Cambria Math" w:hAnsi="Cambria Math"/>
          <w:i/>
        </w:rPr>
        <w:t>24.09%</w:t>
      </w:r>
      <w:r>
        <w:t xml:space="preserve">, DEV: </w:t>
      </w:r>
      <w:r>
        <w:rPr>
          <w:rFonts w:ascii="Cambria Math" w:hAnsi="Cambria Math"/>
          <w:i/>
        </w:rPr>
        <w:t>26.32%</w:t>
      </w:r>
      <w:r>
        <w:t>)</w:t>
      </w:r>
    </w:p>
    <w:p>
      <w:pPr>
        <w:pStyle w:val="ListBullet"/>
        <w:spacing w:after="40" w:line="276" w:lineRule="auto"/>
      </w:pPr>
      <w:r>
        <w:rPr>
          <w:rFonts w:ascii="Cambria Math" w:hAnsi="Cambria Math"/>
          <w:b/>
          <w:i/>
        </w:rPr>
        <w:t>Hit@10</w:t>
      </w:r>
      <w:r>
        <w:rPr>
          <w:b/>
        </w:rPr>
        <w:t>:</w:t>
      </w:r>
      <w:r>
        <w:t xml:space="preserve"> </w:t>
      </w:r>
      <w:r>
        <w:rPr>
          <w:rFonts w:ascii="Cambria Math" w:hAnsi="Cambria Math"/>
          <w:i/>
        </w:rPr>
        <w:t>45.11%</w:t>
      </w:r>
      <w:r>
        <w:t xml:space="preserve"> (TEST: </w:t>
      </w:r>
      <w:r>
        <w:rPr>
          <w:rFonts w:ascii="Cambria Math" w:hAnsi="Cambria Math"/>
          <w:i/>
        </w:rPr>
        <w:t>44.71%</w:t>
      </w:r>
      <w:r>
        <w:t xml:space="preserve">, DEV: </w:t>
      </w:r>
      <w:r>
        <w:rPr>
          <w:rFonts w:ascii="Cambria Math" w:hAnsi="Cambria Math"/>
          <w:i/>
        </w:rPr>
        <w:t>52.63%</w:t>
      </w:r>
      <w:r>
        <w:t>)</w:t>
      </w:r>
    </w:p>
    <w:p>
      <w:pPr>
        <w:pStyle w:val="ListBullet"/>
        <w:spacing w:after="40" w:line="276" w:lineRule="auto"/>
      </w:pPr>
      <w:r>
        <w:rPr>
          <w:b/>
        </w:rPr>
        <w:t>Macro Recall@10:</w:t>
      </w:r>
      <w:r>
        <w:t xml:space="preserve"> </w:t>
      </w:r>
      <w:r>
        <w:rPr>
          <w:rFonts w:ascii="Cambria Math" w:hAnsi="Cambria Math"/>
          <w:i/>
        </w:rPr>
        <w:t>43.14%</w:t>
      </w:r>
    </w:p>
    <w:p>
      <w:pPr>
        <w:pStyle w:val="ListBullet"/>
        <w:spacing w:after="40" w:line="276" w:lineRule="auto"/>
      </w:pPr>
      <w:r>
        <w:rPr>
          <w:b/>
        </w:rPr>
        <w:t>Complement of View-Level Any-GT Hit@10:</w:t>
      </w:r>
      <w:r>
        <w:t xml:space="preserve"> </w:t>
      </w:r>
      <w:r>
        <w:rPr>
          <w:rFonts w:ascii="Cambria Math" w:hAnsi="Cambria Math"/>
          <w:b/>
          <w:i/>
        </w:rPr>
        <w:t>54.89%</w:t>
      </w:r>
      <w:r>
        <w:t xml:space="preserve"> (in 415 of 756 positive views, no ground-truth technique was retrieved within the Top-10 candidates).</w:t>
      </w:r>
    </w:p>
    <w:p>
      <w:pPr>
        <w:spacing w:after="40" w:line="276" w:lineRule="auto"/>
        <w:ind w:left="432" w:hanging="288"/>
      </w:pPr>
      <w:r>
        <w:rPr>
          <w:rFonts w:ascii="Calibri" w:hAnsi="Calibri"/>
          <w:b/>
          <w:color w:val="24292F"/>
        </w:rPr>
        <w:t xml:space="preserve">2. </w:t>
      </w:r>
      <w:r>
        <w:rPr>
          <w:b/>
        </w:rPr>
        <w:t>Technique-Specific Divergence:</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w:r>
        <w:rPr>
          <w:rFonts w:ascii="Cambria Math" w:hAnsi="Cambria Math"/>
          <w:b/>
          <w:i/>
        </w:rPr>
        <w:t>98.39%</w:t>
      </w:r>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w:r>
        <w:rPr>
          <w:rFonts w:ascii="Cambria Math" w:hAnsi="Cambria Math"/>
          <w:b/>
          <w:i/>
        </w:rPr>
        <w:t>92.45%</w:t>
      </w:r>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w:r>
        <w:rPr>
          <w:rFonts w:ascii="Cambria Math" w:hAnsi="Cambria Math"/>
          <w:b/>
          <w:i/>
        </w:rPr>
        <w:t>0.0%</w:t>
      </w:r>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w:r>
        <w:rPr>
          <w:rFonts w:ascii="Cambria Math" w:hAnsi="Cambria Math"/>
          <w:i/>
        </w:rPr>
        <w:t>15.79%</w:t>
      </w:r>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w:r>
        <w:rPr>
          <w:rFonts w:ascii="Cambria Math" w:hAnsi="Cambria Math"/>
          <w:i/>
        </w:rPr>
        <w:t>42.1%</w:t>
      </w:r>
      <w:r>
        <w:t xml:space="preserve"> of cases, crowding out </w:t>
      </w:r>
      <w:r>
        <w:rPr>
          <w:rFonts w:ascii="Consolas" w:hAnsi="Consolas"/>
          <w:color w:val="8A1F11"/>
          <w:sz w:val="19"/>
        </w:rPr>
        <w:t>T1105</w:t>
      </w:r>
      <w:r>
        <w:t>.</w:t>
      </w:r>
    </w:p>
    <w:p>
      <w:pPr>
        <w:spacing w:after="40" w:line="276" w:lineRule="auto"/>
        <w:ind w:left="432" w:hanging="288"/>
      </w:pPr>
      <w:r>
        <w:rPr>
          <w:rFonts w:ascii="Calibri" w:hAnsi="Calibri"/>
          <w:b/>
          <w:color w:val="24292F"/>
        </w:rPr>
        <w:t xml:space="preserve">3. </w:t>
      </w:r>
      <w:r>
        <w:rPr>
          <w:b/>
        </w:rPr>
        <w:t>Contextual Event Dilution:</w:t>
      </w:r>
    </w:p>
    <w:p>
      <w:r>
        <w:t xml:space="preserve">In an anchor-technique pairwise analysis across 296 eligible scenario pairs, adding multi-event context degraded the ground-truth retrieval rank in </w:t>
      </w:r>
      <w:r>
        <w:rPr>
          <w:rFonts w:ascii="Cambria Math" w:hAnsi="Cambria Math"/>
          <w:b/>
          <w:i/>
        </w:rPr>
        <w:t>22.0%</w:t>
      </w:r>
      <w:r>
        <w:rPr>
          <w:b/>
        </w:rPr>
        <w:t xml:space="preserve"> of pairs (65/296)</w:t>
      </w:r>
      <w:r>
        <w:t xml:space="preserve">, while improving it in only </w:t>
      </w:r>
      <w:r>
        <w:rPr>
          <w:rFonts w:ascii="Cambria Math" w:hAnsi="Cambria Math"/>
          <w:b/>
          <w:i/>
        </w:rPr>
        <w:t>7.8%</w:t>
      </w:r>
      <w:r>
        <w:rPr>
          <w:b/>
        </w:rPr>
        <w:t xml:space="preserve"> (23/296)</w:t>
      </w:r>
      <w:r>
        <w:t>. Multi-event sequences introduce background operational tokens (</w:t>
      </w:r>
      <w:r>
        <w:rPr>
          <w:rFonts w:ascii="Consolas" w:hAnsi="Consolas"/>
          <w:color w:val="8A1F11"/>
          <w:sz w:val="19"/>
        </w:rPr>
        <w:t>svchost.exe</w:t>
      </w:r>
      <w:r>
        <w:t>, RPC calls, thread IDs) that dilute the dense vector representation away from the primary malicious signature.</w:t>
      </w:r>
    </w:p>
    <w:p>
      <w:pPr>
        <w:pStyle w:val="Heading2"/>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w:r>
        <w:rPr>
          <w:rFonts w:ascii="Cambria Math" w:hAnsi="Cambria Math"/>
          <w:i/>
        </w:rPr>
        <w:t>k=1</w:t>
      </w:r>
      <w:r>
        <w:t xml:space="preserve"> to </w:t>
      </w:r>
      <w:r>
        <w:rPr>
          <w:rFonts w:ascii="Cambria Math" w:hAnsi="Cambria Math"/>
          <w:i/>
        </w:rPr>
        <w:t>k=10</w:t>
      </w:r>
      <w:r>
        <w:t>.</w:t>
      </w:r>
    </w:p>
    <w:p>
      <w:r>
        <w:rPr>
          <w:i/>
        </w:rPr>
        <w:t>Table 5: Resource Consumption and Latency Scaling Across Retrieval Depths (Schema).</w:t>
      </w:r>
    </w:p>
    <w:tbl>
      <w:tblPr>
        <w:tblW w:type="auto" w:w="0"/>
        <w:jc w:val="center"/>
        <w:tblLayout w:type="fixed"/>
        <w:tblLook w:firstColumn="1" w:firstRow="1" w:lastColumn="0" w:lastRow="0" w:noHBand="0" w:noVBand="1" w:val="04A0"/>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Condition</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Input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Output Tokens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Output Tokens / Req</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Median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P95 Latency (s)</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Total Cost ($)</w:t>
            </w:r>
          </w:p>
        </w:tc>
        <w:tc>
          <w:tcPr>
            <w:tcW w:type="dxa" w:w="1008"/>
            <w:shd w:fill="092C4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5"/>
              </w:rPr>
              <w:t>Mean Cost / Query ($)</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no_rag</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rag_k3</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rag_k5</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FFFFF"/>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r>
        <w:trPr>
          <w:cantSplit/>
        </w:trPr>
        <w:tc>
          <w:tcPr>
            <w:tcW w:type="dxa" w:w="1296"/>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rag_k10</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c>
          <w:tcPr>
            <w:tcW w:type="dxa" w:w="1008"/>
            <w:shd w:fill="F8FAFC"/>
            <w:tcMar>
              <w:top w:w="60" w:type="dxa"/>
              <w:bottom w:w="6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3"/>
              </w:rPr>
              <w:t>[TBD_AT_EXECUTION]</w:t>
            </w:r>
          </w:p>
        </w:tc>
      </w:tr>
    </w:tbl>
    <w:p>
      <w:pPr>
        <w:spacing w:after="120"/>
      </w:pPr>
    </w:p>
    <w:p>
      <w:pPr>
        <w:spacing w:before="120" w:after="120"/>
        <w:pBdr>
          <w:bottom w:val="single" w:sz="6" w:space="1" w:color="D0D7DE"/>
        </w:pBdr>
      </w:pPr>
    </w:p>
    <w:p>
      <w:pPr>
        <w:pStyle w:val="Heading1"/>
        <w:spacing w:before="280" w:after="120"/>
      </w:pPr>
      <w:r>
        <w:rPr>
          <w:rFonts w:ascii="Georgia" w:hAnsi="Georgia"/>
          <w:b/>
          <w:color w:val="0A2540"/>
          <w:sz w:val="28"/>
        </w:rPr>
        <w:t>7. Discussion and Limitations</w:t>
      </w:r>
    </w:p>
    <w:p>
      <w:pPr>
        <w:pStyle w:val="Heading2"/>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spacing w:before="200" w:after="80"/>
      </w:pPr>
      <w:r>
        <w:rPr>
          <w:rFonts w:ascii="Calibri" w:hAnsi="Calibri"/>
          <w:b/>
          <w:color w:val="1F2328"/>
          <w:sz w:val="24"/>
        </w:rPr>
        <w:t>7.3 Latency and Cost Implications for Security Operations</w:t>
      </w:r>
    </w:p>
    <w:p>
      <w:r>
        <w:t xml:space="preserve">Reasoning models with configured </w:t>
      </w:r>
      <w:r>
        <w:rPr>
          <w:rFonts w:ascii="Consolas" w:hAnsi="Consolas"/>
          <w:color w:val="8A1F11"/>
          <w:sz w:val="19"/>
        </w:rPr>
        <w:t>reasoning_effort=xhigh</w:t>
      </w:r>
      <w:r>
        <w:t xml:space="preserve"> exhibit non-trivial inference latency (mean: </w:t>
      </w:r>
      <w:r>
        <w:rPr>
          <w:rFonts w:ascii="Cambria Math" w:hAnsi="Cambria Math"/>
          <w:i/>
        </w:rPr>
        <w:t>~ 8.1</w:t>
      </w:r>
      <w:r>
        <w:t xml:space="preserve"> seconds per request in our DEV pilot) and token overhead (mean: </w:t>
      </w:r>
      <w:r>
        <w:rPr>
          <w:rFonts w:ascii="Cambria Math" w:hAnsi="Cambria Math"/>
          <w:i/>
        </w:rPr>
        <w:t>~ 657</w:t>
      </w:r>
      <w:r>
        <w:t xml:space="preserve"> output tokens per request, dominated by hidden reasoning). In a production SOC ingesting large volumes of alerts per hour, routing raw telemetry directly to high-effort reasoning models is economically and operationally challenging.</w:t>
      </w:r>
    </w:p>
    <w:p>
      <w:r>
        <w:t>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xml:space="preserve">). To prevent premature aborts, </w:t>
      </w:r>
      <w:r>
        <w:rPr>
          <w:rFonts w:ascii="Consolas" w:hAnsi="Consolas"/>
          <w:color w:val="8A1F11"/>
          <w:sz w:val="19"/>
        </w:rPr>
        <w:t>StudyBudgetLedger._write_atomically_unlocked</w:t>
      </w:r>
      <w:r>
        <w:t xml:space="preserve"> incorporates a 12-retry wrapper with exponential backoff and jitter, ensuring reliable atomic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w:t>
      </w:r>
    </w:p>
    <w:p>
      <w:pPr>
        <w:pStyle w:val="ListBullet"/>
        <w:spacing w:after="40" w:line="276" w:lineRule="auto"/>
      </w:pPr>
      <w:r>
        <w:rPr>
          <w:b/>
        </w:rPr>
        <w:t>External Validity:</w:t>
      </w:r>
      <w:r>
        <w:t xml:space="preserve"> The primary threat is the synthetic nature of </w:t>
      </w:r>
      <w:r>
        <w:rPr>
          <w:rFonts w:ascii="Consolas" w:hAnsi="Consolas"/>
          <w:color w:val="8A1F11"/>
          <w:sz w:val="19"/>
        </w:rPr>
        <w:t>synthetic-paired-v1</w:t>
      </w:r>
      <w:r>
        <w:t xml:space="preserve"> and the specific choice of </w:t>
      </w:r>
      <w:r>
        <w:rPr>
          <w:rFonts w:ascii="Consolas" w:hAnsi="Consolas"/>
          <w:color w:val="8A1F11"/>
          <w:sz w:val="19"/>
        </w:rPr>
        <w:t>gpt-5.6-luna</w:t>
      </w:r>
      <w:r>
        <w:t>. Results may not generalize directly to other model families or complex enterprise networks.</w:t>
      </w:r>
    </w:p>
    <w:p>
      <w:pPr>
        <w:pStyle w:val="ListBullet"/>
        <w:spacing w:after="40" w:line="276" w:lineRule="auto"/>
      </w:pPr>
      <w:r>
        <w:rPr>
          <w:b/>
        </w:rPr>
        <w:t>Construct Validity:</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w:t>
      </w:r>
    </w:p>
    <w:p>
      <w:pPr>
        <w:spacing w:before="120" w:after="120"/>
        <w:pBdr>
          <w:bottom w:val="single" w:sz="6" w:space="1" w:color="D0D7DE"/>
        </w:pBdr>
      </w:pPr>
    </w:p>
    <w:p>
      <w:pPr>
        <w:pStyle w:val="Heading1"/>
        <w:spacing w:before="280" w:after="120"/>
      </w:pPr>
      <w:r>
        <w:rPr>
          <w:rFonts w:ascii="Georgia" w:hAnsi="Georgia"/>
          <w:b/>
          <w:color w:val="0A2540"/>
          <w:sz w:val="28"/>
        </w:rPr>
        <w:t>8. Conclusion and Reproducibility Statement</w:t>
      </w:r>
    </w:p>
    <w:p>
      <w:pPr>
        <w:pStyle w:val="Heading2"/>
        <w:spacing w:before="200" w:after="80"/>
      </w:pPr>
      <w:r>
        <w:rPr>
          <w:rFonts w:ascii="Calibri" w:hAnsi="Calibri"/>
          <w:b/>
          <w:color w:val="1F2328"/>
          <w:sz w:val="24"/>
        </w:rPr>
        <w:t>8.1 Conclusion</w:t>
      </w:r>
    </w:p>
    <w:p>
      <w:r>
        <w:t>This scientific report establishes the research report scaffold and methodological framework for RAG2ATTCK: a controlled replication-and-extension study evaluating MITRE ATT&amp;CK-grounded RAG for technique attribution from Windows endpoint logs. By coupling a cryptographically frozen scientific protocol (v1.1,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w:r>
        <w:rPr>
          <w:rFonts w:ascii="Cambria Math" w:hAnsi="Cambria Math"/>
          <w:i/>
        </w:rPr>
        <w:t>k ∈ {1, 3, 5, 10}</w:t>
      </w:r>
      <w:r>
        <w:t>), RAG2ATTCK provides an empirical design. Crucially, we clearly demarcate the synthetic boundaries of our dataset and disclose the reconciliation discrepancies in public telemetry that necessitate this boundary.</w:t>
      </w:r>
    </w:p>
    <w:p>
      <w:pPr>
        <w:pStyle w:val="Heading2"/>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r>
        <w:rPr>
          <w:i/>
        </w:rPr>
        <w:t>Table 6: Cryptographic Reproducibility Manifest.</w:t>
      </w:r>
    </w:p>
    <w:tbl>
      <w:tblPr>
        <w:tblW w:type="auto" w:w="0"/>
        <w:jc w:val="center"/>
        <w:tblLayout w:type="fixed"/>
        <w:tblLook w:firstColumn="1" w:firstRow="1" w:lastColumn="0" w:lastRow="0" w:noHBand="0" w:noVBand="1" w:val="04A0"/>
      </w:tblPr>
      <w:tblGrid>
        <w:gridCol w:w="2304"/>
        <w:gridCol w:w="2592"/>
        <w:gridCol w:w="1296"/>
        <w:gridCol w:w="3168"/>
      </w:tblGrid>
      <w:tr>
        <w:trPr>
          <w:cantSplit/>
          <w:tblHeader/>
        </w:trPr>
        <w:tc>
          <w:tcPr>
            <w:tcW w:type="dxa" w:w="2304"/>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Asset Description</w:t>
            </w:r>
          </w:p>
        </w:tc>
        <w:tc>
          <w:tcPr>
            <w:tcW w:type="dxa" w:w="2592"/>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File Path</w:t>
            </w:r>
          </w:p>
        </w:tc>
        <w:tc>
          <w:tcPr>
            <w:tcW w:type="dxa" w:w="1296"/>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Digest Type</w:t>
            </w:r>
          </w:p>
        </w:tc>
        <w:tc>
          <w:tcPr>
            <w:tcW w:type="dxa" w:w="3168"/>
            <w:shd w:fill="092C4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FFFFFF"/>
                <w:sz w:val="18"/>
              </w:rPr>
              <w:t>Canonical SHA-256 Digest</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Scientific Protocol Decisions Digest</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Protocol Digest</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d3bf3d31ad307100ac437a7daecc470bf12de9ada49f19de3d77592d5a21974c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Protocol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config/experiment_protocol_v1.json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a402b04ab463172f9d4079bff27b089ca8a21ffd0805d097af6cb1f3c7b5a8fb</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config/model.json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312c34cedd84106f2004c6070b72aeac1dd84209a464e2993fee3ec87822697f</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config/retrieval.json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b33a93913e7f6de36f6f9021f77b2c9dcb1d426929162acb250a3c73ac8e6e25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config/benchmark_scope.json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d6aa89831dec75362b4fd48de0fd6e7082290f2be0cb7bd0afc6bc518148db8b</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prompts/baseline_v1.txt</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b751fde1ee33b03ec0bdc07cbba10267002d2086cf22b91a74bdfd123856f206</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attack/raw/enterprise-v19.2/enterprise-attack-19.2.json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dc1639caa5501d720e280cf1cbd8fbe009884a0c9b3e6e9ed9d0c25166c3d8f4</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attack/corpus/enterprise-windows-v19.2.jsonl</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b219341154ddf2f12e97d622158a04ab7d57641df6a865559258d365852c3c75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attack/corpus/enterprise-windows-v19.2.manifest.json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6bd769324f6ac9193d7df82e7f54f5a1397a41b9bc72be767da5a72b54b3a47c</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attack/index/enterprise-windows-v19.2.index</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7e3b9944870860766ebd5ba76f19a420c1bbe57cebd4e4238b06fd31128578e5</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attack/index/enterprise-windows-v19.2.docmap.json</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a7de3dfcf2b6e186e639d2922fcbc27766c160ae58bbafea74b5efc0faf30586</w:t>
            </w:r>
          </w:p>
        </w:tc>
      </w:tr>
      <w:tr>
        <w:trPr>
          <w:cantSplit/>
        </w:trPr>
        <w:tc>
          <w:tcPr>
            <w:tcW w:type="dxa" w:w="2304"/>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Dataset Manifest File</w:t>
            </w:r>
          </w:p>
        </w:tc>
        <w:tc>
          <w:tcPr>
            <w:tcW w:type="dxa" w:w="2592"/>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data/ground_truth/synthetic/dataset_manifest.json</w:t>
            </w:r>
          </w:p>
        </w:tc>
        <w:tc>
          <w:tcPr>
            <w:tcW w:type="dxa" w:w="1296"/>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4576b793360d02b60d619d199fd34d4555ace33215303ee847715c162a50dcc2</w:t>
            </w:r>
          </w:p>
        </w:tc>
      </w:tr>
      <w:tr>
        <w:trPr>
          <w:cantSplit/>
        </w:trPr>
        <w:tc>
          <w:tcPr>
            <w:tcW w:type="dxa" w:w="2304"/>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100" w:type="dxa"/>
              <w:bottom w:w="100" w:type="dxa"/>
              <w:left w:w="100" w:type="dxa"/>
              <w:right w:w="10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6"/>
              </w:rPr>
              <w:t>05b60f050cb456688ed74bddb72f994f3b61a84b56f8e568dda4c17467c4c7aa</w:t>
            </w:r>
          </w:p>
        </w:tc>
      </w:tr>
    </w:tbl>
    <w:p>
      <w:pPr>
        <w:spacing w:after="120"/>
      </w:pPr>
    </w:p>
    <w:p>
      <w:pPr>
        <w:pStyle w:val="Heading2"/>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pPr>
        <w:spacing w:before="120" w:after="120"/>
        <w:pBdr>
          <w:bottom w:val="single" w:sz="6" w:space="1" w:color="D0D7DE"/>
        </w:pBdr>
      </w:pPr>
    </w:p>
    <w:p>
      <w:pPr>
        <w:pStyle w:val="Heading1"/>
        <w:spacing w:before="280" w:after="120"/>
      </w:pPr>
      <w:r>
        <w:rPr>
          <w:rFonts w:ascii="Georgia" w:hAnsi="Georgia"/>
          <w:b/>
          <w:color w:val="0A2540"/>
          <w:sz w:val="28"/>
        </w:rPr>
        <w:t>References</w:t>
      </w:r>
    </w:p>
    <w:p>
      <w:pPr>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March 2026. Available: &lt;https://attack.mitre.org/&gt;.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18"/>
        </w:rPr>
        <w:t>[PRIMARY SOURCE VERIFIED]</w:t>
      </w:r>
    </w:p>
    <w:p>
      <w:pPr>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sub-technique modeling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chapter full text remains UNVERIFIED due to subscription paywall. </w:t>
      </w:r>
      <w:r>
        <w:rPr>
          <w:rFonts w:ascii="Consolas" w:hAnsi="Consolas"/>
          <w:color w:val="8A1F11"/>
          <w:sz w:val="18"/>
        </w:rPr>
        <w:t>[PARTIAL / METADATA ONLY]</w:t>
      </w:r>
    </w:p>
    <w:p>
      <w:pPr>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Zero-shot prompting benchmark across 5 models; retrieval settings are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primary full text remains ACCESS BLOCKED in this audit. </w:t>
      </w:r>
      <w:r>
        <w:rPr>
          <w:rFonts w:ascii="Consolas" w:hAnsi="Consolas"/>
          <w:color w:val="8A1F11"/>
          <w:sz w:val="18"/>
        </w:rPr>
        <w:t>[ACCESS BLOCKED / BIBLIOGRAPHIC RECORD ONLY]</w:t>
      </w:r>
    </w:p>
    <w:p>
      <w:pPr>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text contains an unresolved discrepancy reporting retrieval-generation gap as both 60% and 26.3%.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standalone retriever Recall@k is NOT REPORTED.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18"/>
        </w:rPr>
        <w:t>[FULL TEXT VERIFIED]</w:t>
      </w:r>
    </w:p>
    <w:p>
      <w:pPr>
        <w:spacing w:after="80" w:line="276" w:lineRule="auto"/>
        <w:ind w:left="504" w:hanging="504"/>
      </w:pPr>
      <w:r>
        <w:rPr>
          <w:rFonts w:ascii="Calibri" w:hAnsi="Calibri"/>
          <w:b/>
          <w:color w:val="24292F"/>
          <w:sz w:val="20"/>
        </w:rPr>
        <w:t xml:space="preserve">[13] </w:t>
      </w:r>
      <w:r>
        <w:rPr>
          <w:sz w:val="20"/>
        </w:rPr>
        <w:t xml:space="preserve">Mozaffari, M.; Yazdinejad, A.; Dehghantanha, A. "A Comprehensive Windows-Based APT Attack Dataset for Threat Detection and Analysis." </w:t>
      </w:r>
      <w:r>
        <w:rPr>
          <w:i/>
          <w:sz w:val="20"/>
        </w:rPr>
        <w:t>Data in Brief</w:t>
      </w:r>
      <w:r>
        <w:rPr>
          <w:sz w:val="20"/>
        </w:rPr>
        <w:t xml:space="preserve">, vol. 65, art. 112569, 2026. DOI: &lt;https://doi.org/10.1016/j.dib.2026.112569&gt;; Mendeley Data v3: &lt;https://doi.org/10.17632/b8fmtzvpy8.3&gt;. Note: Primary source inspected; Task 2 forensic audit identified 15,713 unresolved cell discrepancies preventing independent ground-truth verification. </w:t>
      </w:r>
      <w:r>
        <w:rPr>
          <w:rFonts w:ascii="Consolas" w:hAnsi="Consolas"/>
          <w:color w:val="8A1F11"/>
          <w:sz w:val="18"/>
        </w:rPr>
        <w:t>[PRIMARY SOURCE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