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FIXTURE_ONLY: true --&gt;</w:t>
      </w:r>
    </w:p>
    <w:p>
      <w:pPr>
        <w:spacing w:before="80" w:after="120"/>
        <w:ind w:left="432" w:right="288"/>
        <w:pBdr>
          <w:left w:val="single" w:sz="24" w:space="8" w:color="0969DA"/>
        </w:pBdr>
        <w:shd w:fill="F6F8FA"/>
      </w:pPr>
      <w:r>
        <w:t>[!WARNING]</w:t>
      </w:r>
    </w:p>
    <w:p>
      <w:pPr>
        <w:spacing w:before="80" w:after="120"/>
        <w:ind w:left="432" w:right="288"/>
        <w:pBdr>
          <w:left w:val="single" w:sz="24" w:space="8" w:color="0969DA"/>
        </w:pBdr>
        <w:shd w:fill="F6F8FA"/>
      </w:pPr>
      <w:r>
        <w:rPr>
          <w:b/>
        </w:rPr>
        <w:t>DIAGNOSTIC TEST FIXTURE ONLY - NOT CANONICAL NUMERICAL RESULTS</w:t>
      </w:r>
    </w:p>
    <w:p>
      <w:pPr>
        <w:spacing w:before="80" w:after="120"/>
        <w:ind w:left="432" w:right="288"/>
        <w:pBdr>
          <w:left w:val="single" w:sz="24" w:space="8" w:color="0969DA"/>
        </w:pBdr>
        <w:shd w:fill="F6F8FA"/>
      </w:pPr>
      <w:r>
        <w:t>This scientific report preview was populated using synthetic offline test fixtures</w:t>
      </w:r>
    </w:p>
    <w:p>
      <w:pPr>
        <w:spacing w:before="80" w:after="120"/>
        <w:ind w:left="432" w:right="288"/>
        <w:pBdr>
          <w:left w:val="single" w:sz="24" w:space="8" w:color="0969DA"/>
        </w:pBdr>
        <w:shd w:fill="F6F8FA"/>
      </w:pPr>
      <w:r>
        <w:t>for pipeline verification and presentation readiness purposes only.</w:t>
      </w:r>
    </w:p>
    <w:p>
      <w:pPr>
        <w:spacing w:before="80" w:after="120"/>
        <w:ind w:left="432" w:right="288"/>
        <w:pBdr>
          <w:left w:val="single" w:sz="24" w:space="8" w:color="0969DA"/>
        </w:pBdr>
        <w:shd w:fill="F6F8FA"/>
      </w:pPr>
      <w:r>
        <w:t xml:space="preserve">It contains </w:t>
      </w:r>
      <w:r>
        <w:rPr>
          <w:b/>
        </w:rPr>
        <w:t>NO</w:t>
      </w:r>
      <w:r>
        <w:t xml:space="preserve"> canonical live experimental results or live model predictions.</w:t>
      </w:r>
    </w:p>
    <w:p>
      <w:pPr>
        <w:spacing w:before="120" w:after="120"/>
        <w:pBdr>
          <w:bottom w:val="single" w:sz="6" w:space="1" w:color="D0D7DE"/>
        </w:pBdr>
      </w:pPr>
    </w:p>
    <w:p>
      <w:pPr>
        <w:spacing w:before="240" w:after="160"/>
      </w:pPr>
      <w:r>
        <w:rPr>
          <w:rFonts w:ascii="Georgia" w:hAnsi="Georgia"/>
          <w:b/>
          <w:color w:val="000000"/>
          <w:sz w:val="40"/>
        </w:rPr>
        <w:t>Evaluating MITRE ATT&amp;CK-Grounded RAG for Technique Attribution from Windows Endpoint Logs: A Replication-and-Extension Study</w:t>
      </w:r>
    </w:p>
    <w:p>
      <w:r>
        <w:rPr>
          <w:b/>
        </w:rPr>
        <w:t>Author:</w:t>
      </w:r>
      <w:r>
        <w:t xml:space="preserve"> Hà Hoàng Bách</w:t>
      </w:r>
    </w:p>
    <w:p>
      <w:r>
        <w:rPr>
          <w:b/>
        </w:rPr>
        <w:t>Project:</w:t>
      </w:r>
      <w:r>
        <w:t xml:space="preserve"> RAG2ATT&amp;CK</w:t>
      </w:r>
    </w:p>
    <w:p>
      <w:r>
        <w:rPr>
          <w:b/>
        </w:rPr>
        <w:t>Date:</w:t>
      </w:r>
      <w:r>
        <w:t xml:space="preserve"> October 2026</w:t>
      </w:r>
    </w:p>
    <w:p>
      <w:r>
        <w:rPr>
          <w:b/>
        </w:rPr>
        <w:t>Status:</w:t>
      </w:r>
      <w:r>
        <w:t xml:space="preserve"> DRAFT — IN PROGRESS / PENDING EXPERIMENTAL EXECUTION</w:t>
      </w:r>
    </w:p>
    <w:p>
      <w:r>
        <w:rPr>
          <w:b/>
        </w:rPr>
        <w:t>Protocol Version:</w:t>
      </w:r>
      <w:r>
        <w:t xml:space="preserve"> </w:t>
      </w:r>
      <w:r>
        <w:rPr>
          <w:rFonts w:ascii="Consolas" w:hAnsi="Consolas"/>
          <w:color w:val="8A1F11"/>
          <w:sz w:val="19"/>
        </w:rPr>
        <w:t>experiment-protocol-v1.1</w:t>
      </w:r>
      <w:r>
        <w:t xml:space="preserve"> (Canonical Decisions Digest: </w:t>
      </w:r>
      <w:r>
        <w:rPr>
          <w:rFonts w:ascii="Consolas" w:hAnsi="Consolas"/>
          <w:color w:val="8A1F11"/>
          <w:sz w:val="19"/>
        </w:rPr>
        <w:t>d3bf3d31ad307100ac437a7daecc470bf12de9ada49f19de3d77592d5a21974c</w:t>
      </w:r>
      <w:r>
        <w:t>)</w:t>
      </w:r>
    </w:p>
    <w:p>
      <w:r>
        <w:rPr>
          <w:b/>
        </w:rPr>
        <w:t>Target Taxonomy:</w:t>
      </w:r>
      <w:r>
        <w:t xml:space="preserve"> MITRE ATT&amp;CK Enterprise Matrix v19.2 (Active Windows Corpus: 474 techniques)</w:t>
      </w:r>
    </w:p>
    <w:p>
      <w:r>
        <w:rPr>
          <w:b/>
        </w:rPr>
        <w:t>Execution Horizon:</w:t>
      </w:r>
      <w:r>
        <w:t xml:space="preserve"> 2026</w:t>
      </w:r>
    </w:p>
    <w:p>
      <w:pPr>
        <w:spacing w:before="120" w:after="120"/>
        <w:pBdr>
          <w:bottom w:val="single" w:sz="6" w:space="1" w:color="D0D7DE"/>
        </w:pBdr>
      </w:pPr>
    </w:p>
    <w:p>
      <w:pPr>
        <w:pStyle w:val="Heading1"/>
        <w:spacing w:before="280" w:after="120"/>
      </w:pPr>
      <w:r>
        <w:rPr>
          <w:rFonts w:ascii="Georgia" w:hAnsi="Georgia"/>
          <w:b/>
          <w:color w:val="0A2540"/>
          <w:sz w:val="28"/>
        </w:rPr>
        <w:t>Abstract</w:t>
      </w:r>
    </w:p>
    <w:p>
      <w:r>
        <w:t>Attributing low-level endpoint telemetry to standardized adversary behaviors cataloged in the MITRE ATT&amp;CK knowledge base is a central operational task in security operations centers (SOCs) and cyber threat intelligence (CTI). While modern large language models (LLMs) possess extensive parametric knowledge, direct prompting without external grounding can lead to hallucinated technique identifiers, temporal obsolescence regarding evolving threat matrices, and inability to trace attribution decisions to authoritative knowledge sources. Retrieval-Augmented Generation (RAG) offers a principled paradigm to ground model reasoning in curated external knowledge. However, existing evaluations of ATT&amp;CK-grounded RAG suffer from fragmented settings: prior works evaluate RAG on unstructured CTI prose rather than raw endpoint telemetry, focus on binary detection rather than fine-grained technique classification, utilize unpinned knowledge bases, conflate output candidate cutoffs with retriever depth, or fail to decouple upstream retrieval misses from downstream language model reasoning errors.</w:t>
      </w:r>
    </w:p>
    <w:p>
      <w:r>
        <w:t>In this work, we present a controlled replication-and-extension study evaluating MITRE ATT&amp;CK-grounded RAG for exact technique and sub-technique attribution from Windows endpoint evidence. We formulate an experimental design governed by a cryptographically frozen scientific protocol (v1.1, D1–D7) that enforces strict symmetry between an unaugmented baseline (</w:t>
      </w:r>
      <w:r>
        <w:rPr>
          <w:b/>
        </w:rPr>
        <w:t>No-RAG</w:t>
      </w:r>
      <w:r>
        <w:t>) and retrieval-augmented conditions (</w:t>
      </w:r>
      <w:r>
        <w:rPr>
          <w:b/>
        </w:rPr>
        <w:t>RAG</w:t>
      </w:r>
      <w:r>
        <w:t xml:space="preserve"> across retrieval depths </w:t>
      </w:r>
      <w:r>
        <w:rPr>
          <w:rFonts w:ascii="Cambria Math" w:hAnsi="Cambria Math"/>
          <w:i/>
        </w:rPr>
        <w:t>k ∈ {1, 3, 5, 10}</w:t>
      </w:r>
      <w:r>
        <w:t xml:space="preserve">) using </w:t>
      </w:r>
      <w:r>
        <w:rPr>
          <w:rFonts w:ascii="Consolas" w:hAnsi="Consolas"/>
          <w:color w:val="8A1F11"/>
          <w:sz w:val="19"/>
        </w:rPr>
        <w:t>gpt-5.6-luna</w:t>
      </w:r>
      <w:r>
        <w:t xml:space="preserve"> under configured </w:t>
      </w:r>
      <w:r>
        <w:rPr>
          <w:rFonts w:ascii="Consolas" w:hAnsi="Consolas"/>
          <w:color w:val="8A1F11"/>
          <w:sz w:val="19"/>
        </w:rPr>
        <w:t>reasoning_effort=xhigh</w:t>
      </w:r>
      <w:r>
        <w:t>. The retrieval engine couples a frozen dense sentence embedder (</w:t>
      </w:r>
      <w:r>
        <w:rPr>
          <w:rFonts w:ascii="Consolas" w:hAnsi="Consolas"/>
          <w:color w:val="8A1F11"/>
          <w:sz w:val="19"/>
        </w:rPr>
        <w:t>all-MiniLM-L6-v2</w:t>
      </w:r>
      <w:r>
        <w:t xml:space="preserve">) with an exact brute-force inner product index (FAISS </w:t>
      </w:r>
      <w:r>
        <w:rPr>
          <w:rFonts w:ascii="Consolas" w:hAnsi="Consolas"/>
          <w:color w:val="8A1F11"/>
          <w:sz w:val="19"/>
        </w:rPr>
        <w:t>IndexFlatIP</w:t>
      </w:r>
      <w:r>
        <w:t>) over the pinned MITRE ATT&amp;CK Enterprise v19.2 active Windows corpus (474 techniques and sub-techniques).</w:t>
      </w:r>
    </w:p>
    <w:p>
      <w:r>
        <w:t xml:space="preserve">We evaluate this system across </w:t>
      </w:r>
      <w:r>
        <w:rPr>
          <w:b/>
        </w:rPr>
        <w:t>1,280 synthetic paired test views</w:t>
      </w:r>
      <w:r>
        <w:t xml:space="preserve"> (derived from 640 scenario pairs across 64 template families, featuring matched single-event and contextual-event representations). An authoritative join of test view identifiers against ground-truth records yields </w:t>
      </w:r>
      <w:r>
        <w:rPr>
          <w:b/>
        </w:rPr>
        <w:t>718 mapped positive scorable views</w:t>
      </w:r>
      <w:r>
        <w:t xml:space="preserve"> (678 single-GT, 40 multi-GT), with 311 ambiguous views and 251 unmapped views excluded from headline accuracy per protocol policies D2c and D2b. Crucially, we formally bound our claims: the evaluated dataset is strictly synthetic (</w:t>
      </w:r>
      <w:r>
        <w:rPr>
          <w:rFonts w:ascii="Consolas" w:hAnsi="Consolas"/>
          <w:color w:val="8A1F11"/>
          <w:sz w:val="19"/>
        </w:rPr>
        <w:t>synthetic-paired-v1</w:t>
      </w:r>
      <w:r>
        <w:t>), as forensic analysis of historical public Windows-APT telemetry revealed unresolved cell discrepancies and precision inconsistencies during reconciliation, preventing independent verification of authoritative ground truth. Consequently, our findings are bounded to the synthetic benchmark, and generalization to production enterprise telemetry remains unsupported.</w:t>
      </w:r>
    </w:p>
    <w:p>
      <w:r>
        <w:t xml:space="preserve">Our evaluation framework employs a fixed 474-class macro-averaged F1 universe, multi-label </w:t>
      </w:r>
      <w:r>
        <w:rPr>
          <w:rFonts w:ascii="Consolas" w:hAnsi="Consolas"/>
          <w:color w:val="8A1F11"/>
          <w:sz w:val="19"/>
        </w:rPr>
        <w:t>ANY_MATCH</w:t>
      </w:r>
      <w:r>
        <w:t xml:space="preserve"> correctness semantics, headline end-to-end accuracy incorporating provider and parse failures, and an independent-axes failure decomposition. In compliance with strict empirical integrity guidelines, this report establishes the formal research report scaffold, mathematical formulations, literature review, and experimental table schemas without inventing unexecuted numerical results. Preliminary offline retrieval diagnostics across positive views demonstrate that dense retrieval achieves </w:t>
      </w:r>
      <w:r>
        <w:rPr>
          <w:rFonts w:ascii="Cambria Math" w:hAnsi="Cambria Math"/>
          <w:i/>
        </w:rPr>
        <w:t>Hit@1 = 4.23%</w:t>
      </w:r>
      <w:r>
        <w:t xml:space="preserve"> and </w:t>
      </w:r>
      <w:r>
        <w:rPr>
          <w:rFonts w:ascii="Cambria Math" w:hAnsi="Cambria Math"/>
          <w:i/>
        </w:rPr>
        <w:t>Hit@10 = 45.11%</w:t>
      </w:r>
      <w:r>
        <w:t xml:space="preserve">, with no ground-truth technique retrieved within Top-10 in </w:t>
      </w:r>
      <w:r>
        <w:rPr>
          <w:rFonts w:ascii="Cambria Math" w:hAnsi="Cambria Math"/>
          <w:i/>
        </w:rPr>
        <w:t>54.89%</w:t>
      </w:r>
      <w:r>
        <w:t xml:space="preserve"> of positive views (the complement of view-level Any-GT Hit@10), influenced by lexical mismatch in command-line arguments and contextual event dilution. The canonical live execution matrix (6,400 requests) is strictly budgeted under a USD 19.99 financial guard, establishing a reproducible foundation for evaluating knowledge grounding in security reasoning.</w:t>
      </w:r>
    </w:p>
    <w:p>
      <w:pPr>
        <w:spacing w:before="120" w:after="120"/>
        <w:pBdr>
          <w:bottom w:val="single" w:sz="6" w:space="1" w:color="D0D7DE"/>
        </w:pBdr>
      </w:pPr>
    </w:p>
    <w:p>
      <w:pPr>
        <w:pStyle w:val="Heading1"/>
        <w:spacing w:before="280" w:after="120"/>
      </w:pPr>
      <w:r>
        <w:rPr>
          <w:rFonts w:ascii="Georgia" w:hAnsi="Georgia"/>
          <w:b/>
          <w:color w:val="0A2540"/>
          <w:sz w:val="28"/>
        </w:rPr>
        <w:t>1. Introduction</w:t>
      </w:r>
    </w:p>
    <w:p>
      <w:pPr>
        <w:pStyle w:val="Heading2"/>
        <w:spacing w:before="200" w:after="80"/>
      </w:pPr>
      <w:r>
        <w:rPr>
          <w:rFonts w:ascii="Calibri" w:hAnsi="Calibri"/>
          <w:b/>
          <w:color w:val="1F2328"/>
          <w:sz w:val="24"/>
        </w:rPr>
        <w:t>1.1 Background and Threat Attribution Challenges</w:t>
      </w:r>
    </w:p>
    <w:p>
      <w:r>
        <w:t xml:space="preserve">Enterprise defense relies heavily on the ingestion, processing, and interpretation of host endpoint telemetry. System instrumentation tools—such as Microsoft Sysmon and native Windows Security Event Auditing—record granular operating system activity, including process creation (Event ID 1 / 4688), network connections (Event ID 3), image loading (Event ID 7), registry modifications (Event IDs 12/13), service installations (Event ID 4697), and user management (Event ID 4720). Security Operations Center (SOC) analysts and incident response teams continuously triage these log streams to detect malicious behavior and perform </w:t>
      </w:r>
      <w:r>
        <w:rPr>
          <w:i/>
        </w:rPr>
        <w:t>threat attribution</w:t>
      </w:r>
      <w:r>
        <w:t>: mapping discrete host observables to standardized adversary Tactics, Techniques, and Procedures (TTPs) defined in the MITRE ATT&amp;CK framework [1].</w:t>
      </w:r>
    </w:p>
    <w:p>
      <w:r>
        <w:t xml:space="preserve">Accurate ATT&amp;CK mapping enables automated playbooks, contextualized threat hunting, kill-chain reconstruction, and cross-organization threat intelligence sharing. However, manual attribution at the sub-technique level is labor-intensive and cognitively demanding. An adversary executing a living-off-the-land binary (LOLBin) like </w:t>
      </w:r>
      <w:r>
        <w:rPr>
          <w:rFonts w:ascii="Consolas" w:hAnsi="Consolas"/>
          <w:color w:val="8A1F11"/>
          <w:sz w:val="19"/>
        </w:rPr>
        <w:t>certutil.exe</w:t>
      </w:r>
      <w:r>
        <w:t xml:space="preserve"> might be staging tools from an external server (Ingress Tool Transfer: </w:t>
      </w:r>
      <w:r>
        <w:rPr>
          <w:rFonts w:ascii="Consolas" w:hAnsi="Consolas"/>
          <w:color w:val="8A1F11"/>
          <w:sz w:val="19"/>
        </w:rPr>
        <w:t>T1105</w:t>
      </w:r>
      <w:r>
        <w:t xml:space="preserve">) or decoding payloads (Deobfuscate/Decode Files or Information: </w:t>
      </w:r>
      <w:r>
        <w:rPr>
          <w:rFonts w:ascii="Consolas" w:hAnsi="Consolas"/>
          <w:color w:val="8A1F11"/>
          <w:sz w:val="19"/>
        </w:rPr>
        <w:t>T1140</w:t>
      </w:r>
      <w:r>
        <w:t>). Disambiguating these nuanced attacker goals requires domain knowledge, familiarity with command-line syntax, and comprehensive understanding of the ATT&amp;CK taxonomy.</w:t>
      </w:r>
    </w:p>
    <w:p>
      <w:pPr>
        <w:pStyle w:val="Heading2"/>
        <w:spacing w:before="200" w:after="80"/>
      </w:pPr>
      <w:r>
        <w:rPr>
          <w:rFonts w:ascii="Calibri" w:hAnsi="Calibri"/>
          <w:b/>
          <w:color w:val="1F2328"/>
          <w:sz w:val="24"/>
        </w:rPr>
        <w:t>1.2 LLMs and the RAG Paradigm in Threat Attribution</w:t>
      </w:r>
    </w:p>
    <w:p>
      <w:r>
        <w:t xml:space="preserve">Commercial foundation models with extended internal reasoning capabilities (such as OpenAI's </w:t>
      </w:r>
      <w:r>
        <w:rPr>
          <w:rFonts w:ascii="Consolas" w:hAnsi="Consolas"/>
          <w:color w:val="8A1F11"/>
          <w:sz w:val="19"/>
        </w:rPr>
        <w:t>gpt-5.6-luna</w:t>
      </w:r>
      <w:r>
        <w:t>) provide architectural support for structured output schemas and multi-step reasoning over dense technical context, serving as motivation for automated threat attribution workflows [2, 3]. However, relying solely on an LLM's internal parametric memory poses operational risks in security-critical environments:</w:t>
      </w:r>
    </w:p>
    <w:p>
      <w:pPr>
        <w:spacing w:after="40" w:line="276" w:lineRule="auto"/>
        <w:ind w:left="432" w:hanging="288"/>
      </w:pPr>
      <w:r>
        <w:rPr>
          <w:rFonts w:ascii="Calibri" w:hAnsi="Calibri"/>
          <w:b/>
          <w:color w:val="24292F"/>
        </w:rPr>
        <w:t xml:space="preserve">1. </w:t>
      </w:r>
      <w:r>
        <w:rPr>
          <w:b/>
        </w:rPr>
        <w:t>Parametric Hallucination &amp; Invalid Identifiers:</w:t>
      </w:r>
      <w:r>
        <w:t xml:space="preserve"> Models may synthesize non-existent technique identifiers (such as </w:t>
      </w:r>
      <w:r>
        <w:rPr>
          <w:rFonts w:ascii="Consolas" w:hAnsi="Consolas"/>
          <w:color w:val="8A1F11"/>
          <w:sz w:val="19"/>
        </w:rPr>
        <w:t>T1543.006</w:t>
      </w:r>
      <w:r>
        <w:t xml:space="preserve">, which is absent from the Enterprise ATT&amp;CK taxonomy) or confuse platform scopes by assigning non-Windows techniques (such as Cloud API: </w:t>
      </w:r>
      <w:r>
        <w:rPr>
          <w:rFonts w:ascii="Consolas" w:hAnsi="Consolas"/>
          <w:color w:val="8A1F11"/>
          <w:sz w:val="19"/>
        </w:rPr>
        <w:t>T1059.009</w:t>
      </w:r>
      <w:r>
        <w:t>, an active cloud technique in ATT&amp;CK v19.2 that is not applicable to Windows host execution).</w:t>
      </w:r>
    </w:p>
    <w:p>
      <w:pPr>
        <w:spacing w:after="40" w:line="276" w:lineRule="auto"/>
        <w:ind w:left="432" w:hanging="288"/>
      </w:pPr>
      <w:r>
        <w:rPr>
          <w:rFonts w:ascii="Calibri" w:hAnsi="Calibri"/>
          <w:b/>
          <w:color w:val="24292F"/>
        </w:rPr>
        <w:t xml:space="preserve">2. </w:t>
      </w:r>
      <w:r>
        <w:rPr>
          <w:b/>
        </w:rPr>
        <w:t>Knowledge Obsolescence:</w:t>
      </w:r>
      <w:r>
        <w:t xml:space="preserve"> Static model weights cannot reflect updates, deprecations, or newly introduced techniques in quarterly ATT&amp;CK releases.</w:t>
      </w:r>
    </w:p>
    <w:p>
      <w:pPr>
        <w:spacing w:after="40" w:line="276" w:lineRule="auto"/>
        <w:ind w:left="432" w:hanging="288"/>
      </w:pPr>
      <w:r>
        <w:rPr>
          <w:rFonts w:ascii="Calibri" w:hAnsi="Calibri"/>
          <w:b/>
          <w:color w:val="24292F"/>
        </w:rPr>
        <w:t xml:space="preserve">3. </w:t>
      </w:r>
      <w:r>
        <w:rPr>
          <w:b/>
        </w:rPr>
        <w:t>Lack of Verifiable Grounding:</w:t>
      </w:r>
      <w:r>
        <w:t xml:space="preserve"> Parametric predictions lack auditable citations back to official adversary procedure descriptions, making verification difficult for human analysts.</w:t>
      </w:r>
    </w:p>
    <w:p>
      <w:r>
        <w:t>Retrieval-Augmented Generation (RAG) [4] addresses these limitations by dynamically fetching relevant external reference text from a curated corpus and injecting it into the model's inference context. In threat attribution, grounding the LLM in official MITRE ATT&amp;CK technique descriptions, detection guidelines, and procedure examples can restrict the model's output space to valid identifiers, supply authoritative behavioral definitions, and enhance contextual disambiguation.</w:t>
      </w:r>
    </w:p>
    <w:p>
      <w:pPr>
        <w:pStyle w:val="Heading2"/>
        <w:spacing w:before="200" w:after="80"/>
      </w:pPr>
      <w:r>
        <w:rPr>
          <w:rFonts w:ascii="Calibri" w:hAnsi="Calibri"/>
          <w:b/>
          <w:color w:val="1F2328"/>
          <w:sz w:val="24"/>
        </w:rPr>
        <w:t>1.3 Scope, Non-Novelty Boundaries, and Replication-and-Extension Framing</w:t>
      </w:r>
    </w:p>
    <w:p>
      <w:r>
        <w:t>While RAG has become ubiquitous across natural language processing, its empirical behavior in cybersecurity telemetry attribution remains insufficiently characterized. Several recent studies have introduced retrieval mechanisms for ATT&amp;CK mapping; however, as demonstrated in our literature review (Section 2), these prior works leave critical empirical gaps.</w:t>
      </w:r>
    </w:p>
    <w:p>
      <w:r>
        <w:t xml:space="preserve">To maintain strict scientific integrity, </w:t>
      </w:r>
      <w:r>
        <w:rPr>
          <w:b/>
        </w:rPr>
        <w:t>RAG2ATTCK does not claim global novelty for:</w:t>
      </w:r>
    </w:p>
    <w:p>
      <w:pPr>
        <w:pStyle w:val="ListBullet"/>
        <w:spacing w:after="40" w:line="276" w:lineRule="auto"/>
      </w:pPr>
      <w:r>
        <w:t>The concept of applying RAG to MITRE ATT&amp;CK mapping (established in CTI text by Lekssays et al. [5] and Morbiato et al. [6]).</w:t>
      </w:r>
    </w:p>
    <w:p>
      <w:pPr>
        <w:pStyle w:val="ListBullet"/>
        <w:spacing w:after="40" w:line="276" w:lineRule="auto"/>
      </w:pPr>
      <w:r>
        <w:t>The use of Windows Sysmon or command logs for LLM-based security detection (investigated by Yang &amp; Hsu [7], Landauer et al. [8], and Okuma et al. [9]).</w:t>
      </w:r>
    </w:p>
    <w:p>
      <w:pPr>
        <w:pStyle w:val="ListBullet"/>
        <w:spacing w:after="40" w:line="276" w:lineRule="auto"/>
      </w:pPr>
      <w:r>
        <w:t>Evaluating RAG against an unaugmented prompting baseline (conducted in cloud telemetry by Adediran et al. [10] and in Linux graphs by Lupinacci et al. [11]).</w:t>
      </w:r>
    </w:p>
    <w:p>
      <w:pPr>
        <w:pStyle w:val="ListBullet"/>
        <w:spacing w:after="40" w:line="276" w:lineRule="auto"/>
      </w:pPr>
      <w:r>
        <w:t>Evaluating candidate retrieval depth (</w:t>
      </w:r>
      <w:r>
        <w:rPr>
          <w:rFonts w:ascii="Cambria Math" w:hAnsi="Cambria Math"/>
          <w:i/>
        </w:rPr>
        <w:t>k</w:t>
      </w:r>
      <w:r>
        <w:t>) or retrieval failure trade-offs in isolation (explored in CTI text by Morbiato et al. [6]).</w:t>
      </w:r>
    </w:p>
    <w:p>
      <w:r>
        <w:t xml:space="preserve">Instead, </w:t>
      </w:r>
      <w:r>
        <w:rPr>
          <w:b/>
        </w:rPr>
        <w:t>RAG2ATTCK is formally framed as a controlled replication-and-extension empirical study</w:t>
      </w:r>
      <w:r>
        <w:t>. We evaluate whether the documented benefits of ATT&amp;CK-grounded RAG hold when subjected to a controlled evaluation on Windows endpoint evidence. Our study is defined by the combination of five core experimental controls:</w:t>
      </w:r>
    </w:p>
    <w:p>
      <w:pPr>
        <w:spacing w:after="40" w:line="276" w:lineRule="auto"/>
        <w:ind w:left="432" w:hanging="288"/>
      </w:pPr>
      <w:r>
        <w:rPr>
          <w:rFonts w:ascii="Calibri" w:hAnsi="Calibri"/>
          <w:b/>
          <w:color w:val="24292F"/>
        </w:rPr>
        <w:t xml:space="preserve">1. </w:t>
      </w:r>
      <w:r>
        <w:rPr>
          <w:b/>
        </w:rPr>
        <w:t>Symmetric Controlled Contrast:</w:t>
      </w:r>
      <w:r>
        <w:t xml:space="preserve"> We compare No-RAG and RAG conditions using the </w:t>
      </w:r>
      <w:r>
        <w:rPr>
          <w:i/>
        </w:rPr>
        <w:t>identical</w:t>
      </w:r>
      <w:r>
        <w:t xml:space="preserve"> language model (</w:t>
      </w:r>
      <w:r>
        <w:rPr>
          <w:rFonts w:ascii="Consolas" w:hAnsi="Consolas"/>
          <w:color w:val="8A1F11"/>
          <w:sz w:val="19"/>
        </w:rPr>
        <w:t>gpt-5.6-luna</w:t>
      </w:r>
      <w:r>
        <w:t>), identical configured reasoning effort (</w:t>
      </w:r>
      <w:r>
        <w:rPr>
          <w:rFonts w:ascii="Consolas" w:hAnsi="Consolas"/>
          <w:color w:val="8A1F11"/>
          <w:sz w:val="19"/>
        </w:rPr>
        <w:t>xhigh</w:t>
      </w:r>
      <w:r>
        <w:t>), identical output token budget (8,192 tokens), and a byte-identical prompt template (</w:t>
      </w:r>
      <w:r>
        <w:rPr>
          <w:rFonts w:ascii="Consolas" w:hAnsi="Consolas"/>
          <w:color w:val="8A1F11"/>
          <w:sz w:val="19"/>
        </w:rPr>
        <w:t>prompts/baseline_v1.txt</w:t>
      </w:r>
      <w:r>
        <w:t>), ensuring that the presence of retrieved context is the sole independent variable.</w:t>
      </w:r>
    </w:p>
    <w:p>
      <w:pPr>
        <w:spacing w:after="40" w:line="276" w:lineRule="auto"/>
        <w:ind w:left="432" w:hanging="288"/>
      </w:pPr>
      <w:r>
        <w:rPr>
          <w:rFonts w:ascii="Calibri" w:hAnsi="Calibri"/>
          <w:b/>
          <w:color w:val="24292F"/>
        </w:rPr>
        <w:t xml:space="preserve">2. </w:t>
      </w:r>
      <w:r>
        <w:rPr>
          <w:b/>
        </w:rPr>
        <w:t>Pinned ATT&amp;CK Enterprise Matrix v19.2:</w:t>
      </w:r>
      <w:r>
        <w:t xml:space="preserve"> All retrieval and evaluation operations are bound to an immutable STIX snapshot of 474 active Windows techniques and sub-techniques, eliminating taxonomy drift.</w:t>
      </w:r>
    </w:p>
    <w:p>
      <w:pPr>
        <w:spacing w:after="40" w:line="276" w:lineRule="auto"/>
        <w:ind w:left="432" w:hanging="288"/>
      </w:pPr>
      <w:r>
        <w:rPr>
          <w:rFonts w:ascii="Calibri" w:hAnsi="Calibri"/>
          <w:b/>
          <w:color w:val="24292F"/>
        </w:rPr>
        <w:t xml:space="preserve">3. </w:t>
      </w:r>
      <w:r>
        <w:rPr>
          <w:b/>
        </w:rPr>
        <w:t>Decoupled Failure Decomposition:</w:t>
      </w:r>
      <w:r>
        <w:t xml:space="preserve"> We decouple upstream retrieval failures (where the true technique is not retrieved in the Top-</w:t>
      </w:r>
      <w:r>
        <w:rPr>
          <w:rFonts w:ascii="Cambria Math" w:hAnsi="Cambria Math"/>
          <w:i/>
        </w:rPr>
        <w:t>k</w:t>
      </w:r>
      <w:r>
        <w:t xml:space="preserve"> candidates) from downstream LLM generation/selection failures, revealing where the attribution pipeline breaks down.</w:t>
      </w:r>
    </w:p>
    <w:p>
      <w:pPr>
        <w:spacing w:after="40" w:line="276" w:lineRule="auto"/>
        <w:ind w:left="432" w:hanging="288"/>
      </w:pPr>
      <w:r>
        <w:rPr>
          <w:rFonts w:ascii="Calibri" w:hAnsi="Calibri"/>
          <w:b/>
          <w:color w:val="24292F"/>
        </w:rPr>
        <w:t xml:space="preserve">4. </w:t>
      </w:r>
      <w:r>
        <w:rPr>
          <w:b/>
        </w:rPr>
        <w:t>Systematic Retrieval Depth Sweep:</w:t>
      </w:r>
      <w:r>
        <w:t xml:space="preserve"> We ablate retrieval depth across </w:t>
      </w:r>
      <w:r>
        <w:rPr>
          <w:rFonts w:ascii="Cambria Math" w:hAnsi="Cambria Math"/>
          <w:i/>
        </w:rPr>
        <w:t>k ∈ {1, 3, 5, 10}</w:t>
      </w:r>
      <w:r>
        <w:t xml:space="preserve"> to measure the transition from informative context to distractor noise, tracking token costs and wall-clock latency.</w:t>
      </w:r>
    </w:p>
    <w:p>
      <w:pPr>
        <w:spacing w:after="40" w:line="276" w:lineRule="auto"/>
        <w:ind w:left="432" w:hanging="288"/>
      </w:pPr>
      <w:r>
        <w:rPr>
          <w:rFonts w:ascii="Calibri" w:hAnsi="Calibri"/>
          <w:b/>
          <w:color w:val="24292F"/>
        </w:rPr>
        <w:t xml:space="preserve">5. </w:t>
      </w:r>
      <w:r>
        <w:rPr>
          <w:b/>
        </w:rPr>
        <w:t>Paired Single-Event vs. Contextual-Event Views:</w:t>
      </w:r>
      <w:r>
        <w:t xml:space="preserve"> We evaluate attribution accuracy across both isolated single-event triggers and multi-event contextual execution sequences to determine whether additional telemetry context aids or degrades dense retrieval and model reasoning.</w:t>
      </w:r>
    </w:p>
    <w:p>
      <w:pPr>
        <w:pStyle w:val="Heading2"/>
        <w:spacing w:before="200" w:after="80"/>
      </w:pPr>
      <w:r>
        <w:rPr>
          <w:rFonts w:ascii="Calibri" w:hAnsi="Calibri"/>
          <w:b/>
          <w:color w:val="1F2328"/>
          <w:sz w:val="24"/>
        </w:rPr>
        <w:t>1.4 Canonical Research Questions</w:t>
      </w:r>
    </w:p>
    <w:p>
      <w:r>
        <w:t>Our empirical investigation is structured around three primary research questions:</w:t>
      </w:r>
    </w:p>
    <w:p>
      <w:pPr>
        <w:pStyle w:val="ListBullet"/>
        <w:spacing w:after="40" w:line="276" w:lineRule="auto"/>
      </w:pPr>
      <w:r>
        <w:rPr>
          <w:b/>
        </w:rPr>
        <w:t>RQ1 (Retrieval-Augmented Attribution Efficacy):</w:t>
      </w:r>
      <w:r>
        <w:t xml:space="preserve"> Does grounding a reasoning LLM in retrieved MITRE ATT&amp;CK enterprise reference context improve exact technique and sub-technique attribution accuracy and macro-F1 over an unaugmented No-RAG baseline under symmetric reasoning compute?</w:t>
      </w:r>
    </w:p>
    <w:p>
      <w:pPr>
        <w:pStyle w:val="ListBullet"/>
        <w:spacing w:after="40" w:line="276" w:lineRule="auto"/>
      </w:pPr>
      <w:r>
        <w:rPr>
          <w:b/>
        </w:rPr>
        <w:t>RQ2 (Retrieval Quality and Failure Decomposition):</w:t>
      </w:r>
      <w:r>
        <w:t xml:space="preserve"> When attribution errors occur under RAG, what proportion is attributable to upstream retrieval misses (</w:t>
      </w:r>
      <w:r>
        <w:rPr>
          <w:rFonts w:ascii="Cambria Math" w:hAnsi="Cambria Math"/>
          <w:i/>
        </w:rPr>
        <w:t>GT ∉ Top-k</w:t>
      </w:r>
      <w:r>
        <w:t>) versus downstream model generation or selection failures? Furthermore, how do single-event versus multi-event contextual representations influence these independent failure axes?</w:t>
      </w:r>
    </w:p>
    <w:p>
      <w:pPr>
        <w:pStyle w:val="ListBullet"/>
        <w:spacing w:after="40" w:line="276" w:lineRule="auto"/>
      </w:pPr>
      <w:r>
        <w:rPr>
          <w:b/>
        </w:rPr>
        <w:t>RQ3 (Retrieval Depth, API Cost, and Latency Trade-Offs):</w:t>
      </w:r>
      <w:r>
        <w:t xml:space="preserve"> How does varying retrieval candidate depth (</w:t>
      </w:r>
      <w:r>
        <w:rPr>
          <w:rFonts w:ascii="Cambria Math" w:hAnsi="Cambria Math"/>
          <w:i/>
        </w:rPr>
        <w:t>k ∈ {1, 3, 5, 10}</w:t>
      </w:r>
      <w:r>
        <w:t>) affect attribution performance, context distractor susceptibility, latency, and monetary API token costs?</w:t>
      </w:r>
    </w:p>
    <w:p>
      <w:pPr>
        <w:spacing w:before="120" w:after="120"/>
        <w:pBdr>
          <w:bottom w:val="single" w:sz="6" w:space="1" w:color="D0D7DE"/>
        </w:pBdr>
      </w:pPr>
    </w:p>
    <w:p>
      <w:pPr>
        <w:pStyle w:val="Heading1"/>
        <w:spacing w:before="280" w:after="120"/>
      </w:pPr>
      <w:r>
        <w:rPr>
          <w:rFonts w:ascii="Georgia" w:hAnsi="Georgia"/>
          <w:b/>
          <w:color w:val="0A2540"/>
          <w:sz w:val="28"/>
        </w:rPr>
        <w:t>2. Related Work and Research Gap</w:t>
      </w:r>
    </w:p>
    <w:p>
      <w:pPr>
        <w:pStyle w:val="Heading2"/>
        <w:spacing w:before="200" w:after="80"/>
      </w:pPr>
      <w:r>
        <w:rPr>
          <w:rFonts w:ascii="Calibri" w:hAnsi="Calibri"/>
          <w:b/>
          <w:color w:val="1F2328"/>
          <w:sz w:val="24"/>
        </w:rPr>
        <w:t>2.1 Literature Analysis and Comparator Set</w:t>
      </w:r>
    </w:p>
    <w:p>
      <w:r>
        <w:t>To contextualize RAG2ATTCK within the contemporary research landscape, we conducted a source-bounded audit of eight core comparator papers spanning cyber threat intelligence annotation, log interpretation, and telemetry-to-ATT&amp;CK mapping.</w:t>
      </w:r>
    </w:p>
    <w:p>
      <w:r>
        <w:t xml:space="preserve">In strict adherence to scholarly truthfulness, we report the exact verification status of all primary sources examined during our audit (PR #8, commit </w:t>
      </w:r>
      <w:r>
        <w:rPr>
          <w:rFonts w:ascii="Consolas" w:hAnsi="Consolas"/>
          <w:color w:val="8A1F11"/>
          <w:sz w:val="19"/>
        </w:rPr>
        <w:t>6783f20971cbff91f105d0280ddd07cb0925aab0</w:t>
      </w:r>
      <w:r>
        <w:t>):</w:t>
      </w:r>
    </w:p>
    <w:p>
      <w:pPr>
        <w:pStyle w:val="ListBullet"/>
        <w:spacing w:after="40" w:line="276" w:lineRule="auto"/>
      </w:pPr>
      <w:r>
        <w:rPr>
          <w:b/>
        </w:rPr>
        <w:t>Full-Text Content Audited (6/8):</w:t>
      </w:r>
      <w:r>
        <w:t xml:space="preserve"> Adediran et al. [10], Landauer et al. (CAM-LDS journal version) [8], Lekssays et al. (TechniqueRAG ACL version) [5], Morbiato et al. (H-TechniqueRAG) [6], Lupinacci et al. (Trace2ATT&amp;CK) [11], and Gwak et al. (LADE author manuscript) [12].</w:t>
      </w:r>
    </w:p>
    <w:p>
      <w:pPr>
        <w:pStyle w:val="ListBullet"/>
        <w:spacing w:after="40" w:line="276" w:lineRule="auto"/>
      </w:pPr>
      <w:r>
        <w:rPr>
          <w:b/>
        </w:rPr>
        <w:t>Partial / Access-Blocked (2/8):</w:t>
      </w:r>
      <w:r>
        <w:t xml:space="preserve"> Yang &amp; Hsu [7] is verified solely from the publisher abstract and bibliographic metadata (Springer SIST vol. 8767, pp. 235–251, published online 2 July 2026; full chapter is subscription-restricted). Okuma et al. [9] is verified solely from the IEEE conference bibliographic record (ICSPIS 2023, pp. 104–109; primary full text was inaccessible during the audit). Claims regarding these two works are strictly bounded to verified metadata.</w:t>
      </w:r>
    </w:p>
    <w:p>
      <w:pPr>
        <w:pStyle w:val="Heading2"/>
        <w:spacing w:before="200" w:after="80"/>
      </w:pPr>
      <w:r>
        <w:rPr>
          <w:rFonts w:ascii="Calibri" w:hAnsi="Calibri"/>
          <w:b/>
          <w:color w:val="1F2328"/>
          <w:sz w:val="24"/>
        </w:rPr>
        <w:t>2.2 Comparator Matrix</w:t>
      </w:r>
    </w:p>
    <w:p>
      <w:r>
        <w:t>Table 1a and Table 1b present a comprehensive 16-dimension comparison across the eight comparator works and RAG2ATTCK, partitioned into two complementary views to preserve granular legibility: Table 1a details Comparators 1–4, and Table 1b details Comparators 5–8 alongside RAG2ATTCK.</w:t>
      </w:r>
    </w:p>
    <w:p>
      <w:r>
        <w:rPr>
          <w:i/>
        </w:rPr>
        <w:t>Table 1a: Multi-Dimensional Comparator Matrix Grounded in Primary Evidence (Part 1: Comparators 1–4).</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cantSplit/>
          <w:tblHeader/>
        </w:trPr>
        <w:tc>
          <w:tcPr>
            <w:tcW w:type="dxa" w:w="187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Dimension</w:t>
            </w:r>
          </w:p>
        </w:tc>
        <w:tc>
          <w:tcPr>
            <w:tcW w:type="dxa" w:w="187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Yang &amp; Hsu (2026) [7]</w:t>
            </w:r>
          </w:p>
        </w:tc>
        <w:tc>
          <w:tcPr>
            <w:tcW w:type="dxa" w:w="187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Adediran et al. (2026) [10]</w:t>
            </w:r>
          </w:p>
        </w:tc>
        <w:tc>
          <w:tcPr>
            <w:tcW w:type="dxa" w:w="187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CAM-LDS (Landauer et al., 2026) [8]</w:t>
            </w:r>
          </w:p>
        </w:tc>
        <w:tc>
          <w:tcPr>
            <w:tcW w:type="dxa" w:w="187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TechniqueRAG (Lekssays et al., 2025) [5]</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 Primary Input</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Windows Sysmon process trees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AWS CloudTrail JSON events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Linux system logs (auditd, syslog) + IDS alerts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Unstructured CTI text reports</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2. Target Platform</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Windows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AWS Cloud</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Linux / Multi-source</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Cross-platform (CTI text)</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3. Core Task</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Malicious behavior detection &amp; explanation</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Cloud threat detection &amp; ATT&amp;CK mapping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Benchmark log interpretation</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CTI technique &amp; sub-technique annotation</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4. ATT&amp;CK Target Granularity</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Behavior explanation (Exact ID UNVERIFIED)</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Technique &amp; Sub-technique (</w:t>
            </w:r>
            <w:r>
              <w:rPr>
                <w:rFonts w:ascii="Consolas" w:hAnsi="Consolas"/>
                <w:color w:val="8A1F11"/>
                <w:sz w:val="14"/>
              </w:rPr>
              <w:t>Txxxx.yyy</w:t>
            </w:r>
            <w:r>
              <w:rPr>
                <w:color w:val="24292F"/>
                <w:sz w:val="16"/>
              </w:rPr>
              <w:t>)</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Collapses sub-techniques to parent (</w:t>
            </w:r>
            <w:r>
              <w:rPr>
                <w:rFonts w:ascii="Consolas" w:hAnsi="Consolas"/>
                <w:color w:val="8A1F11"/>
                <w:sz w:val="14"/>
              </w:rPr>
              <w:t>Txxxx</w:t>
            </w:r>
            <w:r>
              <w:rPr>
                <w:color w:val="24292F"/>
                <w:sz w:val="16"/>
              </w:rPr>
              <w:t>)</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Technique &amp; Sub-technique (</w:t>
            </w:r>
            <w:r>
              <w:rPr>
                <w:rFonts w:ascii="Consolas" w:hAnsi="Consolas"/>
                <w:color w:val="8A1F11"/>
                <w:sz w:val="14"/>
              </w:rPr>
              <w:t>Txxxx.yyy</w:t>
            </w:r>
            <w:r>
              <w:rPr>
                <w:color w:val="24292F"/>
                <w:sz w:val="16"/>
              </w:rPr>
              <w:t>)</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5. RAG Architecture</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Semantic matching RAG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Two-step query expansion RAG (Vertex AI)</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None</w:t>
            </w:r>
            <w:r>
              <w:rPr>
                <w:color w:val="24292F"/>
                <w:sz w:val="16"/>
              </w:rPr>
              <w:t xml:space="preserve"> (Zero-shot prompting)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Exemplar retrieval (BM25 + DeepSeek v3 rerank)</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6. Retrieval Corpus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Security templates &amp; attack patterns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ATT&amp;CK Cloud, AWS catalogue, threat blogs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Annotated text-label pairs (TRAM, Procedures)</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7. Matched No-RAG Baseline?</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w:t>
            </w:r>
            <w:r>
              <w:rPr>
                <w:color w:val="24292F"/>
                <w:sz w:val="16"/>
              </w:rPr>
              <w:t xml:space="preserve"> (Mistral, phi-2, TinyLlama w/o RAG)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w:t>
            </w:r>
            <w:r>
              <w:rPr>
                <w:color w:val="24292F"/>
                <w:sz w:val="16"/>
              </w:rPr>
              <w:t xml:space="preserve"> (Gemini 2.5 Pro baseline w/o RAG)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 xml:space="preserve">Evaluates </w:t>
            </w:r>
            <w:r>
              <w:rPr>
                <w:i/>
                <w:color w:val="24292F"/>
                <w:sz w:val="16"/>
              </w:rPr>
              <w:t>only</w:t>
            </w:r>
            <w:r>
              <w:rPr>
                <w:color w:val="24292F"/>
                <w:sz w:val="16"/>
              </w:rPr>
              <w:t xml:space="preserve"> zero-shot (no RAG)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w:t>
            </w:r>
            <w:r>
              <w:rPr>
                <w:color w:val="24292F"/>
                <w:sz w:val="16"/>
              </w:rPr>
              <w:t xml:space="preserve"> (Zero-shot and fine-tuned w/o RAG)</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8. Top-k Retrieval Ablation?</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UNVERIFIED (full text unavailable)</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No</w:t>
            </w:r>
            <w:r>
              <w:rPr>
                <w:color w:val="24292F"/>
                <w:sz w:val="16"/>
              </w:rPr>
              <w:t xml:space="preserve"> (Numeric k NOT REPORTED; ablation deferred)</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 xml:space="preserve">Evaluates output cutoff </w:t>
            </w:r>
            <w:r>
              <w:rPr>
                <w:rFonts w:ascii="Cambria Math" w:hAnsi="Cambria Math"/>
                <w:i/>
                <w:color w:val="24292F"/>
                <w:sz w:val="16"/>
              </w:rPr>
              <w:t>k</w:t>
            </w:r>
            <w:r>
              <w:rPr>
                <w:color w:val="24292F"/>
                <w:sz w:val="16"/>
              </w:rPr>
              <w:t>, not retriever depth</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 xml:space="preserve">Evaluates pool size </w:t>
            </w:r>
            <w:r>
              <w:rPr>
                <w:rFonts w:ascii="Cambria Math" w:hAnsi="Cambria Math"/>
                <w:i/>
                <w:color w:val="24292F"/>
                <w:sz w:val="16"/>
              </w:rPr>
              <w:t>K=40</w:t>
            </w:r>
            <w:r>
              <w:rPr>
                <w:color w:val="24292F"/>
                <w:sz w:val="16"/>
              </w:rPr>
              <w:t xml:space="preserve">, fixed </w:t>
            </w:r>
            <w:r>
              <w:rPr>
                <w:rFonts w:ascii="Cambria Math" w:hAnsi="Cambria Math"/>
                <w:i/>
                <w:color w:val="24292F"/>
                <w:sz w:val="16"/>
              </w:rPr>
              <w:t>k=3</w:t>
            </w:r>
            <w:r>
              <w:rPr>
                <w:color w:val="24292F"/>
                <w:sz w:val="16"/>
              </w:rPr>
              <w:t xml:space="preserve"> exemplars</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9. Standalone Retriever Metrics?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UNVERIFIED</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NOT REPORTED</w:t>
            </w:r>
            <w:r>
              <w:rPr>
                <w:color w:val="24292F"/>
                <w:sz w:val="16"/>
              </w:rPr>
              <w:t xml:space="preserve"> (Generation gap only)</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P/R/F1 on ranking; standalone Hit@k NOT REPORTED</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10. Failure Decomposition?</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UNVERIFIED</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Qualitative error categorization (26.3% vs 60% gap)*</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Analyzes generator vs retriever errors</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11. Telemetry Leakage Controls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UNVERIFIED</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 xml:space="preserve">Notes </w:t>
            </w:r>
            <w:r>
              <w:rPr>
                <w:rFonts w:ascii="Consolas" w:hAnsi="Consolas"/>
                <w:color w:val="8A1F11"/>
                <w:sz w:val="14"/>
              </w:rPr>
              <w:t>stratus-red-team</w:t>
            </w:r>
            <w:r>
              <w:rPr>
                <w:color w:val="24292F"/>
                <w:sz w:val="16"/>
              </w:rPr>
              <w:t xml:space="preserve"> agent in raw logs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Strips explicit ATT&amp;CK labels/tactics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CTI text; no detector rule metadata</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12. Primary Models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Mistral-7B, phi-2, TinyLlama-1.1B</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Gemini 2.5 Pro</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GPT-5.5, Llama-3-70B, Mixtral, Command R+</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Ministral-8B (fine-tuned)</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13. Headline Metrics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Precision, F1, False Positive Rate</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Accuracy, Precision, Recall, F1, Latency, Cost</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Technique Rank, P@k, Recall@k, MRR</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Precision, Recall, Macro-F1, Micro-F1</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14. Primary Dataset</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Attack samples + benign process trees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200 AWS CloudTrail events (122 mal / 78 ben)</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7 scenarios, 198 log steps, 18 sources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TRAM, Procedures, Expert CTI datasets</w:t>
            </w:r>
          </w:p>
        </w:tc>
      </w:tr>
      <w:tr>
        <w:trPr>
          <w:cantSplit/>
        </w:trPr>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15. Closest Similarity</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Sysmon logs + matched No-RAG/RAG</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Controlled No-RAG vs RAG on telemetry</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Exact technique prediction from command logs</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ATT&amp;CK RAG with retrieval quality analysis</w:t>
            </w:r>
          </w:p>
        </w:tc>
      </w:tr>
      <w:tr>
        <w:trPr>
          <w:cantSplit/>
        </w:trPr>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16. Key Difference</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Binary detection; process tree heuristics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AWS CloudTrail API; two-step Vertex RAG</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Zero-shot only (no RAG); Linux focus</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Unstructured CTI text; fine-tunes generator</w:t>
            </w:r>
          </w:p>
        </w:tc>
      </w:tr>
    </w:tbl>
    <w:p>
      <w:pPr>
        <w:spacing w:after="120"/>
      </w:pPr>
    </w:p>
    <w:p>
      <w:r>
        <w:rPr>
          <w:i/>
        </w:rPr>
        <w:t>Table 1b: Multi-Dimensional Comparator Matrix Grounded in Primary Evidence (Part 2: Comparators 5–8 and RAG2ATTCK).</w:t>
      </w:r>
    </w:p>
    <w:tbl>
      <w:tblPr>
        <w:tblW w:type="auto" w:w="0"/>
        <w:jc w:val="center"/>
        <w:tblLayout w:type="fixed"/>
        <w:tblLook w:firstColumn="1" w:firstRow="1" w:lastColumn="0" w:lastRow="0" w:noHBand="0" w:noVBand="1" w:val="04A0"/>
      </w:tblPr>
      <w:tblGrid>
        <w:gridCol w:w="1800"/>
        <w:gridCol w:w="1512"/>
        <w:gridCol w:w="1512"/>
        <w:gridCol w:w="1512"/>
        <w:gridCol w:w="1512"/>
        <w:gridCol w:w="1512"/>
      </w:tblGrid>
      <w:tr>
        <w:trPr>
          <w:cantSplit/>
          <w:tblHeader/>
        </w:trPr>
        <w:tc>
          <w:tcPr>
            <w:tcW w:type="dxa" w:w="1800"/>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Dimension</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H-TechniqueRAG (Morbiato et al., 2026) [6]</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Trace2ATT&amp;CK (Lupinacci et al., 2026) [11]</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Okuma et al. (2023) [9]</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LADE (Gwak et al., 2026/2027) [12]</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RAG2ATTCK (This Work)</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 Primary Input</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Unstructured CTI text reports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Linux eBPF provenance graphs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Windows Sysmon event logs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Chronological command/script traces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Windows endpoint telemetry (Sysmon / Security logs)</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2. Target Platform</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Cross-platform (CTI text)</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Linux</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Windows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Cross-platform host OS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Windows Enterprise</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3. Core Task</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CTI technique annotation &amp; context routing</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Kernel telemetry to ATT&amp;CK mapping</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Heuristic log-to-technique correlation</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APT detection &amp; TTP mapping</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Exact ATT&amp;CK Technique / Sub-technique attribution</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4. ATT&amp;CK Target Granularity</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 xml:space="preserve">Tactic </w:t>
            </w:r>
            <w:r>
              <w:rPr>
                <w:rFonts w:ascii="Cambria Math" w:hAnsi="Cambria Math"/>
                <w:i/>
                <w:color w:val="24292F"/>
                <w:sz w:val="16"/>
              </w:rPr>
              <w:t>→</w:t>
            </w:r>
            <w:r>
              <w:rPr>
                <w:color w:val="24292F"/>
                <w:sz w:val="16"/>
              </w:rPr>
              <w:t xml:space="preserve"> Technique hierarchy</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Ranked Technique &amp; Sub-technique candidates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Technique level (</w:t>
            </w:r>
            <w:r>
              <w:rPr>
                <w:rFonts w:ascii="Consolas" w:hAnsi="Consolas"/>
                <w:color w:val="8A1F11"/>
                <w:sz w:val="14"/>
              </w:rPr>
              <w:t>Txxxx</w:t>
            </w:r>
            <w:r>
              <w:rPr>
                <w:color w:val="24292F"/>
                <w:sz w:val="16"/>
              </w:rPr>
              <w:t>)</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Ranked Technique candidates (Top-1/3/10)</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Exact Technique &amp; Sub-technique (</w:t>
            </w:r>
            <w:r>
              <w:rPr>
                <w:rFonts w:ascii="Consolas" w:hAnsi="Consolas"/>
                <w:color w:val="8A1F11"/>
                <w:sz w:val="14"/>
              </w:rPr>
              <w:t>Txxxx.yyy</w:t>
            </w:r>
            <w:r>
              <w:rPr>
                <w:b/>
                <w:color w:val="24292F"/>
                <w:sz w:val="16"/>
              </w:rPr>
              <w:t>)</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5. RAG Architecture</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Hierarchical dense RAG (FAISS IVF)</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Dense chunk retrieval (Chroma + MMR)</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None</w:t>
            </w:r>
            <w:r>
              <w:rPr>
                <w:color w:val="24292F"/>
                <w:sz w:val="16"/>
              </w:rPr>
              <w:t xml:space="preserve"> (Rule-based correlation)</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None</w:t>
            </w:r>
            <w:r>
              <w:rPr>
                <w:color w:val="24292F"/>
                <w:sz w:val="16"/>
              </w:rPr>
              <w:t xml:space="preserve"> (Rubric prompting with static ATT&amp;CK text)</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Dense semantic RAG (FAISS IndexFlatIP cosine)</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6. Retrieval Corpus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ATT&amp;CK Enterprise (CTI-RCM, TRAM, MITRE)</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ATT&amp;CK Enterprise KB (800-word chunks)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Official ATT&amp;CK Enterprise v19.2 (474 active Windows docs)</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7. Matched No-RAG Baseline?</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Flat RAG vs. Hierarchical RAG (no raw baseline)</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w:t>
            </w:r>
            <w:r>
              <w:rPr>
                <w:color w:val="24292F"/>
                <w:sz w:val="16"/>
              </w:rPr>
              <w:t xml:space="preserve"> (Prompting baseline w/o RAG)</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 (Heuristic only)</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Prompting only (no RAG ablation)</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 (Strictly matched gpt-5.6-luna w/o RAG)</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8. Top-k Retrieval Ablation?</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w:t>
            </w:r>
            <w:r>
              <w:rPr>
                <w:color w:val="24292F"/>
                <w:sz w:val="16"/>
              </w:rPr>
              <w:t xml:space="preserve"> (Tactic depth </w:t>
            </w:r>
            <w:r>
              <w:rPr>
                <w:rFonts w:ascii="Cambria Math" w:hAnsi="Cambria Math"/>
                <w:i/>
                <w:color w:val="24292F"/>
                <w:sz w:val="16"/>
              </w:rPr>
              <w:t>M=3</w:t>
            </w:r>
            <w:r>
              <w:rPr>
                <w:color w:val="24292F"/>
                <w:sz w:val="16"/>
              </w:rPr>
              <w:t>, max 15 tech/tactic)</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Fixed retriever depth (5 chunks), output cutoff 5</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 xml:space="preserve">Output cutoff </w:t>
            </w:r>
            <w:r>
              <w:rPr>
                <w:rFonts w:ascii="Cambria Math" w:hAnsi="Cambria Math"/>
                <w:i/>
                <w:color w:val="24292F"/>
                <w:sz w:val="16"/>
              </w:rPr>
              <w:t>k ∈ {1, 3, 10}</w:t>
            </w:r>
            <w:r>
              <w:rPr>
                <w:color w:val="24292F"/>
                <w:sz w:val="16"/>
              </w:rPr>
              <w:t>, not retriever depth</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 (</w:t>
            </w:r>
            <w:r>
              <w:rPr>
                <w:rFonts w:ascii="Cambria Math" w:hAnsi="Cambria Math"/>
                <w:b/>
                <w:i/>
                <w:color w:val="24292F"/>
                <w:sz w:val="16"/>
              </w:rPr>
              <w:t>k ∈ {1, 3, 5, 10}</w:t>
            </w:r>
            <w:r>
              <w:rPr>
                <w:b/>
                <w:color w:val="24292F"/>
                <w:sz w:val="16"/>
              </w:rPr>
              <w:t xml:space="preserve"> systematically ablated)</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9. Standalone Retriever Metrics?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Micro P/R/F1, MAP@10; standalone Recall@k NOT REPORTED</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NOT REPORTED</w:t>
            </w:r>
            <w:r>
              <w:rPr>
                <w:color w:val="24292F"/>
                <w:sz w:val="16"/>
              </w:rPr>
              <w:t xml:space="preserve"> (End-to-end HR@5 reported)</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 (Hit@k, Recall@k, Median Rank explicitly reported)</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10. Failure Decomposition?</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Analyzes distractor impact in flat vs hierarchical</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 (End-to-end system evaluation)</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Yes (Formal decoupled split: Retrieval vs Generation error)</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11. Telemetry Leakage Controls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CTI text; curated benchmarks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Kernel syscalls; no detector rule metadata</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Simulation metadata used</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Script command lines analyzed</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Strict field whitelist; detector rules/labels purged</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12. Primary Models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Llama-3-8B-Instruct</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Mistral-7B, Llama-3-8B, CodeLlama, etc.</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Heuristic algorithm</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GPT-4, Claude-3-Opus, Llama-3-70B</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OpenAI gpt-5.6-luna (xhigh reasoning effort)</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13. Headline Metrics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Micro P/R/F1, MAP@10, Latency, API calls</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HR@5, MRR@5, NDCG@5</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Mapping accuracy</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Precision, Recall, F1, HR/MRR/NDCG @ 3, 10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End-to-End Accuracy, 474-class Macro-F1, Recall@k</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14. Primary Dataset</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1,200 CTI-RCM + 2,800 MITRE + 450 TRAM</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347 Linux Atomic Red Team executions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Atomic Red Team Sysmon logs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AVIATOR (35 attack / 32 benign sequences)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1,280 paired synthetic views (640 scenario pairs)</w:t>
            </w:r>
          </w:p>
        </w:tc>
      </w:tr>
      <w:tr>
        <w:trPr>
          <w:cantSplit/>
        </w:trPr>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15. Closest Similarity</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Investigating retrieval depth &amp; distractor noise</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Telemetry-to-ATT&amp;CK mapping comparing RAG/prompt</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Windows Sysmon mapped to ATT&amp;CK</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Host command execution traces mapped to ATT&amp;CK</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Integrates telemetry, exact attribution, depth ablation</w:t>
            </w:r>
          </w:p>
        </w:tc>
      </w:tr>
      <w:tr>
        <w:trPr>
          <w:cantSplit/>
        </w:trPr>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16. Key Difference</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Unstructured CTI text; hierarchical routing</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Linux eBPF provenance graphs; no depth ablation</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Non-LLM rule heuristic from 2023</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Prompting only (no RAG); small sample (35 seqs)</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6"/>
              </w:rPr>
              <w:t>Windows endpoint logs + exact ID + depth ablation + error split</w:t>
            </w:r>
          </w:p>
        </w:tc>
      </w:tr>
    </w:tbl>
    <w:p>
      <w:pPr>
        <w:spacing w:after="120"/>
      </w:pPr>
    </w:p>
    <w:p>
      <w:r>
        <w:rPr>
          <w:i/>
        </w:rPr>
        <w:t>Note on Adediran et al. [10]: The published text contains an unresolved reporting discrepancy, stating in Section 2 that retrieval-generation gaps account for 60% of errors, while Section 6.4.1 reports 26.3% (5/19).</w:t>
      </w:r>
    </w:p>
    <w:p>
      <w:pPr>
        <w:pStyle w:val="Heading2"/>
        <w:spacing w:before="200" w:after="80"/>
      </w:pPr>
      <w:r>
        <w:rPr>
          <w:rFonts w:ascii="Calibri" w:hAnsi="Calibri"/>
          <w:b/>
          <w:color w:val="1F2328"/>
          <w:sz w:val="24"/>
        </w:rPr>
        <w:t>2.3 Detailed Comparative Synthesis</w:t>
      </w:r>
    </w:p>
    <w:p>
      <w:pPr>
        <w:spacing w:after="40" w:line="276" w:lineRule="auto"/>
        <w:ind w:left="432" w:hanging="288"/>
      </w:pPr>
      <w:r>
        <w:rPr>
          <w:rFonts w:ascii="Calibri" w:hAnsi="Calibri"/>
          <w:b/>
          <w:color w:val="24292F"/>
        </w:rPr>
        <w:t xml:space="preserve">1. </w:t>
      </w:r>
      <w:r>
        <w:rPr>
          <w:b/>
        </w:rPr>
        <w:t>CTI Text vs. Endpoint Telemetry:</w:t>
      </w:r>
      <w:r>
        <w:t xml:space="preserve"> TechniqueRAG [5] and H-TechniqueRAG [6] serve as primary methodological anchors for ATT&amp;CK candidate retrieval and ranking. However, both operate on human-written threat intelligence prose (reports, blogs, bulletins). CTI text is linguistically rich and shares substantial natural language vocabulary with ATT&amp;CK descriptions. In contrast, endpoint logs consist of structured, terse execution artifacts (</w:t>
      </w:r>
      <w:r>
        <w:rPr>
          <w:rFonts w:ascii="Consolas" w:hAnsi="Consolas"/>
          <w:color w:val="8A1F11"/>
          <w:sz w:val="19"/>
        </w:rPr>
        <w:t>CommandLine</w:t>
      </w:r>
      <w:r>
        <w:t xml:space="preserve">, </w:t>
      </w:r>
      <w:r>
        <w:rPr>
          <w:rFonts w:ascii="Consolas" w:hAnsi="Consolas"/>
          <w:color w:val="8A1F11"/>
          <w:sz w:val="19"/>
        </w:rPr>
        <w:t>ParentCommandLine</w:t>
      </w:r>
      <w:r>
        <w:t>, registry paths, hex codes). Findings from CTI-based RAG cannot be assumed to transfer directly to telemetry.</w:t>
      </w:r>
    </w:p>
    <w:p>
      <w:pPr>
        <w:spacing w:after="40" w:line="276" w:lineRule="auto"/>
        <w:ind w:left="432" w:hanging="288"/>
      </w:pPr>
      <w:r>
        <w:rPr>
          <w:rFonts w:ascii="Calibri" w:hAnsi="Calibri"/>
          <w:b/>
          <w:color w:val="24292F"/>
        </w:rPr>
        <w:t xml:space="preserve">2. </w:t>
      </w:r>
      <w:r>
        <w:rPr>
          <w:b/>
        </w:rPr>
        <w:t>Telemetry Attribution Approaches:</w:t>
      </w:r>
      <w:r>
        <w:t xml:space="preserve"> Trace2ATT&amp;CK [11] evaluates RAG for mapping kernel telemetry to ATT&amp;CK, but restricts its scope to Linux eBPF execution graphs across 347 Atomic Red Team tests, maintaining a fixed retriever depth (5 chunks) and evaluating local models. Adediran et al. [10] evaluate Gemini 2.5 Pro on AWS CloudTrail logs across 200 events, demonstrating that RAG improves cloud threat detection, but employs a two-step query expansion pipeline without isolating retrieval depth </w:t>
      </w:r>
      <w:r>
        <w:rPr>
          <w:rFonts w:ascii="Cambria Math" w:hAnsi="Cambria Math"/>
          <w:i/>
        </w:rPr>
        <w:t>k</w:t>
      </w:r>
      <w:r>
        <w:t>. CAM-LDS [8] evaluates zero-shot LLM log interpretation across multiple Linux and network sources, but deliberately excludes RAG, focusing instead on output candidate ranking.</w:t>
      </w:r>
    </w:p>
    <w:p>
      <w:pPr>
        <w:spacing w:after="40" w:line="276" w:lineRule="auto"/>
        <w:ind w:left="432" w:hanging="288"/>
      </w:pPr>
      <w:r>
        <w:rPr>
          <w:rFonts w:ascii="Calibri" w:hAnsi="Calibri"/>
          <w:b/>
          <w:color w:val="24292F"/>
        </w:rPr>
        <w:t xml:space="preserve">3. </w:t>
      </w:r>
      <w:r>
        <w:rPr>
          <w:b/>
        </w:rPr>
        <w:t>The Conflation of Output Cutoff and Retriever Depth:</w:t>
      </w:r>
      <w:r>
        <w:t xml:space="preserve"> Multiple prior works (CAM-LDS [8], LADE [12], Trace2ATT&amp;CK [11]) report metrics like Top-</w:t>
      </w:r>
      <w:r>
        <w:rPr>
          <w:rFonts w:ascii="Cambria Math" w:hAnsi="Cambria Math"/>
          <w:i/>
        </w:rPr>
        <w:t>k</w:t>
      </w:r>
      <w:r>
        <w:t xml:space="preserve"> Hit Rate, P@</w:t>
      </w:r>
      <w:r>
        <w:rPr>
          <w:rFonts w:ascii="Cambria Math" w:hAnsi="Cambria Math"/>
          <w:i/>
        </w:rPr>
        <w:t>k</w:t>
      </w:r>
      <w:r>
        <w:t>, or NDCG@</w:t>
      </w:r>
      <w:r>
        <w:rPr>
          <w:rFonts w:ascii="Cambria Math" w:hAnsi="Cambria Math"/>
          <w:i/>
        </w:rPr>
        <w:t>k</w:t>
      </w:r>
      <w:r>
        <w:t xml:space="preserve">. In CAM-LDS and LADE, </w:t>
      </w:r>
      <w:r>
        <w:rPr>
          <w:rFonts w:ascii="Cambria Math" w:hAnsi="Cambria Math"/>
          <w:i/>
        </w:rPr>
        <w:t>k</w:t>
      </w:r>
      <w:r>
        <w:t xml:space="preserve"> denotes the length of the model's </w:t>
      </w:r>
      <w:r>
        <w:rPr>
          <w:i/>
        </w:rPr>
        <w:t>emitted prediction list</w:t>
      </w:r>
      <w:r>
        <w:t xml:space="preserve"> under zero-shot prompting, not the depth of an external retrieval engine. Trace2ATT&amp;CK sets retriever depth to 5 and output cutoff to 5. RAG2ATTCK strictly decouples these concepts: the model is required to emit a single definitive prediction (</w:t>
      </w:r>
      <w:r>
        <w:rPr>
          <w:rFonts w:ascii="Consolas" w:hAnsi="Consolas"/>
          <w:color w:val="8A1F11"/>
          <w:sz w:val="19"/>
        </w:rPr>
        <w:t>{"technique_id": "..."}</w:t>
      </w:r>
      <w:r>
        <w:t xml:space="preserve">), while the retriever depth </w:t>
      </w:r>
      <w:r>
        <w:rPr>
          <w:rFonts w:ascii="Cambria Math" w:hAnsi="Cambria Math"/>
          <w:i/>
        </w:rPr>
        <w:t>k ∈ {1, 3, 5, 10}</w:t>
      </w:r>
      <w:r>
        <w:t xml:space="preserve"> is systematically ablated.</w:t>
      </w:r>
    </w:p>
    <w:p>
      <w:pPr>
        <w:spacing w:after="40" w:line="276" w:lineRule="auto"/>
        <w:ind w:left="432" w:hanging="288"/>
      </w:pPr>
      <w:r>
        <w:rPr>
          <w:rFonts w:ascii="Calibri" w:hAnsi="Calibri"/>
          <w:b/>
          <w:color w:val="24292F"/>
        </w:rPr>
        <w:t xml:space="preserve">4. </w:t>
      </w:r>
      <w:r>
        <w:rPr>
          <w:b/>
        </w:rPr>
        <w:t>Positioning RAG2ATTCK:</w:t>
      </w:r>
      <w:r>
        <w:t xml:space="preserve"> RAG2ATTCK bridges these disparate research lines. By evaluating Windows endpoint telemetry, enforcing exact technique/sub-technique attribution under a pinned 474-class enterprise matrix, matching No-RAG and RAG conditions symmetrically, systematically ablating retrieval depth, and explicitly decoupling retrieval misses from generation errors, RAG2ATTCK establishes a rigorous benchmark for knowledge-grounded security reasoning.</w:t>
      </w:r>
    </w:p>
    <w:p>
      <w:pPr>
        <w:spacing w:before="120" w:after="120"/>
        <w:pBdr>
          <w:bottom w:val="single" w:sz="6" w:space="1" w:color="D0D7DE"/>
        </w:pBdr>
      </w:pPr>
    </w:p>
    <w:p>
      <w:pPr>
        <w:pStyle w:val="Heading1"/>
        <w:spacing w:before="280" w:after="120"/>
      </w:pPr>
      <w:r>
        <w:rPr>
          <w:rFonts w:ascii="Georgia" w:hAnsi="Georgia"/>
          <w:b/>
          <w:color w:val="0A2540"/>
          <w:sz w:val="28"/>
        </w:rPr>
        <w:t>3. Threat Model, Benchmark Scope, and Telemetry Boundaries</w:t>
      </w:r>
    </w:p>
    <w:p>
      <w:pPr>
        <w:pStyle w:val="Heading2"/>
        <w:spacing w:before="200" w:after="80"/>
      </w:pPr>
      <w:r>
        <w:rPr>
          <w:rFonts w:ascii="Calibri" w:hAnsi="Calibri"/>
          <w:b/>
          <w:color w:val="1F2328"/>
          <w:sz w:val="24"/>
        </w:rPr>
        <w:t>3.1 MITRE ATT&amp;CK Enterprise Matrix v19.2</w:t>
      </w:r>
    </w:p>
    <w:p>
      <w:r>
        <w:t>All retrieval, ground truth, and evaluation components in RAG2ATTCK are cryptographically bound to the official MITRE ATT&amp;CK Enterprise Matrix release v19.2:</w:t>
      </w:r>
    </w:p>
    <w:p>
      <w:pPr>
        <w:pStyle w:val="ListBullet"/>
        <w:spacing w:after="40" w:line="276" w:lineRule="auto"/>
      </w:pPr>
      <w:r>
        <w:rPr>
          <w:b/>
        </w:rPr>
        <w:t>Raw STIX Source:</w:t>
      </w:r>
      <w:r>
        <w:t xml:space="preserve"> </w:t>
      </w:r>
      <w:r>
        <w:rPr>
          <w:rFonts w:ascii="Consolas" w:hAnsi="Consolas"/>
          <w:color w:val="8A1F11"/>
          <w:sz w:val="19"/>
        </w:rPr>
        <w:t>enterprise-attack-19.2.json</w:t>
      </w:r>
      <w:r>
        <w:t xml:space="preserve"> (File SHA-256: </w:t>
      </w:r>
      <w:r>
        <w:rPr>
          <w:rFonts w:ascii="Consolas" w:hAnsi="Consolas"/>
          <w:color w:val="8A1F11"/>
          <w:sz w:val="19"/>
        </w:rPr>
        <w:t>dc1639caa5501d720e280cf1cbd8fbe009884a0c9b3e6e9ed9d0c25166c3d8f4</w:t>
      </w:r>
      <w:r>
        <w:t>).</w:t>
      </w:r>
    </w:p>
    <w:p>
      <w:pPr>
        <w:pStyle w:val="ListBullet"/>
        <w:spacing w:after="40" w:line="276" w:lineRule="auto"/>
      </w:pPr>
      <w:r>
        <w:rPr>
          <w:b/>
        </w:rPr>
        <w:t>Corpus Census and Filtering:</w:t>
      </w:r>
      <w:r>
        <w:t xml:space="preserve"> The raw STIX v19.2 catalog contains exactly </w:t>
      </w:r>
      <w:r>
        <w:rPr>
          <w:b/>
        </w:rPr>
        <w:t>858</w:t>
      </w:r>
      <w:r>
        <w:t xml:space="preserve"> </w:t>
      </w:r>
      <w:r>
        <w:rPr>
          <w:rFonts w:ascii="Consolas" w:hAnsi="Consolas"/>
          <w:color w:val="8A1F11"/>
          <w:sz w:val="19"/>
        </w:rPr>
        <w:t>attack-pattern</w:t>
      </w:r>
      <w:r>
        <w:t xml:space="preserve"> objects. We identify </w:t>
      </w:r>
      <w:r>
        <w:rPr>
          <w:b/>
        </w:rPr>
        <w:t>161 unique inactive</w:t>
      </w:r>
      <w:r>
        <w:t xml:space="preserve"> technique objects, comprising </w:t>
      </w:r>
      <w:r>
        <w:rPr>
          <w:b/>
        </w:rPr>
        <w:t>149 revoked</w:t>
      </w:r>
      <w:r>
        <w:t xml:space="preserve"> (</w:t>
      </w:r>
      <w:r>
        <w:rPr>
          <w:rFonts w:ascii="Consolas" w:hAnsi="Consolas"/>
          <w:color w:val="8A1F11"/>
          <w:sz w:val="19"/>
        </w:rPr>
        <w:t>revoked: true</w:t>
      </w:r>
      <w:r>
        <w:t xml:space="preserve">) and </w:t>
      </w:r>
      <w:r>
        <w:rPr>
          <w:b/>
        </w:rPr>
        <w:t>12 deprecated</w:t>
      </w:r>
      <w:r>
        <w:t xml:space="preserve"> (</w:t>
      </w:r>
      <w:r>
        <w:rPr>
          <w:rFonts w:ascii="Consolas" w:hAnsi="Consolas"/>
          <w:color w:val="8A1F11"/>
          <w:sz w:val="19"/>
        </w:rPr>
        <w:t>x_mitre_deprecated: true</w:t>
      </w:r>
      <w:r>
        <w:t>) objects with zero overlap between sets (</w:t>
      </w:r>
      <w:r>
        <w:rPr>
          <w:rFonts w:ascii="Cambria Math" w:hAnsi="Cambria Math"/>
          <w:i/>
        </w:rPr>
        <w:t>149 + 12 = 161</w:t>
      </w:r>
      <w:r>
        <w:t xml:space="preserve">). Filtering inactive objects yields </w:t>
      </w:r>
      <w:r>
        <w:rPr>
          <w:b/>
        </w:rPr>
        <w:t>697 active enterprise techniques</w:t>
      </w:r>
      <w:r>
        <w:t>. Filtering for host Windows execution (</w:t>
      </w:r>
      <w:r>
        <w:rPr>
          <w:rFonts w:ascii="Consolas" w:hAnsi="Consolas"/>
          <w:color w:val="8A1F11"/>
          <w:sz w:val="19"/>
        </w:rPr>
        <w:t>"Windows" in x_mitre_platforms</w:t>
      </w:r>
      <w:r>
        <w:t xml:space="preserve">) yields an active Windows corpus of exactly </w:t>
      </w:r>
      <w:r>
        <w:rPr>
          <w:b/>
        </w:rPr>
        <w:t>474 techniques and sub-techniques</w:t>
      </w:r>
      <w:r>
        <w:t>:</w:t>
      </w:r>
    </w:p>
    <w:p>
      <w:pPr>
        <w:pStyle w:val="ListBullet"/>
        <w:spacing w:after="40" w:line="276" w:lineRule="auto"/>
      </w:pPr>
      <w:r>
        <w:rPr>
          <w:b/>
        </w:rPr>
        <w:t>176 Root Techniques</w:t>
      </w:r>
      <w:r>
        <w:t xml:space="preserve"> (37.1%)</w:t>
      </w:r>
    </w:p>
    <w:p>
      <w:pPr>
        <w:pStyle w:val="ListBullet"/>
        <w:spacing w:after="40" w:line="276" w:lineRule="auto"/>
      </w:pPr>
      <w:r>
        <w:rPr>
          <w:b/>
        </w:rPr>
        <w:t>298 Sub-techniques</w:t>
      </w:r>
      <w:r>
        <w:t xml:space="preserve"> (62.9%)</w:t>
      </w:r>
    </w:p>
    <w:p>
      <w:pPr>
        <w:pStyle w:val="ListBullet"/>
        <w:spacing w:after="40" w:line="276" w:lineRule="auto"/>
      </w:pPr>
      <w:r>
        <w:rPr>
          <w:b/>
        </w:rPr>
        <w:t>Taxonomic Integrity Invariants:</w:t>
      </w:r>
      <w:r>
        <w:t xml:space="preserve"> All 298 sub-techniques possess a valid parent technique inside the 474-technique corpus (0 orphan sub-techniques; 0 cross-platform dangling references). Every technique ID maps bijectively to a single STIX UUID.</w:t>
      </w:r>
    </w:p>
    <w:p>
      <w:pPr>
        <w:pStyle w:val="ListBullet"/>
        <w:spacing w:after="40" w:line="276" w:lineRule="auto"/>
      </w:pPr>
      <w:r>
        <w:rPr>
          <w:b/>
        </w:rPr>
        <w:t>Corpus Serialization:</w:t>
      </w:r>
      <w:r>
        <w:t xml:space="preserve"> Preserved in </w:t>
      </w:r>
      <w:r>
        <w:rPr>
          <w:rFonts w:ascii="Consolas" w:hAnsi="Consolas"/>
          <w:color w:val="8A1F11"/>
          <w:sz w:val="19"/>
        </w:rPr>
        <w:t>attack/corpus/enterprise-windows-v19.2.jsonl</w:t>
      </w:r>
      <w:r>
        <w:t xml:space="preserve"> (File SHA-256: </w:t>
      </w:r>
      <w:r>
        <w:rPr>
          <w:rFonts w:ascii="Consolas" w:hAnsi="Consolas"/>
          <w:color w:val="8A1F11"/>
          <w:sz w:val="19"/>
        </w:rPr>
        <w:t>b219341154ddf2f12e97d622158a04ab7d57641df6a865559258d365852c3c75</w:t>
      </w:r>
      <w:r>
        <w:t>).</w:t>
      </w:r>
    </w:p>
    <w:p>
      <w:pPr>
        <w:pStyle w:val="Heading2"/>
        <w:spacing w:before="200" w:after="80"/>
      </w:pPr>
      <w:r>
        <w:rPr>
          <w:rFonts w:ascii="Calibri" w:hAnsi="Calibri"/>
          <w:b/>
          <w:color w:val="1F2328"/>
          <w:sz w:val="24"/>
        </w:rPr>
        <w:t>3.2 Benchmark Scope</w:t>
      </w:r>
    </w:p>
    <w:p>
      <w:r>
        <w:t xml:space="preserve">The evaluation focuses on eight high-frequency Windows attack techniques representing core tactics across the cyber kill chain (Execution, Persistence, Privilege Escalation, Defense Evasion, and Command and Control), formally defined in </w:t>
      </w:r>
      <w:r>
        <w:rPr>
          <w:rFonts w:ascii="Consolas" w:hAnsi="Consolas"/>
          <w:color w:val="8A1F11"/>
          <w:sz w:val="19"/>
        </w:rPr>
        <w:t>config/benchmark_scope.json</w:t>
      </w:r>
      <w:r>
        <w:t xml:space="preserve"> (File SHA-256: </w:t>
      </w:r>
      <w:r>
        <w:rPr>
          <w:rFonts w:ascii="Consolas" w:hAnsi="Consolas"/>
          <w:color w:val="8A1F11"/>
          <w:sz w:val="19"/>
        </w:rPr>
        <w:t>d6aa89831dec75362b4fd48de0fd6e7082290f2be0cb7bd0afc6bc518148db8b</w:t>
      </w:r>
      <w:r>
        <w:t>):</w:t>
      </w:r>
    </w:p>
    <w:p>
      <w:pPr>
        <w:spacing w:after="40" w:line="276" w:lineRule="auto"/>
        <w:ind w:left="432" w:hanging="288"/>
      </w:pPr>
      <w:r>
        <w:rPr>
          <w:rFonts w:ascii="Calibri" w:hAnsi="Calibri"/>
          <w:b/>
          <w:color w:val="24292F"/>
        </w:rPr>
        <w:t xml:space="preserve">1. </w:t>
      </w:r>
      <w:r>
        <w:rPr>
          <w:rFonts w:ascii="Consolas" w:hAnsi="Consolas"/>
          <w:color w:val="8A1F11"/>
          <w:sz w:val="19"/>
        </w:rPr>
        <w:t>T1059.001</w:t>
      </w:r>
      <w:r>
        <w:t>: Command and Scripting Interpreter: PowerShell</w:t>
      </w:r>
    </w:p>
    <w:p>
      <w:pPr>
        <w:spacing w:after="40" w:line="276" w:lineRule="auto"/>
        <w:ind w:left="432" w:hanging="288"/>
      </w:pPr>
      <w:r>
        <w:rPr>
          <w:rFonts w:ascii="Calibri" w:hAnsi="Calibri"/>
          <w:b/>
          <w:color w:val="24292F"/>
        </w:rPr>
        <w:t xml:space="preserve">2. </w:t>
      </w:r>
      <w:r>
        <w:rPr>
          <w:rFonts w:ascii="Consolas" w:hAnsi="Consolas"/>
          <w:color w:val="8A1F11"/>
          <w:sz w:val="19"/>
        </w:rPr>
        <w:t>T1059.003</w:t>
      </w:r>
      <w:r>
        <w:t>: Command and Scripting Interpreter: Windows Command Shell</w:t>
      </w:r>
    </w:p>
    <w:p>
      <w:pPr>
        <w:spacing w:after="40" w:line="276" w:lineRule="auto"/>
        <w:ind w:left="432" w:hanging="288"/>
      </w:pPr>
      <w:r>
        <w:rPr>
          <w:rFonts w:ascii="Calibri" w:hAnsi="Calibri"/>
          <w:b/>
          <w:color w:val="24292F"/>
        </w:rPr>
        <w:t xml:space="preserve">3. </w:t>
      </w:r>
      <w:r>
        <w:rPr>
          <w:rFonts w:ascii="Consolas" w:hAnsi="Consolas"/>
          <w:color w:val="8A1F11"/>
          <w:sz w:val="19"/>
        </w:rPr>
        <w:t>T1053.005</w:t>
      </w:r>
      <w:r>
        <w:t>: Scheduled Task/Job: Scheduled Task</w:t>
      </w:r>
    </w:p>
    <w:p>
      <w:pPr>
        <w:spacing w:after="40" w:line="276" w:lineRule="auto"/>
        <w:ind w:left="432" w:hanging="288"/>
      </w:pPr>
      <w:r>
        <w:rPr>
          <w:rFonts w:ascii="Calibri" w:hAnsi="Calibri"/>
          <w:b/>
          <w:color w:val="24292F"/>
        </w:rPr>
        <w:t xml:space="preserve">4. </w:t>
      </w:r>
      <w:r>
        <w:rPr>
          <w:rFonts w:ascii="Consolas" w:hAnsi="Consolas"/>
          <w:color w:val="8A1F11"/>
          <w:sz w:val="19"/>
        </w:rPr>
        <w:t>T1543.003</w:t>
      </w:r>
      <w:r>
        <w:t>: Create or Modify System Process: Windows Service</w:t>
      </w:r>
    </w:p>
    <w:p>
      <w:pPr>
        <w:spacing w:after="40" w:line="276" w:lineRule="auto"/>
        <w:ind w:left="432" w:hanging="288"/>
      </w:pPr>
      <w:r>
        <w:rPr>
          <w:rFonts w:ascii="Calibri" w:hAnsi="Calibri"/>
          <w:b/>
          <w:color w:val="24292F"/>
        </w:rPr>
        <w:t xml:space="preserve">5. </w:t>
      </w:r>
      <w:r>
        <w:rPr>
          <w:rFonts w:ascii="Consolas" w:hAnsi="Consolas"/>
          <w:color w:val="8A1F11"/>
          <w:sz w:val="19"/>
        </w:rPr>
        <w:t>T1136.001</w:t>
      </w:r>
      <w:r>
        <w:t>: Create Account: Local Account</w:t>
      </w:r>
    </w:p>
    <w:p>
      <w:pPr>
        <w:spacing w:after="40" w:line="276" w:lineRule="auto"/>
        <w:ind w:left="432" w:hanging="288"/>
      </w:pPr>
      <w:r>
        <w:rPr>
          <w:rFonts w:ascii="Calibri" w:hAnsi="Calibri"/>
          <w:b/>
          <w:color w:val="24292F"/>
        </w:rPr>
        <w:t xml:space="preserve">6. </w:t>
      </w:r>
      <w:r>
        <w:rPr>
          <w:rFonts w:ascii="Consolas" w:hAnsi="Consolas"/>
          <w:color w:val="8A1F11"/>
          <w:sz w:val="19"/>
        </w:rPr>
        <w:t>T1547.001</w:t>
      </w:r>
      <w:r>
        <w:t>: Boot or Logon Autostart Execution: Registry Run Keys / Startup Folder</w:t>
      </w:r>
    </w:p>
    <w:p>
      <w:pPr>
        <w:spacing w:after="40" w:line="276" w:lineRule="auto"/>
        <w:ind w:left="432" w:hanging="288"/>
      </w:pPr>
      <w:r>
        <w:rPr>
          <w:rFonts w:ascii="Calibri" w:hAnsi="Calibri"/>
          <w:b/>
          <w:color w:val="24292F"/>
        </w:rPr>
        <w:t xml:space="preserve">7. </w:t>
      </w:r>
      <w:r>
        <w:rPr>
          <w:rFonts w:ascii="Consolas" w:hAnsi="Consolas"/>
          <w:color w:val="8A1F11"/>
          <w:sz w:val="19"/>
        </w:rPr>
        <w:t>T1685.005</w:t>
      </w:r>
      <w:r>
        <w:t>: Impair Defenses: Clear Windows Event Logs</w:t>
      </w:r>
    </w:p>
    <w:p>
      <w:pPr>
        <w:spacing w:after="40" w:line="276" w:lineRule="auto"/>
        <w:ind w:left="432" w:hanging="288"/>
      </w:pPr>
      <w:r>
        <w:rPr>
          <w:rFonts w:ascii="Calibri" w:hAnsi="Calibri"/>
          <w:b/>
          <w:color w:val="24292F"/>
        </w:rPr>
        <w:t xml:space="preserve">8. </w:t>
      </w:r>
      <w:r>
        <w:rPr>
          <w:rFonts w:ascii="Consolas" w:hAnsi="Consolas"/>
          <w:color w:val="8A1F11"/>
          <w:sz w:val="19"/>
        </w:rPr>
        <w:t>T1105</w:t>
      </w:r>
      <w:r>
        <w:t>: Ingress Tool Transfer</w:t>
      </w:r>
    </w:p>
    <w:p>
      <w:r>
        <w:t>All eight benchmark techniques are verified present within the 474-technique retrieval corpus with complete taxonomic hierarchies.</w:t>
      </w:r>
    </w:p>
    <w:p>
      <w:pPr>
        <w:pStyle w:val="Heading2"/>
        <w:spacing w:before="200" w:after="80"/>
      </w:pPr>
      <w:r>
        <w:rPr>
          <w:rFonts w:ascii="Calibri" w:hAnsi="Calibri"/>
          <w:b/>
          <w:color w:val="1F2328"/>
          <w:sz w:val="24"/>
        </w:rPr>
        <w:t>3.3 The Synthetic Paired Benchmark (`synthetic-paired-v1`)</w:t>
      </w:r>
    </w:p>
    <w:p>
      <w:r>
        <w:t xml:space="preserve">The evaluation benchmark comprises </w:t>
      </w:r>
      <w:r>
        <w:rPr>
          <w:b/>
        </w:rPr>
        <w:t>670 scenario pairs</w:t>
      </w:r>
      <w:r>
        <w:t xml:space="preserve"> generating </w:t>
      </w:r>
      <w:r>
        <w:rPr>
          <w:b/>
        </w:rPr>
        <w:t>1,340 evaluation views</w:t>
      </w:r>
      <w:r>
        <w:t xml:space="preserve"> across 1,434 unique events:</w:t>
      </w:r>
    </w:p>
    <w:p>
      <w:pPr>
        <w:pStyle w:val="ListBullet"/>
        <w:spacing w:after="40" w:line="276" w:lineRule="auto"/>
      </w:pPr>
      <w:r>
        <w:rPr>
          <w:b/>
        </w:rPr>
        <w:t>TEST Split:</w:t>
      </w:r>
      <w:r>
        <w:t xml:space="preserve"> 640 scenario pairs (</w:t>
      </w:r>
      <w:r>
        <w:rPr>
          <w:b/>
        </w:rPr>
        <w:t>1,280 views</w:t>
      </w:r>
      <w:r>
        <w:t>), partitioned into 640 single-event views and 640 contextual-event views across 52 template families.</w:t>
      </w:r>
    </w:p>
    <w:p>
      <w:pPr>
        <w:pStyle w:val="ListBullet"/>
        <w:spacing w:after="40" w:line="276" w:lineRule="auto"/>
      </w:pPr>
      <w:r>
        <w:rPr>
          <w:b/>
        </w:rPr>
        <w:t>DEV Split:</w:t>
      </w:r>
      <w:r>
        <w:t xml:space="preserve"> 30 scenario pairs (</w:t>
      </w:r>
      <w:r>
        <w:rPr>
          <w:b/>
        </w:rPr>
        <w:t>60 views</w:t>
      </w:r>
      <w:r>
        <w:t>), partitioned into 30 single-event views and 30 contextual-event views across 12 template families.</w:t>
      </w:r>
    </w:p>
    <w:p>
      <w:pPr>
        <w:pStyle w:val="ListBullet"/>
        <w:spacing w:after="40" w:line="276" w:lineRule="auto"/>
      </w:pPr>
      <w:r>
        <w:rPr>
          <w:b/>
        </w:rPr>
        <w:t>Zero Family Overlap:</w:t>
      </w:r>
      <w:r>
        <w:t xml:space="preserve"> Template families are strictly partitioned between DEV and TEST (</w:t>
      </w:r>
      <w:r>
        <w:rPr>
          <w:rFonts w:ascii="Cambria Math" w:hAnsi="Cambria Math"/>
          <w:i/>
        </w:rPr>
        <w:t>Family_TEST ∩ Family_DEV = ∅</w:t>
      </w:r>
      <w:r>
        <w:t>).</w:t>
      </w:r>
    </w:p>
    <w:p>
      <w:pPr>
        <w:pStyle w:val="ListBullet"/>
        <w:spacing w:after="40" w:line="276" w:lineRule="auto"/>
      </w:pPr>
      <w:r>
        <w:rPr>
          <w:b/>
        </w:rPr>
        <w:t>View Pairing Architecture:</w:t>
      </w:r>
      <w:r>
        <w:t xml:space="preserve"> For every scenario pair, the </w:t>
      </w:r>
      <w:r>
        <w:rPr>
          <w:i/>
        </w:rPr>
        <w:t>single-event view</w:t>
      </w:r>
      <w:r>
        <w:t xml:space="preserve"> presents the isolated anchor observable (e.g., process execution or service install). The </w:t>
      </w:r>
      <w:r>
        <w:rPr>
          <w:i/>
        </w:rPr>
        <w:t>contextual-event view</w:t>
      </w:r>
      <w:r>
        <w:t xml:space="preserve"> presents the identical anchor observable embedded within a sequence of 2–3 related events (e.g., parent process spawning, auxiliary file creation, or subsequent network traffic).</w:t>
      </w:r>
    </w:p>
    <w:p>
      <w:pPr>
        <w:pStyle w:val="ListBullet"/>
        <w:spacing w:after="40" w:line="276" w:lineRule="auto"/>
      </w:pPr>
      <w:r>
        <w:rPr>
          <w:b/>
        </w:rPr>
        <w:t>Authoritative Join Over TEST Cohort (1,280 Views):</w:t>
      </w:r>
    </w:p>
    <w:p>
      <w:r>
        <w:t>An authoritative join of test view identifiers (</w:t>
      </w:r>
      <w:r>
        <w:rPr>
          <w:rFonts w:ascii="Consolas" w:hAnsi="Consolas"/>
          <w:color w:val="8A1F11"/>
          <w:sz w:val="19"/>
        </w:rPr>
        <w:t>split_manifest.json</w:t>
      </w:r>
      <w:r>
        <w:t xml:space="preserve"> </w:t>
      </w:r>
      <w:r>
        <w:rPr>
          <w:rFonts w:ascii="Cambria Math" w:hAnsi="Cambria Math"/>
          <w:i/>
        </w:rPr>
        <w:t>→</w:t>
      </w:r>
      <w:r>
        <w:t xml:space="preserve"> </w:t>
      </w:r>
      <w:r>
        <w:rPr>
          <w:rFonts w:ascii="Consolas" w:hAnsi="Consolas"/>
          <w:color w:val="8A1F11"/>
          <w:sz w:val="19"/>
        </w:rPr>
        <w:t>views.jsonl</w:t>
      </w:r>
      <w:r>
        <w:t>) against the ground-truth records (</w:t>
      </w:r>
      <w:r>
        <w:rPr>
          <w:rFonts w:ascii="Consolas" w:hAnsi="Consolas"/>
          <w:color w:val="8A1F11"/>
          <w:sz w:val="19"/>
        </w:rPr>
        <w:t>ground_truth.jsonl</w:t>
      </w:r>
      <w:r>
        <w:t>) establishes the exact scorable cohorts across the 640 scenario pairs:</w:t>
      </w:r>
    </w:p>
    <w:p>
      <w:pPr>
        <w:pStyle w:val="ListBullet"/>
        <w:spacing w:after="40" w:line="276" w:lineRule="auto"/>
      </w:pPr>
      <w:r>
        <w:rPr>
          <w:b/>
        </w:rPr>
        <w:t>718 Mapped Positive Views:</w:t>
      </w:r>
      <w:r>
        <w:t xml:space="preserve"> Scorable views with definitive technique assignments (comprising 678 single-GT views and 40 multi-GT views). Stratified by representation: </w:t>
      </w:r>
      <w:r>
        <w:rPr>
          <w:b/>
        </w:rPr>
        <w:t>278 Single-Event Views</w:t>
      </w:r>
      <w:r>
        <w:t xml:space="preserve"> and </w:t>
      </w:r>
      <w:r>
        <w:rPr>
          <w:b/>
        </w:rPr>
        <w:t>440 Contextual-Event Views</w:t>
      </w:r>
      <w:r>
        <w:t xml:space="preserve"> (</w:t>
      </w:r>
      <w:r>
        <w:rPr>
          <w:rFonts w:ascii="Cambria Math" w:hAnsi="Cambria Math"/>
          <w:i/>
        </w:rPr>
        <w:t>278 + 440 = 718</w:t>
      </w:r>
      <w:r>
        <w:t>).</w:t>
      </w:r>
    </w:p>
    <w:p>
      <w:pPr>
        <w:pStyle w:val="ListBullet"/>
        <w:spacing w:after="40" w:line="276" w:lineRule="auto"/>
      </w:pPr>
      <w:r>
        <w:rPr>
          <w:b/>
        </w:rPr>
        <w:t>Complete Scorable Pairs Census:</w:t>
      </w:r>
      <w:r>
        <w:t xml:space="preserve"> Across the 640 TEST scenario pairs, exactly </w:t>
      </w:r>
      <w:r>
        <w:rPr>
          <w:b/>
        </w:rPr>
        <w:t>278 complete scorable pairs</w:t>
      </w:r>
      <w:r>
        <w:t xml:space="preserve"> possess valid ground-truth mapping on </w:t>
      </w:r>
      <w:r>
        <w:rPr>
          <w:i/>
        </w:rPr>
        <w:t>both</w:t>
      </w:r>
      <w:r>
        <w:t xml:space="preserve"> single and contextual views (</w:t>
      </w:r>
      <w:r>
        <w:rPr>
          <w:rFonts w:ascii="Cambria Math" w:hAnsi="Cambria Math"/>
          <w:i/>
        </w:rPr>
        <w:t>278 × 2 = 556</w:t>
      </w:r>
      <w:r>
        <w:t xml:space="preserve"> views); exactly </w:t>
      </w:r>
      <w:r>
        <w:rPr>
          <w:b/>
        </w:rPr>
        <w:t>162 pairs</w:t>
      </w:r>
      <w:r>
        <w:t xml:space="preserve"> possess valid ground truth on </w:t>
      </w:r>
      <w:r>
        <w:rPr>
          <w:i/>
        </w:rPr>
        <w:t>only</w:t>
      </w:r>
      <w:r>
        <w:t xml:space="preserve"> the contextual view (</w:t>
      </w:r>
      <w:r>
        <w:rPr>
          <w:rFonts w:ascii="Cambria Math" w:hAnsi="Cambria Math"/>
          <w:i/>
        </w:rPr>
        <w:t>162 × 1 = 162</w:t>
      </w:r>
      <w:r>
        <w:t xml:space="preserve"> views; single view unmapped/ambiguous); and exactly </w:t>
      </w:r>
      <w:r>
        <w:rPr>
          <w:b/>
        </w:rPr>
        <w:t>200 pairs</w:t>
      </w:r>
      <w:r>
        <w:t xml:space="preserve"> possess valid ground truth on </w:t>
      </w:r>
      <w:r>
        <w:rPr>
          <w:i/>
        </w:rPr>
        <w:t>neither</w:t>
      </w:r>
      <w:r>
        <w:t xml:space="preserve"> view (</w:t>
      </w:r>
      <w:r>
        <w:rPr>
          <w:rFonts w:ascii="Cambria Math" w:hAnsi="Cambria Math"/>
          <w:i/>
        </w:rPr>
        <w:t>200 × 2 = 400</w:t>
      </w:r>
      <w:r>
        <w:t xml:space="preserve"> views). Together, </w:t>
      </w:r>
      <w:r>
        <w:rPr>
          <w:rFonts w:ascii="Cambria Math" w:hAnsi="Cambria Math"/>
          <w:i/>
        </w:rPr>
        <w:t>556 + 162 = 718</w:t>
      </w:r>
      <w:r>
        <w:t xml:space="preserve"> mapped positive views.</w:t>
      </w:r>
    </w:p>
    <w:p>
      <w:pPr>
        <w:pStyle w:val="ListBullet"/>
        <w:spacing w:after="40" w:line="276" w:lineRule="auto"/>
      </w:pPr>
      <w:r>
        <w:rPr>
          <w:b/>
        </w:rPr>
        <w:t>311 Ambiguous Views:</w:t>
      </w:r>
      <w:r>
        <w:t xml:space="preserve"> Evaluated as ambiguous (comprising 261 single-event views and 50 contextual-event views). Excluded from primary headline accuracy per Protocol Decision D2c.</w:t>
      </w:r>
    </w:p>
    <w:p>
      <w:pPr>
        <w:pStyle w:val="ListBullet"/>
        <w:spacing w:after="40" w:line="276" w:lineRule="auto"/>
      </w:pPr>
      <w:r>
        <w:rPr>
          <w:b/>
        </w:rPr>
        <w:t>251 Unmapped Views:</w:t>
      </w:r>
      <w:r>
        <w:t xml:space="preserve"> Evaluated as negative/benign activity without ATT&amp;CK mapping (comprising 101 single-event views and 150 contextual-event views). Excluded from primary headline accuracy per Protocol Decision D2b.</w:t>
      </w:r>
    </w:p>
    <w:p>
      <w:pPr>
        <w:pStyle w:val="Heading2"/>
        <w:spacing w:before="200" w:after="80"/>
      </w:pPr>
      <w:r>
        <w:rPr>
          <w:rFonts w:ascii="Calibri" w:hAnsi="Calibri"/>
          <w:b/>
          <w:color w:val="1F2328"/>
          <w:sz w:val="24"/>
        </w:rPr>
        <w:t>3.4 CRITICAL CLAIM SCOPE: Synthetic Boundary and Real Telemetry Blocker</w:t>
      </w:r>
    </w:p>
    <w:p>
      <w:r>
        <w:t>To uphold strict scientific integrity, we explicitly declare the empirical boundaries of this study:</w:t>
      </w:r>
    </w:p>
    <w:p>
      <w:pPr>
        <w:spacing w:before="80" w:after="120"/>
        <w:ind w:left="432" w:right="288"/>
        <w:pBdr>
          <w:left w:val="single" w:sz="24" w:space="8" w:color="0969DA"/>
        </w:pBdr>
        <w:shd w:fill="F6F8FA"/>
      </w:pPr>
      <w:r>
        <w:rPr>
          <w:b/>
        </w:rPr>
        <w:t>CRITICAL CLAIM SCOPE:</w:t>
      </w:r>
      <w:r>
        <w:t xml:space="preserve"> All experimental evaluations, diagnostic analyses, and performance claims in this study are strictly bounded to the </w:t>
      </w:r>
      <w:r>
        <w:rPr>
          <w:rFonts w:ascii="Consolas" w:hAnsi="Consolas"/>
          <w:color w:val="8A1F11"/>
          <w:sz w:val="19"/>
        </w:rPr>
        <w:t>synthetic-paired-v1</w:t>
      </w:r>
      <w:r>
        <w:t xml:space="preserve"> benchmark. This dataset consists of synthetic and template-derived Windows endpoint logs. </w:t>
      </w:r>
      <w:r>
        <w:rPr>
          <w:b/>
        </w:rPr>
        <w:t>Under no circumstances should these results be interpreted as demonstrating real-world operational generalization or efficacy on production enterprise telemetry.</w:t>
      </w:r>
    </w:p>
    <w:p>
      <w:pPr>
        <w:pStyle w:val="Heading3"/>
        <w:spacing w:before="160" w:after="40"/>
      </w:pPr>
      <w:r>
        <w:rPr>
          <w:rFonts w:ascii="Calibri" w:hAnsi="Calibri"/>
          <w:b/>
          <w:i/>
          <w:color w:val="333344"/>
          <w:sz w:val="22"/>
        </w:rPr>
        <w:t>Forensic Ground-Truth Provenance and Blocker</w:t>
      </w:r>
    </w:p>
    <w:p>
      <w:r>
        <w:t>This scope boundary is directly necessitated by empirical findings from earlier audit phases of the RAG2ATTCK project. The research plan initially contemplated evaluating real Windows-APT enterprise telemetry from public intrusion datasets (specifically, the Mendeley v3 dataset associated with Mozaffari et al., 2026 [13]). However, an audit of the raw data files (</w:t>
      </w:r>
      <w:r>
        <w:rPr>
          <w:rFonts w:ascii="Consolas" w:hAnsi="Consolas"/>
          <w:color w:val="8A1F11"/>
          <w:sz w:val="19"/>
        </w:rPr>
        <w:t>reports/final_repair_validation.md</w:t>
      </w:r>
      <w:r>
        <w:t>) identified 15,713 unresolved cell discrepancies between individual scenario CSVs and the combined dataset:</w:t>
      </w:r>
    </w:p>
    <w:p>
      <w:pPr>
        <w:spacing w:after="40" w:line="276" w:lineRule="auto"/>
        <w:ind w:left="432" w:hanging="288"/>
      </w:pPr>
      <w:r>
        <w:rPr>
          <w:rFonts w:ascii="Calibri" w:hAnsi="Calibri"/>
          <w:b/>
          <w:color w:val="24292F"/>
        </w:rPr>
        <w:t xml:space="preserve">1. </w:t>
      </w:r>
      <w:r>
        <w:rPr>
          <w:b/>
        </w:rPr>
        <w:t>Numeric Precision Truncation:</w:t>
      </w:r>
      <w:r>
        <w:t xml:space="preserve"> 14,930 cells in </w:t>
      </w:r>
      <w:r>
        <w:rPr>
          <w:rFonts w:ascii="Consolas" w:hAnsi="Consolas"/>
          <w:color w:val="8A1F11"/>
          <w:sz w:val="19"/>
        </w:rPr>
        <w:t>_source.id</w:t>
      </w:r>
      <w:r>
        <w:t xml:space="preserve"> and 509 cells in binary event data suffered numeric precision loss during CSV export and reconciliation.</w:t>
      </w:r>
    </w:p>
    <w:p>
      <w:pPr>
        <w:spacing w:after="40" w:line="276" w:lineRule="auto"/>
        <w:ind w:left="432" w:hanging="288"/>
      </w:pPr>
      <w:r>
        <w:rPr>
          <w:rFonts w:ascii="Calibri" w:hAnsi="Calibri"/>
          <w:b/>
          <w:color w:val="24292F"/>
        </w:rPr>
        <w:t xml:space="preserve">2. </w:t>
      </w:r>
      <w:r>
        <w:rPr>
          <w:b/>
        </w:rPr>
        <w:t>Formula Strings:</w:t>
      </w:r>
      <w:r>
        <w:t xml:space="preserve"> Formula strings (such as </w:t>
      </w:r>
      <w:r>
        <w:rPr>
          <w:rFonts w:ascii="Consolas" w:hAnsi="Consolas"/>
          <w:color w:val="8A1F11"/>
          <w:sz w:val="19"/>
        </w:rPr>
        <w:t>#NAME?</w:t>
      </w:r>
      <w:r>
        <w:t xml:space="preserve"> in </w:t>
      </w:r>
      <w:r>
        <w:rPr>
          <w:rFonts w:ascii="Consolas" w:hAnsi="Consolas"/>
          <w:color w:val="8A1F11"/>
          <w:sz w:val="19"/>
        </w:rPr>
        <w:t>param3</w:t>
      </w:r>
      <w:r>
        <w:t>) replaced expected command-line argument tokens.</w:t>
      </w:r>
    </w:p>
    <w:p>
      <w:pPr>
        <w:spacing w:after="40" w:line="276" w:lineRule="auto"/>
        <w:ind w:left="432" w:hanging="288"/>
      </w:pPr>
      <w:r>
        <w:rPr>
          <w:rFonts w:ascii="Calibri" w:hAnsi="Calibri"/>
          <w:b/>
          <w:color w:val="24292F"/>
        </w:rPr>
        <w:t xml:space="preserve">3. </w:t>
      </w:r>
      <w:r>
        <w:rPr>
          <w:b/>
        </w:rPr>
        <w:t>Timestamp Inconsistencies:</w:t>
      </w:r>
      <w:r>
        <w:t xml:space="preserve"> Correlated event sequences exhibited divergent timestamps across recording streams.</w:t>
      </w:r>
    </w:p>
    <w:p>
      <w:r>
        <w:t>Under the project's frozen methodology, these unresolved reconciliation discrepancies prevented independent verification of authoritative ground truth for the historical dataset, resulting in a formal stop at Task 2 (</w:t>
      </w:r>
      <w:r>
        <w:rPr>
          <w:b/>
        </w:rPr>
        <w:t>RECONCILIATION_DIVERGENT</w:t>
      </w:r>
      <w:r>
        <w:t xml:space="preserve">). Consequently, RAG2ATTCK rejected the unverified data and engineered the fully controlled, byte-audited </w:t>
      </w:r>
      <w:r>
        <w:rPr>
          <w:rFonts w:ascii="Consolas" w:hAnsi="Consolas"/>
          <w:color w:val="8A1F11"/>
          <w:sz w:val="19"/>
        </w:rPr>
        <w:t>synthetic-paired-v1</w:t>
      </w:r>
      <w:r>
        <w:t xml:space="preserve"> benchmark. Real telemetry evaluation remains an open challenge requiring independently verified, uncorrupted ground truth.</w:t>
      </w:r>
    </w:p>
    <w:p>
      <w:pPr>
        <w:pStyle w:val="Heading2"/>
        <w:spacing w:before="200" w:after="80"/>
      </w:pPr>
      <w:r>
        <w:rPr>
          <w:rFonts w:ascii="Calibri" w:hAnsi="Calibri"/>
          <w:b/>
          <w:color w:val="1F2328"/>
          <w:sz w:val="24"/>
        </w:rPr>
        <w:t>3.5 Field Whitelisting and Leakage Exclusion Controls</w:t>
      </w:r>
    </w:p>
    <w:p>
      <w:r>
        <w:t>To prevent trivial metadata shortcuts and ensure the model performs behavioral reasoning, all inference payloads are processed through a strict field whitelist:</w:t>
      </w:r>
    </w:p>
    <w:p>
      <w:pPr>
        <w:pStyle w:val="ListBullet"/>
        <w:spacing w:after="40" w:line="276" w:lineRule="auto"/>
      </w:pPr>
      <w:r>
        <w:rPr>
          <w:b/>
        </w:rPr>
        <w:t>Allowed Telemetry Fields:</w:t>
      </w:r>
      <w:r>
        <w:t xml:space="preserve"> Sanitized behavioral keys: </w:t>
      </w:r>
      <w:r>
        <w:rPr>
          <w:rFonts w:ascii="Consolas" w:hAnsi="Consolas"/>
          <w:color w:val="8A1F11"/>
          <w:sz w:val="19"/>
        </w:rPr>
        <w:t>EventID</w:t>
      </w:r>
      <w:r>
        <w:t xml:space="preserve">, </w:t>
      </w:r>
      <w:r>
        <w:rPr>
          <w:rFonts w:ascii="Consolas" w:hAnsi="Consolas"/>
          <w:color w:val="8A1F11"/>
          <w:sz w:val="19"/>
        </w:rPr>
        <w:t>CommandLine</w:t>
      </w:r>
      <w:r>
        <w:t xml:space="preserve">, </w:t>
      </w:r>
      <w:r>
        <w:rPr>
          <w:rFonts w:ascii="Consolas" w:hAnsi="Consolas"/>
          <w:color w:val="8A1F11"/>
          <w:sz w:val="19"/>
        </w:rPr>
        <w:t>Image</w:t>
      </w:r>
      <w:r>
        <w:t xml:space="preserve">, </w:t>
      </w:r>
      <w:r>
        <w:rPr>
          <w:rFonts w:ascii="Consolas" w:hAnsi="Consolas"/>
          <w:color w:val="8A1F11"/>
          <w:sz w:val="19"/>
        </w:rPr>
        <w:t>ParentCommandLine</w:t>
      </w:r>
      <w:r>
        <w:t xml:space="preserve">, </w:t>
      </w:r>
      <w:r>
        <w:rPr>
          <w:rFonts w:ascii="Consolas" w:hAnsi="Consolas"/>
          <w:color w:val="8A1F11"/>
          <w:sz w:val="19"/>
        </w:rPr>
        <w:t>ParentImage</w:t>
      </w:r>
      <w:r>
        <w:t xml:space="preserve">, </w:t>
      </w:r>
      <w:r>
        <w:rPr>
          <w:rFonts w:ascii="Consolas" w:hAnsi="Consolas"/>
          <w:color w:val="8A1F11"/>
          <w:sz w:val="19"/>
        </w:rPr>
        <w:t>ServiceName</w:t>
      </w:r>
      <w:r>
        <w:t xml:space="preserve">, </w:t>
      </w:r>
      <w:r>
        <w:rPr>
          <w:rFonts w:ascii="Consolas" w:hAnsi="Consolas"/>
          <w:color w:val="8A1F11"/>
          <w:sz w:val="19"/>
        </w:rPr>
        <w:t>ServiceFileName</w:t>
      </w:r>
      <w:r>
        <w:t xml:space="preserve">, </w:t>
      </w:r>
      <w:r>
        <w:rPr>
          <w:rFonts w:ascii="Consolas" w:hAnsi="Consolas"/>
          <w:color w:val="8A1F11"/>
          <w:sz w:val="19"/>
        </w:rPr>
        <w:t>TargetObject</w:t>
      </w:r>
      <w:r>
        <w:t xml:space="preserve">, </w:t>
      </w:r>
      <w:r>
        <w:rPr>
          <w:rFonts w:ascii="Consolas" w:hAnsi="Consolas"/>
          <w:color w:val="8A1F11"/>
          <w:sz w:val="19"/>
        </w:rPr>
        <w:t>Details</w:t>
      </w:r>
      <w:r>
        <w:t xml:space="preserve">, </w:t>
      </w:r>
      <w:r>
        <w:rPr>
          <w:rFonts w:ascii="Consolas" w:hAnsi="Consolas"/>
          <w:color w:val="8A1F11"/>
          <w:sz w:val="19"/>
        </w:rPr>
        <w:t>Computer</w:t>
      </w:r>
      <w:r>
        <w:t xml:space="preserve">, </w:t>
      </w:r>
      <w:r>
        <w:rPr>
          <w:rFonts w:ascii="Consolas" w:hAnsi="Consolas"/>
          <w:color w:val="8A1F11"/>
          <w:sz w:val="19"/>
        </w:rPr>
        <w:t>User</w:t>
      </w:r>
      <w:r>
        <w:t>.</w:t>
      </w:r>
    </w:p>
    <w:p>
      <w:pPr>
        <w:pStyle w:val="ListBullet"/>
        <w:spacing w:after="40" w:line="276" w:lineRule="auto"/>
      </w:pPr>
      <w:r>
        <w:rPr>
          <w:b/>
        </w:rPr>
        <w:t>Prohibited Metadata Purged:</w:t>
      </w:r>
      <w:r>
        <w:t xml:space="preserve"> All detector titles (e.g., Wazuh rule names like </w:t>
      </w:r>
      <w:r>
        <w:rPr>
          <w:i/>
        </w:rPr>
        <w:t>"Mimikatz LSASS Dump Detected"</w:t>
      </w:r>
      <w:r>
        <w:t xml:space="preserve">), </w:t>
      </w:r>
      <w:r>
        <w:rPr>
          <w:rFonts w:ascii="Consolas" w:hAnsi="Consolas"/>
          <w:color w:val="8A1F11"/>
          <w:sz w:val="19"/>
        </w:rPr>
        <w:t>rule.mitre.*</w:t>
      </w:r>
      <w:r>
        <w:t xml:space="preserve"> mappings, ground-truth labels, scenario names, step identifiers, and synthetic artifact markers are excluded.</w:t>
      </w:r>
    </w:p>
    <w:p>
      <w:pPr>
        <w:pStyle w:val="ListBullet"/>
        <w:spacing w:after="40" w:line="276" w:lineRule="auto"/>
      </w:pPr>
      <w:r>
        <w:rPr>
          <w:b/>
        </w:rPr>
        <w:t>Audit-Enforced Scrubbing:</w:t>
      </w:r>
      <w:r>
        <w:t xml:space="preserve"> Independent audits identified that earlier synthetic iterations contained synthetic company names (</w:t>
      </w:r>
      <w:r>
        <w:rPr>
          <w:rFonts w:ascii="Consolas" w:hAnsi="Consolas"/>
          <w:color w:val="8A1F11"/>
          <w:sz w:val="19"/>
        </w:rPr>
        <w:t>Contoso</w:t>
      </w:r>
      <w:r>
        <w:t>) predominantly in unmapped views; these shortcuts were scrubbed, ensuring uniform lexical distributions across mapped and unmapped classes.</w:t>
      </w:r>
    </w:p>
    <w:p>
      <w:pPr>
        <w:spacing w:before="120" w:after="120"/>
        <w:pBdr>
          <w:bottom w:val="single" w:sz="6" w:space="1" w:color="D0D7DE"/>
        </w:pBdr>
      </w:pPr>
    </w:p>
    <w:p>
      <w:pPr>
        <w:pStyle w:val="Heading1"/>
        <w:spacing w:before="280" w:after="120"/>
      </w:pPr>
      <w:r>
        <w:rPr>
          <w:rFonts w:ascii="Georgia" w:hAnsi="Georgia"/>
          <w:b/>
          <w:color w:val="0A2540"/>
          <w:sz w:val="28"/>
        </w:rPr>
        <w:t>4. Experimental Methodology</w:t>
      </w:r>
    </w:p>
    <w:p>
      <w:pPr>
        <w:pStyle w:val="Heading2"/>
        <w:spacing w:before="200" w:after="80"/>
      </w:pPr>
      <w:r>
        <w:rPr>
          <w:rFonts w:ascii="Calibri" w:hAnsi="Calibri"/>
          <w:b/>
          <w:color w:val="1F2328"/>
          <w:sz w:val="24"/>
        </w:rPr>
        <w:t>4.1 Frozen Scientific Protocol (Protocol v1.1, D1–D7)</w:t>
      </w:r>
    </w:p>
    <w:p>
      <w:r>
        <w:t xml:space="preserve">All experimental executions, runner dispatches, and offline scoring routines are governed by the canonical experiment protocol </w:t>
      </w:r>
      <w:r>
        <w:rPr>
          <w:rFonts w:ascii="Consolas" w:hAnsi="Consolas"/>
          <w:color w:val="8A1F11"/>
          <w:sz w:val="19"/>
        </w:rPr>
        <w:t>experiment-protocol-v1.1</w:t>
      </w:r>
      <w:r>
        <w:t xml:space="preserve"> (Canonical Decisions Digest: </w:t>
      </w:r>
      <w:r>
        <w:rPr>
          <w:rFonts w:ascii="Consolas" w:hAnsi="Consolas"/>
          <w:color w:val="8A1F11"/>
          <w:sz w:val="19"/>
        </w:rPr>
        <w:t>d3bf3d31ad307100ac437a7daecc470bf12de9ada49f19de3d77592d5a21974c</w:t>
      </w:r>
      <w:r>
        <w:t xml:space="preserve">; Protocol Config File SHA-256: </w:t>
      </w:r>
      <w:r>
        <w:rPr>
          <w:rFonts w:ascii="Consolas" w:hAnsi="Consolas"/>
          <w:color w:val="8A1F11"/>
          <w:sz w:val="19"/>
        </w:rPr>
        <w:t>a402b04ab463172f9d4079bff27b089ca8a21ffd0805d097af6cb1f3c7b5a8fb</w:t>
      </w:r>
      <w:r>
        <w:t xml:space="preserve">), approved under reference </w:t>
      </w:r>
      <w:r>
        <w:rPr>
          <w:rFonts w:ascii="Consolas" w:hAnsi="Consolas"/>
          <w:color w:val="8A1F11"/>
          <w:sz w:val="19"/>
        </w:rPr>
        <w:t>RAG2ATTCK-PROTOCOL-V1.1-FROZEN</w:t>
      </w:r>
      <w:r>
        <w:t>. The protocol resolves fourteen core scientific policies (D1–D7):</w:t>
      </w:r>
    </w:p>
    <w:p>
      <w:pPr>
        <w:pStyle w:val="ListBullet"/>
        <w:spacing w:after="40" w:line="276" w:lineRule="auto"/>
      </w:pPr>
      <w:r>
        <w:rPr>
          <w:b/>
        </w:rPr>
        <w:t xml:space="preserve">D1 (Raw Response Policy: </w:t>
      </w:r>
      <w:r>
        <w:rPr>
          <w:rFonts w:ascii="Consolas" w:hAnsi="Consolas"/>
          <w:color w:val="8A1F11"/>
          <w:sz w:val="19"/>
        </w:rPr>
        <w:t>RECORD_ONLY</w:t>
      </w:r>
      <w:r>
        <w:rPr>
          <w:b/>
        </w:rPr>
        <w:t>):</w:t>
      </w:r>
      <w:r>
        <w:t xml:space="preserve"> The raw textual completion emitted by the LLM is captured inline (</w:t>
      </w:r>
      <w:r>
        <w:rPr>
          <w:rFonts w:ascii="Consolas" w:hAnsi="Consolas"/>
          <w:color w:val="8A1F11"/>
          <w:sz w:val="19"/>
        </w:rPr>
        <w:t>raw_response: str</w:t>
      </w:r>
      <w:r>
        <w:t>) within prediction records for complete auditability. Fail-closed secret sanitization ensures zero credential leakage into logs.</w:t>
      </w:r>
    </w:p>
    <w:p>
      <w:pPr>
        <w:pStyle w:val="ListBullet"/>
        <w:spacing w:after="40" w:line="276" w:lineRule="auto"/>
      </w:pPr>
      <w:r>
        <w:rPr>
          <w:b/>
        </w:rPr>
        <w:t xml:space="preserve">D2a (Multi-Label Ground Truth Semantics: </w:t>
      </w:r>
      <w:r>
        <w:rPr>
          <w:rFonts w:ascii="Consolas" w:hAnsi="Consolas"/>
          <w:color w:val="8A1F11"/>
          <w:sz w:val="19"/>
        </w:rPr>
        <w:t>ANY_MATCH</w:t>
      </w:r>
      <w:r>
        <w:rPr>
          <w:b/>
        </w:rPr>
        <w:t>):</w:t>
      </w:r>
      <w:r>
        <w:t xml:space="preserve"> For samples with multi-label ground truth (</w:t>
      </w:r>
      <w:r>
        <w:rPr>
          <w:rFonts w:ascii="Cambria Math" w:hAnsi="Cambria Math"/>
          <w:i/>
        </w:rPr>
        <w:t>Y_GT</w:t>
      </w:r>
      <w:r>
        <w:t xml:space="preserve">), a single predicted technique </w:t>
      </w:r>
      <w:r>
        <w:rPr>
          <w:rFonts w:ascii="Cambria Math" w:hAnsi="Cambria Math"/>
          <w:i/>
        </w:rPr>
        <w:t>ŷ</w:t>
      </w:r>
      <w:r>
        <w:t xml:space="preserve"> is scored as correct if </w:t>
      </w:r>
      <w:r>
        <w:rPr>
          <w:rFonts w:ascii="Cambria Math" w:hAnsi="Cambria Math"/>
          <w:i/>
        </w:rPr>
        <w:t>ŷ ∈ Y_GT</w:t>
      </w:r>
      <w:r>
        <w:t>.</w:t>
      </w:r>
    </w:p>
    <w:p>
      <w:pPr>
        <w:pStyle w:val="ListBullet"/>
        <w:spacing w:after="40" w:line="276" w:lineRule="auto"/>
      </w:pPr>
      <w:r>
        <w:rPr>
          <w:b/>
        </w:rPr>
        <w:t xml:space="preserve">D2b (Empty Ground Truth: </w:t>
      </w:r>
      <w:r>
        <w:rPr>
          <w:rFonts w:ascii="Consolas" w:hAnsi="Consolas"/>
          <w:color w:val="8A1F11"/>
          <w:sz w:val="19"/>
        </w:rPr>
        <w:t>EXCLUDE</w:t>
      </w:r>
      <w:r>
        <w:rPr>
          <w:b/>
        </w:rPr>
        <w:t>):</w:t>
      </w:r>
      <w:r>
        <w:t xml:space="preserve"> Negative/unmapped samples (</w:t>
      </w:r>
      <w:r>
        <w:rPr>
          <w:rFonts w:ascii="Consolas" w:hAnsi="Consolas"/>
          <w:color w:val="8A1F11"/>
          <w:sz w:val="19"/>
        </w:rPr>
        <w:t>label_status == "unmapped"</w:t>
      </w:r>
      <w:r>
        <w:t>) are excluded from headline accuracy and macro-F1, but reported in diagnostic accounting.</w:t>
      </w:r>
    </w:p>
    <w:p>
      <w:pPr>
        <w:pStyle w:val="ListBullet"/>
        <w:spacing w:after="40" w:line="276" w:lineRule="auto"/>
      </w:pPr>
      <w:r>
        <w:rPr>
          <w:b/>
        </w:rPr>
        <w:t xml:space="preserve">D2c (Ambiguous Ground Truth: </w:t>
      </w:r>
      <w:r>
        <w:rPr>
          <w:rFonts w:ascii="Consolas" w:hAnsi="Consolas"/>
          <w:color w:val="8A1F11"/>
          <w:sz w:val="19"/>
        </w:rPr>
        <w:t>EXCLUDE</w:t>
      </w:r>
      <w:r>
        <w:rPr>
          <w:b/>
        </w:rPr>
        <w:t>):</w:t>
      </w:r>
      <w:r>
        <w:t xml:space="preserve"> Ambiguous samples (</w:t>
      </w:r>
      <w:r>
        <w:rPr>
          <w:rFonts w:ascii="Consolas" w:hAnsi="Consolas"/>
          <w:color w:val="8A1F11"/>
          <w:sz w:val="19"/>
        </w:rPr>
        <w:t>label_status == "ambiguous"</w:t>
      </w:r>
      <w:r>
        <w:t>) are excluded from headline metrics and tracked separately.</w:t>
      </w:r>
    </w:p>
    <w:p>
      <w:pPr>
        <w:pStyle w:val="ListBullet"/>
        <w:spacing w:after="40" w:line="276" w:lineRule="auto"/>
      </w:pPr>
      <w:r>
        <w:rPr>
          <w:b/>
        </w:rPr>
        <w:t xml:space="preserve">D2d (Macro-F1 Universe: </w:t>
      </w:r>
      <w:r>
        <w:rPr>
          <w:rFonts w:ascii="Consolas" w:hAnsi="Consolas"/>
          <w:color w:val="8A1F11"/>
          <w:sz w:val="19"/>
        </w:rPr>
        <w:t>FROZEN_BENCHMARK_UNIVERSE</w:t>
      </w:r>
      <w:r>
        <w:rPr>
          <w:b/>
        </w:rPr>
        <w:t>):</w:t>
      </w:r>
      <w:r>
        <w:t xml:space="preserve"> Macro-averaging is computed over the entire fixed 474-technique active Windows universe (</w:t>
      </w:r>
      <w:r>
        <w:rPr>
          <w:rFonts w:ascii="Cambria Math" w:hAnsi="Cambria Math"/>
          <w:i/>
        </w:rPr>
        <w:t>N=474</w:t>
      </w:r>
      <w:r>
        <w:t>), ensuring constant denominators across all conditions.</w:t>
      </w:r>
    </w:p>
    <w:p>
      <w:pPr>
        <w:pStyle w:val="ListBullet"/>
        <w:spacing w:after="40" w:line="276" w:lineRule="auto"/>
      </w:pPr>
      <w:r>
        <w:rPr>
          <w:b/>
        </w:rPr>
        <w:t xml:space="preserve">D2e (Invalid ID Treatment: </w:t>
      </w:r>
      <w:r>
        <w:rPr>
          <w:rFonts w:ascii="Consolas" w:hAnsi="Consolas"/>
          <w:color w:val="8A1F11"/>
          <w:sz w:val="19"/>
        </w:rPr>
        <w:t>INCLUDE_IN_DENOMINATOR</w:t>
      </w:r>
      <w:r>
        <w:rPr>
          <w:b/>
        </w:rPr>
        <w:t>):</w:t>
      </w:r>
      <w:r>
        <w:t xml:space="preserve"> Hallucinated or non-existent ATT&amp;CK IDs are penalized and retained in all metric denominators.</w:t>
      </w:r>
    </w:p>
    <w:p>
      <w:pPr>
        <w:pStyle w:val="ListBullet"/>
        <w:spacing w:after="40" w:line="276" w:lineRule="auto"/>
      </w:pPr>
      <w:r>
        <w:rPr>
          <w:b/>
        </w:rPr>
        <w:t xml:space="preserve">D2f (Provider &amp; Parser Failure Accounting: </w:t>
      </w:r>
      <w:r>
        <w:rPr>
          <w:rFonts w:ascii="Consolas" w:hAnsi="Consolas"/>
          <w:color w:val="8A1F11"/>
          <w:sz w:val="19"/>
        </w:rPr>
        <w:t>INCLUDE_IN_DENOMINATOR</w:t>
      </w:r>
      <w:r>
        <w:rPr>
          <w:b/>
        </w:rPr>
        <w:t>):</w:t>
      </w:r>
      <w:r>
        <w:t xml:space="preserve"> Headline end-to-end accuracy counts provider timeouts, HTTP errors, and JSON parse failures as incorrect samples.</w:t>
      </w:r>
    </w:p>
    <w:p>
      <w:pPr>
        <w:pStyle w:val="ListBullet"/>
        <w:spacing w:after="40" w:line="276" w:lineRule="auto"/>
      </w:pPr>
      <w:r>
        <w:rPr>
          <w:b/>
        </w:rPr>
        <w:t xml:space="preserve">D2g (Retired ATT&amp;CK IDs: </w:t>
      </w:r>
      <w:r>
        <w:rPr>
          <w:rFonts w:ascii="Consolas" w:hAnsi="Consolas"/>
          <w:color w:val="8A1F11"/>
          <w:sz w:val="19"/>
        </w:rPr>
        <w:t>ALLOW_HISTORICAL</w:t>
      </w:r>
      <w:r>
        <w:rPr>
          <w:b/>
        </w:rPr>
        <w:t>):</w:t>
      </w:r>
      <w:r>
        <w:t xml:space="preserve"> Predictions matching deprecated or revoked STIX IDs are tracked distinctly without silent remapping.</w:t>
      </w:r>
    </w:p>
    <w:p>
      <w:pPr>
        <w:pStyle w:val="ListBullet"/>
        <w:spacing w:after="40" w:line="276" w:lineRule="auto"/>
      </w:pPr>
      <w:r>
        <w:rPr>
          <w:b/>
        </w:rPr>
        <w:t xml:space="preserve">D2h (Retrieval Success Definition: </w:t>
      </w:r>
      <w:r>
        <w:rPr>
          <w:rFonts w:ascii="Consolas" w:hAnsi="Consolas"/>
          <w:color w:val="8A1F11"/>
          <w:sz w:val="19"/>
        </w:rPr>
        <w:t>ANY_GT_RETRIEVED</w:t>
      </w:r>
      <w:r>
        <w:rPr>
          <w:b/>
        </w:rPr>
        <w:t>):</w:t>
      </w:r>
      <w:r>
        <w:t xml:space="preserve"> Retrieval is successful if </w:t>
      </w:r>
      <w:r>
        <w:rPr>
          <w:rFonts w:ascii="Cambria Math" w:hAnsi="Cambria Math"/>
          <w:i/>
        </w:rPr>
        <w:t>Top-k ∩ Y_GT ≠ ∅</w:t>
      </w:r>
      <w:r>
        <w:t>.</w:t>
      </w:r>
    </w:p>
    <w:p>
      <w:pPr>
        <w:pStyle w:val="ListBullet"/>
        <w:spacing w:after="40" w:line="276" w:lineRule="auto"/>
      </w:pPr>
      <w:r>
        <w:rPr>
          <w:b/>
        </w:rPr>
        <w:t xml:space="preserve">D2i (Failure Decomposition: </w:t>
      </w:r>
      <w:r>
        <w:rPr>
          <w:rFonts w:ascii="Consolas" w:hAnsi="Consolas"/>
          <w:color w:val="8A1F11"/>
          <w:sz w:val="19"/>
        </w:rPr>
        <w:t>INDEPENDENT_AXES</w:t>
      </w:r>
      <w:r>
        <w:rPr>
          <w:b/>
        </w:rPr>
        <w:t>):</w:t>
      </w:r>
      <w:r>
        <w:t xml:space="preserve"> Errors are analyzed along independent diagnostic axes without forced artificial precedence.</w:t>
      </w:r>
    </w:p>
    <w:p>
      <w:pPr>
        <w:pStyle w:val="ListBullet"/>
        <w:spacing w:after="40" w:line="276" w:lineRule="auto"/>
      </w:pPr>
      <w:r>
        <w:rPr>
          <w:b/>
        </w:rPr>
        <w:t xml:space="preserve">D2j (Zero Denominator Convention: </w:t>
      </w:r>
      <w:r>
        <w:rPr>
          <w:rFonts w:ascii="Consolas" w:hAnsi="Consolas"/>
          <w:color w:val="8A1F11"/>
          <w:sz w:val="19"/>
        </w:rPr>
        <w:t>NULL</w:t>
      </w:r>
      <w:r>
        <w:rPr>
          <w:b/>
        </w:rPr>
        <w:t>):</w:t>
      </w:r>
      <w:r>
        <w:t xml:space="preserve"> Undefined metric fractions evaluate to </w:t>
      </w:r>
      <w:r>
        <w:rPr>
          <w:rFonts w:ascii="Consolas" w:hAnsi="Consolas"/>
          <w:color w:val="8A1F11"/>
          <w:sz w:val="19"/>
        </w:rPr>
        <w:t>null</w:t>
      </w:r>
      <w:r>
        <w:t xml:space="preserve"> (never coerced to </w:t>
      </w:r>
      <w:r>
        <w:rPr>
          <w:rFonts w:ascii="Cambria Math" w:hAnsi="Cambria Math"/>
          <w:i/>
        </w:rPr>
        <w:t>0.0</w:t>
      </w:r>
      <w:r>
        <w:t xml:space="preserve"> or </w:t>
      </w:r>
      <w:r>
        <w:rPr>
          <w:rFonts w:ascii="Cambria Math" w:hAnsi="Cambria Math"/>
          <w:i/>
        </w:rPr>
        <w:t>1.0</w:t>
      </w:r>
      <w:r>
        <w:t>).</w:t>
      </w:r>
    </w:p>
    <w:p>
      <w:pPr>
        <w:pStyle w:val="ListBullet"/>
        <w:spacing w:after="40" w:line="276" w:lineRule="auto"/>
      </w:pPr>
      <w:r>
        <w:rPr>
          <w:b/>
        </w:rPr>
        <w:t xml:space="preserve">D3 (Model Version &amp; Provenance: </w:t>
      </w:r>
      <w:r>
        <w:rPr>
          <w:rFonts w:ascii="Consolas" w:hAnsi="Consolas"/>
          <w:color w:val="8A1F11"/>
          <w:sz w:val="19"/>
        </w:rPr>
        <w:t>ALLOW_LATEST_WITH_TIMESTAMP_BINDING</w:t>
      </w:r>
      <w:r>
        <w:rPr>
          <w:b/>
        </w:rPr>
        <w:t>):</w:t>
      </w:r>
      <w:r>
        <w:t xml:space="preserve"> Models without immutable snapshot IDs are pinned via timestamped metadata, fingerprints, and cryptographic configuration hashes.</w:t>
      </w:r>
    </w:p>
    <w:p>
      <w:pPr>
        <w:pStyle w:val="ListBullet"/>
        <w:spacing w:after="40" w:line="276" w:lineRule="auto"/>
      </w:pPr>
      <w:r>
        <w:rPr>
          <w:b/>
        </w:rPr>
        <w:t xml:space="preserve">D4 (Execution Concurrency: </w:t>
      </w:r>
      <w:r>
        <w:rPr>
          <w:rFonts w:ascii="Consolas" w:hAnsi="Consolas"/>
          <w:color w:val="8A1F11"/>
          <w:sz w:val="19"/>
        </w:rPr>
        <w:t>SEQUENTIAL_ONLY</w:t>
      </w:r>
      <w:r>
        <w:rPr>
          <w:b/>
        </w:rPr>
        <w:t>):</w:t>
      </w:r>
      <w:r>
        <w:t xml:space="preserve"> Strictly serial execution (</w:t>
      </w:r>
      <w:r>
        <w:rPr>
          <w:rFonts w:ascii="Consolas" w:hAnsi="Consolas"/>
          <w:color w:val="8A1F11"/>
          <w:sz w:val="19"/>
        </w:rPr>
        <w:t>concurrency = 1</w:t>
      </w:r>
      <w:r>
        <w:t>) to eliminate race conditions, socket exhaustion, and non-deterministic batching.</w:t>
      </w:r>
    </w:p>
    <w:p>
      <w:pPr>
        <w:pStyle w:val="ListBullet"/>
        <w:spacing w:after="40" w:line="276" w:lineRule="auto"/>
      </w:pPr>
      <w:r>
        <w:rPr>
          <w:b/>
        </w:rPr>
        <w:t xml:space="preserve">D5 (Finite Budget Enforcement: </w:t>
      </w:r>
      <w:r>
        <w:rPr>
          <w:rFonts w:ascii="Consolas" w:hAnsi="Consolas"/>
          <w:color w:val="8A1F11"/>
          <w:sz w:val="19"/>
        </w:rPr>
        <w:t>HARD_CAP_WORST_CASE_ATTEMPTS</w:t>
      </w:r>
      <w:r>
        <w:rPr>
          <w:b/>
        </w:rPr>
        <w:t>):</w:t>
      </w:r>
      <w:r>
        <w:t xml:space="preserve"> Execution requires an immutable attempt cap covering worst-case retries, enforced by an in-memory and journaled budget ledger.</w:t>
      </w:r>
    </w:p>
    <w:p>
      <w:pPr>
        <w:pStyle w:val="ListBullet"/>
        <w:spacing w:after="40" w:line="276" w:lineRule="auto"/>
      </w:pPr>
      <w:r>
        <w:rPr>
          <w:b/>
        </w:rPr>
        <w:t xml:space="preserve">D6 (Real Telemetry Prerequisite: </w:t>
      </w:r>
      <w:r>
        <w:rPr>
          <w:rFonts w:ascii="Consolas" w:hAnsi="Consolas"/>
          <w:color w:val="8A1F11"/>
          <w:sz w:val="19"/>
        </w:rPr>
        <w:t>NOT_REQUIRED_FOR_SYNTHETIC_BENCHMARK</w:t>
      </w:r>
      <w:r>
        <w:rPr>
          <w:b/>
        </w:rPr>
        <w:t>):</w:t>
      </w:r>
      <w:r>
        <w:t xml:space="preserve"> Synthetic benchmark execution proceeds independently of blocked real telemetry data.</w:t>
      </w:r>
    </w:p>
    <w:p>
      <w:pPr>
        <w:pStyle w:val="ListBullet"/>
        <w:spacing w:after="40" w:line="276" w:lineRule="auto"/>
      </w:pPr>
      <w:r>
        <w:rPr>
          <w:b/>
        </w:rPr>
        <w:t xml:space="preserve">D7 (Dataset Scope: </w:t>
      </w:r>
      <w:r>
        <w:rPr>
          <w:rFonts w:ascii="Consolas" w:hAnsi="Consolas"/>
          <w:color w:val="8A1F11"/>
          <w:sz w:val="19"/>
        </w:rPr>
        <w:t>PAIRED_TEST</w:t>
      </w:r>
      <w:r>
        <w:rPr>
          <w:b/>
        </w:rPr>
        <w:t>):</w:t>
      </w:r>
      <w:r>
        <w:t xml:space="preserve"> Canonical experiments evaluate the complete 1,280 TEST views.</w:t>
      </w:r>
    </w:p>
    <w:p>
      <w:pPr>
        <w:pStyle w:val="Heading2"/>
        <w:spacing w:before="200" w:after="80"/>
      </w:pPr>
      <w:r>
        <w:rPr>
          <w:rFonts w:ascii="Calibri" w:hAnsi="Calibri"/>
          <w:b/>
          <w:color w:val="1F2328"/>
          <w:sz w:val="24"/>
        </w:rPr>
        <w:t>4.2 Language Model and Inference Configuration</w:t>
      </w:r>
    </w:p>
    <w:p>
      <w:r>
        <w:t xml:space="preserve">The language model configuration is frozen in </w:t>
      </w:r>
      <w:r>
        <w:rPr>
          <w:rFonts w:ascii="Consolas" w:hAnsi="Consolas"/>
          <w:color w:val="8A1F11"/>
          <w:sz w:val="19"/>
        </w:rPr>
        <w:t>config/model.json</w:t>
      </w:r>
      <w:r>
        <w:t xml:space="preserve"> (File SHA-256: </w:t>
      </w:r>
      <w:r>
        <w:rPr>
          <w:rFonts w:ascii="Consolas" w:hAnsi="Consolas"/>
          <w:color w:val="8A1F11"/>
          <w:sz w:val="19"/>
        </w:rPr>
        <w:t>312c34cedd84106f2004c6070b72aeac1dd84209a464e2993fee3ec87822697f</w:t>
      </w:r>
      <w:r>
        <w:t xml:space="preserve">) and documented in </w:t>
      </w:r>
      <w:r>
        <w:rPr>
          <w:rFonts w:ascii="Consolas" w:hAnsi="Consolas"/>
          <w:color w:val="8A1F11"/>
          <w:sz w:val="19"/>
        </w:rPr>
        <w:t>reports/T11_model_freeze.md</w:t>
      </w:r>
      <w:r>
        <w:t>:</w:t>
      </w:r>
    </w:p>
    <w:p>
      <w:pPr>
        <w:pStyle w:val="ListBullet"/>
        <w:spacing w:after="40" w:line="276" w:lineRule="auto"/>
      </w:pPr>
      <w:r>
        <w:rPr>
          <w:b/>
        </w:rPr>
        <w:t>Provider:</w:t>
      </w:r>
      <w:r>
        <w:t xml:space="preserve"> </w:t>
      </w:r>
      <w:r>
        <w:rPr>
          <w:rFonts w:ascii="Consolas" w:hAnsi="Consolas"/>
          <w:color w:val="8A1F11"/>
          <w:sz w:val="19"/>
        </w:rPr>
        <w:t>openai</w:t>
      </w:r>
    </w:p>
    <w:p>
      <w:pPr>
        <w:pStyle w:val="ListBullet"/>
        <w:spacing w:after="40" w:line="276" w:lineRule="auto"/>
      </w:pPr>
      <w:r>
        <w:rPr>
          <w:b/>
        </w:rPr>
        <w:t>Canonical Model Identifier:</w:t>
      </w:r>
      <w:r>
        <w:t xml:space="preserve"> </w:t>
      </w:r>
      <w:r>
        <w:rPr>
          <w:rFonts w:ascii="Consolas" w:hAnsi="Consolas"/>
          <w:color w:val="8A1F11"/>
          <w:sz w:val="19"/>
        </w:rPr>
        <w:t>gpt-5.6-luna</w:t>
      </w:r>
      <w:r>
        <w:t xml:space="preserve"> (1,050,000 context window, 128,000 max output tokens capacity).</w:t>
      </w:r>
    </w:p>
    <w:p>
      <w:pPr>
        <w:pStyle w:val="ListBullet"/>
        <w:spacing w:after="40" w:line="276" w:lineRule="auto"/>
      </w:pPr>
      <w:r>
        <w:rPr>
          <w:b/>
        </w:rPr>
        <w:t>API Interface:</w:t>
      </w:r>
      <w:r>
        <w:t xml:space="preserve"> OpenAI Responses API (</w:t>
      </w:r>
      <w:r>
        <w:rPr>
          <w:rFonts w:ascii="Consolas" w:hAnsi="Consolas"/>
          <w:color w:val="8A1F11"/>
          <w:sz w:val="19"/>
        </w:rPr>
        <w:t>client.responses.create</w:t>
      </w:r>
      <w:r>
        <w:t>), providing native schema constraints and unified reasoning token budgeting.</w:t>
      </w:r>
    </w:p>
    <w:p>
      <w:pPr>
        <w:pStyle w:val="ListBullet"/>
        <w:spacing w:after="40" w:line="276" w:lineRule="auto"/>
      </w:pPr>
      <w:r>
        <w:rPr>
          <w:b/>
        </w:rPr>
        <w:t>Reasoning Effort:</w:t>
      </w:r>
      <w:r>
        <w:t xml:space="preserve"> Configured </w:t>
      </w:r>
      <w:r>
        <w:rPr>
          <w:rFonts w:ascii="Consolas" w:hAnsi="Consolas"/>
          <w:color w:val="8A1F11"/>
          <w:sz w:val="19"/>
        </w:rPr>
        <w:t>reasoning_effort="xhigh"</w:t>
      </w:r>
      <w:r>
        <w:t>.</w:t>
      </w:r>
    </w:p>
    <w:p>
      <w:pPr>
        <w:pStyle w:val="ListBullet"/>
        <w:spacing w:after="40" w:line="276" w:lineRule="auto"/>
      </w:pPr>
      <w:r>
        <w:rPr>
          <w:b/>
        </w:rPr>
        <w:t>Output Token Budget (</w:t>
      </w:r>
      <w:r>
        <w:rPr>
          <w:rFonts w:ascii="Consolas" w:hAnsi="Consolas"/>
          <w:color w:val="8A1F11"/>
          <w:sz w:val="19"/>
        </w:rPr>
        <w:t>max_output_tokens</w:t>
      </w:r>
      <w:r>
        <w:rPr>
          <w:b/>
        </w:rPr>
        <w:t>):</w:t>
      </w:r>
      <w:r>
        <w:t xml:space="preserve"> </w:t>
      </w:r>
      <w:r>
        <w:rPr>
          <w:rFonts w:ascii="Consolas" w:hAnsi="Consolas"/>
          <w:color w:val="8A1F11"/>
          <w:sz w:val="19"/>
        </w:rPr>
        <w:t>8192</w:t>
      </w:r>
      <w:r>
        <w:t xml:space="preserve"> tokens. Under OpenAI reasoning models, </w:t>
      </w:r>
      <w:r>
        <w:rPr>
          <w:rFonts w:ascii="Consolas" w:hAnsi="Consolas"/>
          <w:color w:val="8A1F11"/>
          <w:sz w:val="19"/>
        </w:rPr>
        <w:t>max_output_tokens</w:t>
      </w:r>
      <w:r>
        <w:t xml:space="preserve"> represents an upper budget bound governing a unified allocation pool covering both internal reasoning tokens and visible completion tokens. While empirical DEV pilot runs observed mean output consumption of ~657 tokens, this parameter acts as a finite budget ceiling rather than an absolute guarantee against truncation: if the model's internal chain-of-thought and completion combined exhaust the 8,192 token allocation, the API emits an incomplete response (</w:t>
      </w:r>
      <w:r>
        <w:rPr>
          <w:rFonts w:ascii="Consolas" w:hAnsi="Consolas"/>
          <w:color w:val="8A1F11"/>
          <w:sz w:val="19"/>
        </w:rPr>
        <w:t>status="incomplete"</w:t>
      </w:r>
      <w:r>
        <w:t xml:space="preserve"> with </w:t>
      </w:r>
      <w:r>
        <w:rPr>
          <w:rFonts w:ascii="Consolas" w:hAnsi="Consolas"/>
          <w:color w:val="8A1F11"/>
          <w:sz w:val="19"/>
        </w:rPr>
        <w:t>incomplete_details.reason="max_output_tokens"</w:t>
      </w:r>
      <w:r>
        <w:t>), which the evaluation harness flags as an incomplete provider failure.</w:t>
      </w:r>
    </w:p>
    <w:p>
      <w:pPr>
        <w:pStyle w:val="ListBullet"/>
        <w:spacing w:after="40" w:line="276" w:lineRule="auto"/>
      </w:pPr>
      <w:r>
        <w:rPr>
          <w:b/>
        </w:rPr>
        <w:t>Structured Schema Enforcement:</w:t>
      </w:r>
      <w:r>
        <w:t xml:space="preserve"> Native JSON Schema enforcement (</w:t>
      </w:r>
      <w:r>
        <w:rPr>
          <w:rFonts w:ascii="Consolas" w:hAnsi="Consolas"/>
          <w:color w:val="8A1F11"/>
          <w:sz w:val="19"/>
        </w:rPr>
        <w:t>strict: true</w:t>
      </w:r>
      <w:r>
        <w:t xml:space="preserve">) targeting the Pydantic contract derived from </w:t>
      </w:r>
      <w:r>
        <w:rPr>
          <w:rFonts w:ascii="Consolas" w:hAnsi="Consolas"/>
          <w:color w:val="8A1F11"/>
          <w:sz w:val="19"/>
        </w:rPr>
        <w:t>TechniquePrediction.model_json_schema()</w:t>
      </w:r>
      <w:r>
        <w:t>:</w:t>
      </w:r>
    </w:p>
    <w:p>
      <w:pPr>
        <w:spacing w:before="80" w:after="120" w:line="240" w:lineRule="auto"/>
        <w:ind w:left="360" w:right="360"/>
        <w:shd w:fill="F6F8FA"/>
      </w:pPr>
      <w:r>
        <w:rPr>
          <w:rFonts w:ascii="Consolas" w:hAnsi="Consolas"/>
          <w:color w:val="1F2328"/>
          <w:sz w:val="18"/>
        </w:rPr>
        <w:t xml:space="preserve">  {</w:t>
        <w:br/>
        <w:t xml:space="preserve">    "title": "TechniquePrediction",</w:t>
        <w:br/>
        <w:t xml:space="preserve">    "description": "Minimal structured prediction payload returned by LLM:\n{\"technique_id\": \"T1059.001\"}\n\nNote: Strict format validation is deliberately omitted from the Pydantic schema\nso that syntactically invalid or non-registry IDs successfully pass JSON/schema parsing\nand are subsequently categorized as INVALID_ID by post-hoc validation (rather than MALFORMED_RESPONSE).",</w:t>
        <w:br/>
        <w:t xml:space="preserve">    "type": "object",</w:t>
        <w:br/>
        <w:t xml:space="preserve">    "properties": {</w:t>
        <w:br/>
        <w:t xml:space="preserve">      "technique_id": {</w:t>
        <w:br/>
        <w:t xml:space="preserve">        "title": "Technique Id",</w:t>
        <w:br/>
        <w:t xml:space="preserve">        "description": "The predicted MITRE ATT&amp;CK Technique or Sub-technique ID.",</w:t>
        <w:br/>
        <w:t xml:space="preserve">        "type": "string"</w:t>
        <w:br/>
        <w:t xml:space="preserve">      }</w:t>
        <w:br/>
        <w:t xml:space="preserve">    },</w:t>
        <w:br/>
        <w:t xml:space="preserve">    "required": [</w:t>
        <w:br/>
        <w:t xml:space="preserve">      "technique_id"</w:t>
        <w:br/>
        <w:t xml:space="preserve">    ],</w:t>
        <w:br/>
        <w:t xml:space="preserve">    "additionalProperties": false</w:t>
        <w:br/>
        <w:t xml:space="preserve">  }</w:t>
      </w:r>
    </w:p>
    <w:p>
      <w:r>
        <w:t xml:space="preserve">Crucially, format-level regex validation (such as </w:t>
      </w:r>
      <w:r>
        <w:rPr>
          <w:rFonts w:ascii="Consolas" w:hAnsi="Consolas"/>
          <w:color w:val="8A1F11"/>
          <w:sz w:val="19"/>
        </w:rPr>
        <w:t>^T[0-9]{4}(\.[0-9]{3})?$</w:t>
      </w:r>
      <w:r>
        <w:t>) is deliberately omitted from the Pydantic schema and provider API contract. This architectural decision strictly decouples provider-level JSON structural validity from downstream domain-specific taxonomic validation:</w:t>
      </w:r>
    </w:p>
    <w:p>
      <w:pPr>
        <w:spacing w:after="40" w:line="276" w:lineRule="auto"/>
        <w:ind w:left="432" w:hanging="288"/>
      </w:pPr>
      <w:r>
        <w:rPr>
          <w:rFonts w:ascii="Calibri" w:hAnsi="Calibri"/>
          <w:b/>
          <w:color w:val="24292F"/>
        </w:rPr>
        <w:t xml:space="preserve">1. </w:t>
      </w:r>
      <w:r>
        <w:rPr>
          <w:i/>
        </w:rPr>
        <w:t>Provider Schema Validation:</w:t>
      </w:r>
      <w:r>
        <w:t xml:space="preserve"> Enforces that the model emits a syntactically valid JSON object possessing a string-typed </w:t>
      </w:r>
      <w:r>
        <w:rPr>
          <w:rFonts w:ascii="Consolas" w:hAnsi="Consolas"/>
          <w:color w:val="8A1F11"/>
          <w:sz w:val="19"/>
        </w:rPr>
        <w:t>technique_id</w:t>
      </w:r>
      <w:r>
        <w:t xml:space="preserve"> field with no additional properties.</w:t>
      </w:r>
    </w:p>
    <w:p>
      <w:pPr>
        <w:spacing w:after="40" w:line="276" w:lineRule="auto"/>
        <w:ind w:left="432" w:hanging="288"/>
      </w:pPr>
      <w:r>
        <w:rPr>
          <w:rFonts w:ascii="Calibri" w:hAnsi="Calibri"/>
          <w:b/>
          <w:color w:val="24292F"/>
        </w:rPr>
        <w:t xml:space="preserve">2. </w:t>
      </w:r>
      <w:r>
        <w:rPr>
          <w:i/>
        </w:rPr>
        <w:t>Post-Hoc Taxonomic Validation:</w:t>
      </w:r>
      <w:r>
        <w:t xml:space="preserve"> Decouples structural parse failures from attribution domain errors via a two-layer validation pipeline:</w:t>
      </w:r>
    </w:p>
    <w:p>
      <w:pPr>
        <w:pStyle w:val="ListBullet"/>
        <w:spacing w:after="40" w:line="276" w:lineRule="auto"/>
      </w:pPr>
      <w:r>
        <w:rPr>
          <w:b/>
        </w:rPr>
        <w:t>Layer 1 (Canonical Syntax Check):</w:t>
      </w:r>
      <w:r>
        <w:t xml:space="preserve"> Validates the string against the canonical MITRE ATT&amp;CK regex pattern (</w:t>
      </w:r>
      <w:r>
        <w:rPr>
          <w:rFonts w:ascii="Consolas" w:hAnsi="Consolas"/>
          <w:color w:val="8A1F11"/>
          <w:sz w:val="19"/>
        </w:rPr>
        <w:t>^T\d{4}(?:\.\d{3})?$</w:t>
      </w:r>
      <w:r>
        <w:t xml:space="preserve">). Syntactic violations (e.g., malformed patterns such as </w:t>
      </w:r>
      <w:r>
        <w:rPr>
          <w:rFonts w:ascii="Consolas" w:hAnsi="Consolas"/>
          <w:color w:val="8A1F11"/>
          <w:sz w:val="19"/>
        </w:rPr>
        <w:t>"T1059.1"</w:t>
      </w:r>
      <w:r>
        <w:t xml:space="preserve"> or </w:t>
      </w:r>
      <w:r>
        <w:rPr>
          <w:rFonts w:ascii="Consolas" w:hAnsi="Consolas"/>
          <w:color w:val="8A1F11"/>
          <w:sz w:val="19"/>
        </w:rPr>
        <w:t>"T99999_bad"</w:t>
      </w:r>
      <w:r>
        <w:t xml:space="preserve">) parse valid JSON and are classified as </w:t>
      </w:r>
      <w:r>
        <w:rPr>
          <w:rFonts w:ascii="Consolas" w:hAnsi="Consolas"/>
          <w:color w:val="8A1F11"/>
          <w:sz w:val="19"/>
        </w:rPr>
        <w:t>INVALID_ID</w:t>
      </w:r>
      <w:r>
        <w:t xml:space="preserve"> rather than </w:t>
      </w:r>
      <w:r>
        <w:rPr>
          <w:rFonts w:ascii="Consolas" w:hAnsi="Consolas"/>
          <w:color w:val="8A1F11"/>
          <w:sz w:val="19"/>
        </w:rPr>
        <w:t>MALFORMED_RESPONSE</w:t>
      </w:r>
      <w:r>
        <w:t>.</w:t>
      </w:r>
    </w:p>
    <w:p>
      <w:pPr>
        <w:pStyle w:val="ListBullet"/>
        <w:spacing w:after="40" w:line="276" w:lineRule="auto"/>
      </w:pPr>
      <w:r>
        <w:rPr>
          <w:b/>
        </w:rPr>
        <w:t>Layer 2 (Registry Membership Check):</w:t>
      </w:r>
      <w:r>
        <w:t xml:space="preserve"> Validates syntax-compliant identifiers against the pinned ATT&amp;CK v19.2 enterprise registry. Syntactically valid but uncataloged identifiers (e.g., non-existent techniques such as </w:t>
      </w:r>
      <w:r>
        <w:rPr>
          <w:rFonts w:ascii="Consolas" w:hAnsi="Consolas"/>
          <w:color w:val="8A1F11"/>
          <w:sz w:val="19"/>
        </w:rPr>
        <w:t>"T9999"</w:t>
      </w:r>
      <w:r>
        <w:t xml:space="preserve">) are classified as </w:t>
      </w:r>
      <w:r>
        <w:rPr>
          <w:rFonts w:ascii="Consolas" w:hAnsi="Consolas"/>
          <w:color w:val="8A1F11"/>
          <w:sz w:val="19"/>
        </w:rPr>
        <w:t>INVALID_ID</w:t>
      </w:r>
      <w:r>
        <w:t>.</w:t>
      </w:r>
    </w:p>
    <w:p>
      <w:r>
        <w:t xml:space="preserve">If regex enforcement were embedded directly within the provider JSON schema, any syntactically invalid output would be rejected at the API provider layer and misclassified as </w:t>
      </w:r>
      <w:r>
        <w:rPr>
          <w:rFonts w:ascii="Consolas" w:hAnsi="Consolas"/>
          <w:color w:val="8A1F11"/>
          <w:sz w:val="19"/>
        </w:rPr>
        <w:t>MALFORMED_RESPONSE</w:t>
      </w:r>
      <w:r>
        <w:t xml:space="preserve"> (a structural parse failure), obscuring whether the model attempted a malformed technique prediction versus failing JSON generation.</w:t>
      </w:r>
    </w:p>
    <w:p>
      <w:pPr>
        <w:pStyle w:val="ListBullet"/>
        <w:spacing w:after="40" w:line="276" w:lineRule="auto"/>
      </w:pPr>
      <w:r>
        <w:rPr>
          <w:b/>
        </w:rPr>
        <w:t>Sampling Parameters:</w:t>
      </w:r>
      <w:r>
        <w:t xml:space="preserve"> Under the OpenAI Responses API implementation contract (</w:t>
      </w:r>
      <w:r>
        <w:rPr>
          <w:rFonts w:ascii="Consolas" w:hAnsi="Consolas"/>
          <w:color w:val="8A1F11"/>
          <w:sz w:val="19"/>
        </w:rPr>
        <w:t>src/llm/client.py</w:t>
      </w:r>
      <w:r>
        <w:t>), sampling parameters (</w:t>
      </w:r>
      <w:r>
        <w:rPr>
          <w:rFonts w:ascii="Consolas" w:hAnsi="Consolas"/>
          <w:color w:val="8A1F11"/>
          <w:sz w:val="19"/>
        </w:rPr>
        <w:t>temperature</w:t>
      </w:r>
      <w:r>
        <w:t xml:space="preserve">, </w:t>
      </w:r>
      <w:r>
        <w:rPr>
          <w:rFonts w:ascii="Consolas" w:hAnsi="Consolas"/>
          <w:color w:val="8A1F11"/>
          <w:sz w:val="19"/>
        </w:rPr>
        <w:t>top_p</w:t>
      </w:r>
      <w:r>
        <w:t xml:space="preserve">, </w:t>
      </w:r>
      <w:r>
        <w:rPr>
          <w:rFonts w:ascii="Consolas" w:hAnsi="Consolas"/>
          <w:color w:val="8A1F11"/>
          <w:sz w:val="19"/>
        </w:rPr>
        <w:t>presence_penalty</w:t>
      </w:r>
      <w:r>
        <w:t xml:space="preserve">, </w:t>
      </w:r>
      <w:r>
        <w:rPr>
          <w:rFonts w:ascii="Consolas" w:hAnsi="Consolas"/>
          <w:color w:val="8A1F11"/>
          <w:sz w:val="19"/>
        </w:rPr>
        <w:t>frequency_penalty</w:t>
      </w:r>
      <w:r>
        <w:t xml:space="preserve">, and </w:t>
      </w:r>
      <w:r>
        <w:rPr>
          <w:rFonts w:ascii="Consolas" w:hAnsi="Consolas"/>
          <w:color w:val="8A1F11"/>
          <w:sz w:val="19"/>
        </w:rPr>
        <w:t>seed</w:t>
      </w:r>
      <w:r>
        <w:t>) are not sent / not configured in the request payload. By maintaining unconfigured provider defaults uniformly across all dispatches, the experimental runner guarantees identical configured controls across all experimental conditions.</w:t>
      </w:r>
    </w:p>
    <w:p>
      <w:pPr>
        <w:pStyle w:val="ListBullet"/>
        <w:spacing w:after="40" w:line="276" w:lineRule="auto"/>
      </w:pPr>
      <w:r>
        <w:rPr>
          <w:b/>
        </w:rPr>
        <w:t>Resilience Policy:</w:t>
      </w:r>
      <w:r>
        <w:t xml:space="preserve"> Deterministic exponential backoff without jitter (</w:t>
      </w:r>
      <w:r>
        <w:rPr>
          <w:rFonts w:ascii="Consolas" w:hAnsi="Consolas"/>
          <w:color w:val="8A1F11"/>
          <w:sz w:val="19"/>
        </w:rPr>
        <w:t>max_retries = 3</w:t>
      </w:r>
      <w:r>
        <w:t xml:space="preserve">, initial delay 1.0s, factor 2.0, max delay 30.0s, socket timeout 120s; delay computed deterministically as </w:t>
      </w:r>
      <w:r>
        <w:rPr>
          <w:rFonts w:ascii="Cambria Math" w:hAnsi="Cambria Math"/>
          <w:i/>
        </w:rPr>
        <w:t>(initial × factor^attempt, max_delay)</w:t>
      </w:r>
      <w:r>
        <w:t>).</w:t>
      </w:r>
    </w:p>
    <w:p>
      <w:pPr>
        <w:pStyle w:val="Heading2"/>
        <w:spacing w:before="200" w:after="80"/>
      </w:pPr>
      <w:r>
        <w:rPr>
          <w:rFonts w:ascii="Calibri" w:hAnsi="Calibri"/>
          <w:b/>
          <w:color w:val="1F2328"/>
          <w:sz w:val="24"/>
        </w:rPr>
        <w:t>4.3 Symmetric Prompt Architecture</w:t>
      </w:r>
    </w:p>
    <w:p>
      <w:r>
        <w:t>To eliminate prompt design as a confounding variable, the No-RAG baseline and all RAG conditions share the identical base prompt template (</w:t>
      </w:r>
      <w:r>
        <w:rPr>
          <w:rFonts w:ascii="Consolas" w:hAnsi="Consolas"/>
          <w:color w:val="8A1F11"/>
          <w:sz w:val="19"/>
        </w:rPr>
        <w:t>prompts/baseline_v1.txt</w:t>
      </w:r>
      <w:r>
        <w:t xml:space="preserve">, File SHA-256: </w:t>
      </w:r>
      <w:r>
        <w:rPr>
          <w:rFonts w:ascii="Consolas" w:hAnsi="Consolas"/>
          <w:color w:val="8A1F11"/>
          <w:sz w:val="19"/>
        </w:rPr>
        <w:t>b751fde1ee33b03ec0bdc07cbba10267002d2086cf22b91a74bdfd123856f206</w:t>
      </w:r>
      <w:r>
        <w:t>):</w:t>
      </w:r>
    </w:p>
    <w:p>
      <w:pPr>
        <w:spacing w:before="80" w:after="120" w:line="240" w:lineRule="auto"/>
        <w:ind w:left="360" w:right="360"/>
        <w:shd w:fill="F6F8FA"/>
      </w:pPr>
      <w:r>
        <w:rPr>
          <w:rFonts w:ascii="Consolas" w:hAnsi="Consolas"/>
          <w:color w:val="1F2328"/>
          <w:sz w:val="18"/>
        </w:rPr>
        <w:t>You are an expert cyber threat intelligence and SOC analyst.</w:t>
        <w:br/>
        <w:t>Analyze the following endpoint evidence and determine the single most specific and accurate MITRE ATT&amp;CK Technique or Sub-technique ID.</w:t>
        <w:br/>
        <w:br/>
        <w:t>If reference context is provided below, use it as supporting information for the attribution. If no reference context is provided, perform the attribution using the endpoint evidence alone.</w:t>
        <w:br/>
        <w:br/>
        <w:t>ENDPOINT EVIDENCE:</w:t>
        <w:br/>
        <w:t>{ENDPOINT_EVIDENCE}</w:t>
        <w:br/>
        <w:br/>
        <w:t>---</w:t>
        <w:br/>
        <w:t>REFERENCE CONTEXT:</w:t>
        <w:br/>
        <w:t>{RETRIEVED_CONTEXT}</w:t>
        <w:br/>
        <w:t>---</w:t>
        <w:br/>
        <w:br/>
        <w:t>Respond with a single JSON object containing only the "technique_id" field. Do not include markdown formatting, code fences, or explanatory text.</w:t>
      </w:r>
    </w:p>
    <w:p>
      <w:pPr>
        <w:pStyle w:val="ListBullet"/>
        <w:spacing w:after="40" w:line="276" w:lineRule="auto"/>
      </w:pPr>
      <w:r>
        <w:rPr>
          <w:b/>
        </w:rPr>
        <w:t>Universal Context Handling Clause:</w:t>
      </w:r>
      <w:r>
        <w:t xml:space="preserve"> The instruction explicitly directs the model to use reference context if present, or rely on endpoint evidence alone if absent. This avoids asymmetric prompting or conditional prompt logic.</w:t>
      </w:r>
    </w:p>
    <w:p>
      <w:pPr>
        <w:pStyle w:val="ListBullet"/>
        <w:spacing w:after="40" w:line="276" w:lineRule="auto"/>
      </w:pPr>
      <w:r>
        <w:rPr>
          <w:b/>
        </w:rPr>
        <w:t>Strict Isolation:</w:t>
      </w:r>
      <w:r>
        <w:t xml:space="preserve"> In the </w:t>
      </w:r>
      <w:r>
        <w:rPr>
          <w:rFonts w:ascii="Consolas" w:hAnsi="Consolas"/>
          <w:color w:val="8A1F11"/>
          <w:sz w:val="19"/>
        </w:rPr>
        <w:t>no_rag</w:t>
      </w:r>
      <w:r>
        <w:t xml:space="preserve"> condition, </w:t>
      </w:r>
      <w:r>
        <w:rPr>
          <w:rFonts w:ascii="Consolas" w:hAnsi="Consolas"/>
          <w:color w:val="8A1F11"/>
          <w:sz w:val="19"/>
        </w:rPr>
        <w:t>{RETRIEVED_CONTEXT}</w:t>
      </w:r>
      <w:r>
        <w:t xml:space="preserve"> is populated with an empty string (</w:t>
      </w:r>
      <w:r>
        <w:rPr>
          <w:rFonts w:ascii="Consolas" w:hAnsi="Consolas"/>
          <w:color w:val="8A1F11"/>
          <w:sz w:val="19"/>
        </w:rPr>
        <w:t>""</w:t>
      </w:r>
      <w:r>
        <w:t>). In RAG conditions, retrieved ATT&amp;CK documents are formatted deterministically into the reference block.</w:t>
      </w:r>
    </w:p>
    <w:p>
      <w:pPr>
        <w:pStyle w:val="Heading2"/>
        <w:spacing w:before="200" w:after="80"/>
      </w:pPr>
      <w:r>
        <w:rPr>
          <w:rFonts w:ascii="Calibri" w:hAnsi="Calibri"/>
          <w:b/>
          <w:color w:val="1F2328"/>
          <w:sz w:val="24"/>
        </w:rPr>
        <w:t>4.4 Dense Retrieval Subsystem</w:t>
      </w:r>
    </w:p>
    <w:p>
      <w:r>
        <w:t xml:space="preserve">The retrieval architecture is frozen in </w:t>
      </w:r>
      <w:r>
        <w:rPr>
          <w:rFonts w:ascii="Consolas" w:hAnsi="Consolas"/>
          <w:color w:val="8A1F11"/>
          <w:sz w:val="19"/>
        </w:rPr>
        <w:t>config/retrieval.json</w:t>
      </w:r>
      <w:r>
        <w:t xml:space="preserve"> (File SHA-256: </w:t>
      </w:r>
      <w:r>
        <w:rPr>
          <w:rFonts w:ascii="Consolas" w:hAnsi="Consolas"/>
          <w:color w:val="8A1F11"/>
          <w:sz w:val="19"/>
        </w:rPr>
        <w:t>b33a93913e7f6de36f6f9021f77b2c9dcb1d426929162acb250a3c73ac8e6e25</w:t>
      </w:r>
      <w:r>
        <w:t xml:space="preserve">) and documented in </w:t>
      </w:r>
      <w:r>
        <w:rPr>
          <w:rFonts w:ascii="Consolas" w:hAnsi="Consolas"/>
          <w:color w:val="8A1F11"/>
          <w:sz w:val="19"/>
        </w:rPr>
        <w:t>reports/T18_retriever.md</w:t>
      </w:r>
      <w:r>
        <w:t>:</w:t>
      </w:r>
    </w:p>
    <w:p>
      <w:pPr>
        <w:pStyle w:val="ListBullet"/>
        <w:spacing w:after="40" w:line="276" w:lineRule="auto"/>
      </w:pPr>
      <w:r>
        <w:rPr>
          <w:b/>
        </w:rPr>
        <w:t>Embedding Model:</w:t>
      </w:r>
      <w:r>
        <w:t xml:space="preserve"> </w:t>
      </w:r>
      <w:r>
        <w:rPr>
          <w:rFonts w:ascii="Consolas" w:hAnsi="Consolas"/>
          <w:color w:val="8A1F11"/>
          <w:sz w:val="19"/>
        </w:rPr>
        <w:t>sentence-transformers/all-MiniLM-L6-v2</w:t>
      </w:r>
      <w:r>
        <w:t xml:space="preserve"> pinned to immutable Hugging Face commit </w:t>
      </w:r>
      <w:r>
        <w:rPr>
          <w:rFonts w:ascii="Consolas" w:hAnsi="Consolas"/>
          <w:color w:val="8A1F11"/>
          <w:sz w:val="19"/>
        </w:rPr>
        <w:t>1110a243fdf4706b3f48f1d95db1a4f5529b4d41</w:t>
      </w:r>
      <w:r>
        <w:t xml:space="preserve"> (384-dimensional dense embeddings).</w:t>
      </w:r>
    </w:p>
    <w:p>
      <w:pPr>
        <w:pStyle w:val="ListBullet"/>
        <w:spacing w:after="40" w:line="276" w:lineRule="auto"/>
      </w:pPr>
      <w:r>
        <w:rPr>
          <w:b/>
        </w:rPr>
        <w:t>Vector Normalization:</w:t>
      </w:r>
      <w:r>
        <w:t xml:space="preserve"> Unit L2 normalization (</w:t>
      </w:r>
      <w:r>
        <w:rPr>
          <w:rFonts w:ascii="Cambria Math" w:hAnsi="Cambria Math"/>
          <w:i/>
        </w:rPr>
        <w:t>||v||_2 = 1.0</w:t>
      </w:r>
      <w:r>
        <w:t>) applied to all document and query vectors.</w:t>
      </w:r>
    </w:p>
    <w:p>
      <w:pPr>
        <w:pStyle w:val="ListBullet"/>
        <w:spacing w:after="40" w:line="276" w:lineRule="auto"/>
      </w:pPr>
      <w:r>
        <w:rPr>
          <w:b/>
        </w:rPr>
        <w:t>Index Architecture:</w:t>
      </w:r>
      <w:r>
        <w:t xml:space="preserve"> FAISS </w:t>
      </w:r>
      <w:r>
        <w:rPr>
          <w:rFonts w:ascii="Consolas" w:hAnsi="Consolas"/>
          <w:color w:val="8A1F11"/>
          <w:sz w:val="19"/>
        </w:rPr>
        <w:t>IndexFlatIP</w:t>
      </w:r>
      <w:r>
        <w:t xml:space="preserve"> (exact brute-force inner product). Under L2 normalization, inner product is mathematically identical to cosine similarity:</w:t>
      </w:r>
    </w:p>
    <w:p>
      <w:pPr>
        <w:spacing w:before="120" w:after="120" w:line="276" w:lineRule="auto"/>
        <w:ind w:left="576" w:right="576"/>
        <w:shd w:fill="F8FAFC"/>
        <w:pBdr>
          <w:left w:val="single" w:sz="18" w:space="8" w:color="0969DA"/>
        </w:pBdr>
      </w:pPr>
      <w:r>
        <w:rPr>
          <w:rFonts w:ascii="Cambria Math" w:hAnsi="Cambria Math"/>
          <w:i/>
          <w:color w:val="0A2540"/>
          <w:sz w:val="21"/>
        </w:rPr>
        <w:t>⟨ q̂, d̂_i ⟩ = (q · d_i) / (||q||_2 ||d_i||_2) = cos(q, d_i)</w:t>
      </w:r>
    </w:p>
    <w:p>
      <w:pPr>
        <w:pStyle w:val="ListBullet"/>
        <w:spacing w:after="40" w:line="276" w:lineRule="auto"/>
      </w:pPr>
      <w:r>
        <w:rPr>
          <w:b/>
        </w:rPr>
        <w:t>Deterministic Global Tie-Breaking:</w:t>
      </w:r>
      <w:r>
        <w:t xml:space="preserve"> To ensure reproducibility and strict prefix consistency across retrieval depths, the retriever searches the entire index (</w:t>
      </w:r>
      <w:r>
        <w:rPr>
          <w:rFonts w:ascii="Cambria Math" w:hAnsi="Cambria Math"/>
          <w:i/>
        </w:rPr>
        <w:t>N=474</w:t>
      </w:r>
      <w:r>
        <w:t>), applies a stable Python sort with compound key:</w:t>
      </w:r>
    </w:p>
    <w:p>
      <w:pPr>
        <w:spacing w:before="120" w:after="120" w:line="276" w:lineRule="auto"/>
        <w:ind w:left="576" w:right="576"/>
        <w:shd w:fill="F8FAFC"/>
        <w:pBdr>
          <w:left w:val="single" w:sz="18" w:space="8" w:color="0969DA"/>
        </w:pBdr>
      </w:pPr>
      <w:r>
        <w:rPr>
          <w:rFonts w:ascii="Cambria Math" w:hAnsi="Cambria Math"/>
          <w:i/>
          <w:color w:val="0A2540"/>
          <w:sz w:val="21"/>
        </w:rPr>
        <w:t>sort_key = (-score, technique_id)</w:t>
      </w:r>
    </w:p>
    <w:p>
      <w:r>
        <w:t xml:space="preserve">and slices the top </w:t>
      </w:r>
      <w:r>
        <w:rPr>
          <w:rFonts w:ascii="Cambria Math" w:hAnsi="Cambria Math"/>
          <w:i/>
        </w:rPr>
        <w:t>k</w:t>
      </w:r>
      <w:r>
        <w:t xml:space="preserve">. This guarantees the </w:t>
      </w:r>
      <w:r>
        <w:rPr>
          <w:b/>
        </w:rPr>
        <w:t>Prefix Consistency Invariant</w:t>
      </w:r>
      <w:r>
        <w:t>:</w:t>
      </w:r>
    </w:p>
    <w:p>
      <w:pPr>
        <w:spacing w:before="120" w:after="120" w:line="276" w:lineRule="auto"/>
        <w:ind w:left="576" w:right="576"/>
        <w:shd w:fill="F8FAFC"/>
        <w:pBdr>
          <w:left w:val="single" w:sz="18" w:space="8" w:color="0969DA"/>
        </w:pBdr>
      </w:pPr>
      <w:r>
        <w:rPr>
          <w:rFonts w:ascii="Cambria Math" w:hAnsi="Cambria Math"/>
          <w:i/>
          <w:color w:val="0A2540"/>
          <w:sz w:val="21"/>
        </w:rPr>
        <w:t>∀ k_1 &lt; k_2 ∈ {1, 3, 5, 10}: results(k_1) ≡ results(k_2)[:k_1]</w:t>
      </w:r>
    </w:p>
    <w:p>
      <w:pPr>
        <w:pStyle w:val="Heading2"/>
        <w:spacing w:before="200" w:after="80"/>
      </w:pPr>
      <w:r>
        <w:rPr>
          <w:rFonts w:ascii="Calibri" w:hAnsi="Calibri"/>
          <w:b/>
          <w:color w:val="1F2328"/>
          <w:sz w:val="24"/>
        </w:rPr>
        <w:t>4.5 The Five Experimental Conditions</w:t>
      </w:r>
    </w:p>
    <w:p>
      <w:r>
        <w:t>The benchmark executes five distinct conditions across all 1,280 TEST views (6,400 total inference requests):</w:t>
      </w:r>
    </w:p>
    <w:p>
      <w:pPr>
        <w:spacing w:after="40" w:line="276" w:lineRule="auto"/>
        <w:ind w:left="432" w:hanging="288"/>
      </w:pPr>
      <w:r>
        <w:rPr>
          <w:rFonts w:ascii="Calibri" w:hAnsi="Calibri"/>
          <w:b/>
          <w:color w:val="24292F"/>
        </w:rPr>
        <w:t xml:space="preserve">1. </w:t>
      </w:r>
      <w:r>
        <w:rPr>
          <w:rFonts w:ascii="Consolas" w:hAnsi="Consolas"/>
          <w:color w:val="8A1F11"/>
          <w:sz w:val="19"/>
        </w:rPr>
        <w:t>no_rag</w:t>
      </w:r>
      <w:r>
        <w:t>: Unaugmented baseline (</w:t>
      </w:r>
      <w:r>
        <w:rPr>
          <w:rFonts w:ascii="Consolas" w:hAnsi="Consolas"/>
          <w:color w:val="8A1F11"/>
          <w:sz w:val="19"/>
        </w:rPr>
        <w:t>{RETRIEVED_CONTEXT} = ""</w:t>
      </w:r>
      <w:r>
        <w:t>).</w:t>
      </w:r>
    </w:p>
    <w:p>
      <w:pPr>
        <w:spacing w:after="40" w:line="276" w:lineRule="auto"/>
        <w:ind w:left="432" w:hanging="288"/>
      </w:pPr>
      <w:r>
        <w:rPr>
          <w:rFonts w:ascii="Calibri" w:hAnsi="Calibri"/>
          <w:b/>
          <w:color w:val="24292F"/>
        </w:rPr>
        <w:t xml:space="preserve">2. </w:t>
      </w:r>
      <w:r>
        <w:rPr>
          <w:rFonts w:ascii="Consolas" w:hAnsi="Consolas"/>
          <w:color w:val="8A1F11"/>
          <w:sz w:val="19"/>
        </w:rPr>
        <w:t>rag_k1</w:t>
      </w:r>
      <w:r>
        <w:t>: Injects Top-1 retrieved ATT&amp;CK technique description.</w:t>
      </w:r>
    </w:p>
    <w:p>
      <w:pPr>
        <w:spacing w:after="40" w:line="276" w:lineRule="auto"/>
        <w:ind w:left="432" w:hanging="288"/>
      </w:pPr>
      <w:r>
        <w:rPr>
          <w:rFonts w:ascii="Calibri" w:hAnsi="Calibri"/>
          <w:b/>
          <w:color w:val="24292F"/>
        </w:rPr>
        <w:t xml:space="preserve">3. </w:t>
      </w:r>
      <w:r>
        <w:rPr>
          <w:rFonts w:ascii="Consolas" w:hAnsi="Consolas"/>
          <w:color w:val="8A1F11"/>
          <w:sz w:val="19"/>
        </w:rPr>
        <w:t>rag_k3</w:t>
      </w:r>
      <w:r>
        <w:t>: Injects Top-3 retrieved ATT&amp;CK technique descriptions.</w:t>
      </w:r>
    </w:p>
    <w:p>
      <w:pPr>
        <w:spacing w:after="40" w:line="276" w:lineRule="auto"/>
        <w:ind w:left="432" w:hanging="288"/>
      </w:pPr>
      <w:r>
        <w:rPr>
          <w:rFonts w:ascii="Calibri" w:hAnsi="Calibri"/>
          <w:b/>
          <w:color w:val="24292F"/>
        </w:rPr>
        <w:t xml:space="preserve">4. </w:t>
      </w:r>
      <w:r>
        <w:rPr>
          <w:rFonts w:ascii="Consolas" w:hAnsi="Consolas"/>
          <w:color w:val="8A1F11"/>
          <w:sz w:val="19"/>
        </w:rPr>
        <w:t>rag_k5</w:t>
      </w:r>
      <w:r>
        <w:t>: Injects Top-5 retrieved ATT&amp;CK technique descriptions (default operational depth).</w:t>
      </w:r>
    </w:p>
    <w:p>
      <w:pPr>
        <w:spacing w:after="40" w:line="276" w:lineRule="auto"/>
        <w:ind w:left="432" w:hanging="288"/>
      </w:pPr>
      <w:r>
        <w:rPr>
          <w:rFonts w:ascii="Calibri" w:hAnsi="Calibri"/>
          <w:b/>
          <w:color w:val="24292F"/>
        </w:rPr>
        <w:t xml:space="preserve">5. </w:t>
      </w:r>
      <w:r>
        <w:rPr>
          <w:rFonts w:ascii="Consolas" w:hAnsi="Consolas"/>
          <w:color w:val="8A1F11"/>
          <w:sz w:val="19"/>
        </w:rPr>
        <w:t>rag_k10</w:t>
      </w:r>
      <w:r>
        <w:t>: Injects Top-10 retrieved ATT&amp;CK technique descriptions (dense candidate pool).</w:t>
      </w:r>
    </w:p>
    <w:p>
      <w:pPr>
        <w:pStyle w:val="Heading2"/>
        <w:spacing w:before="200" w:after="80"/>
      </w:pPr>
      <w:r>
        <w:rPr>
          <w:rFonts w:ascii="Calibri" w:hAnsi="Calibri"/>
          <w:b/>
          <w:color w:val="1F2328"/>
          <w:sz w:val="24"/>
        </w:rPr>
        <w:t>4.6 Tariff, Monetary Accounting, and Financial Guard (USD 19.99 Budget)</w:t>
      </w:r>
    </w:p>
    <w:p>
      <w:r>
        <w:t>Live provider execution involves non-trivial API costs. In accordance with Protocol Decision D5, execution is governed by a financial and request-budget safeguard:</w:t>
      </w:r>
    </w:p>
    <w:p>
      <w:pPr>
        <w:pStyle w:val="ListBullet"/>
        <w:spacing w:after="40" w:line="276" w:lineRule="auto"/>
      </w:pPr>
      <w:r>
        <w:rPr>
          <w:b/>
        </w:rPr>
        <w:t>Tariff Structure:</w:t>
      </w:r>
      <w:r>
        <w:t xml:space="preserve"> Standard commercial pricing for </w:t>
      </w:r>
      <w:r>
        <w:rPr>
          <w:rFonts w:ascii="Consolas" w:hAnsi="Consolas"/>
          <w:color w:val="8A1F11"/>
          <w:sz w:val="19"/>
        </w:rPr>
        <w:t>gpt-5.6-luna</w:t>
      </w:r>
      <w:r>
        <w:t>:</w:t>
      </w:r>
    </w:p>
    <w:p>
      <w:pPr>
        <w:pStyle w:val="ListBullet"/>
        <w:spacing w:after="40" w:line="276" w:lineRule="auto"/>
      </w:pPr>
      <w:r>
        <w:t>Input Tokens: USD 0.20 per 1,000,000 input tokens (standard list; evaluated experimental rate: USD 0.150 per 1,000,000 input tokens; conservative modeling rate: USD 0.25 per 1,000,000 input tokens).</w:t>
      </w:r>
    </w:p>
    <w:p>
      <w:pPr>
        <w:pStyle w:val="ListBullet"/>
        <w:spacing w:after="40" w:line="276" w:lineRule="auto"/>
      </w:pPr>
      <w:r>
        <w:t>Output Tokens: USD 1.20 per 1,000,000 output tokens (standard list; evaluated experimental rate: USD 0.600 per 1,000,000 output tokens, inclusive of hidden reasoning tokens).</w:t>
      </w:r>
    </w:p>
    <w:p>
      <w:pPr>
        <w:pStyle w:val="ListBullet"/>
        <w:spacing w:after="40" w:line="276" w:lineRule="auto"/>
      </w:pPr>
      <w:r>
        <w:t>Prior Pilot Hold: An initial provisional hold of USD 0.05264010 is accounted for prior DEV exploratory dispatches against the USD 19.99 budget ceiling.</w:t>
      </w:r>
    </w:p>
    <w:p>
      <w:pPr>
        <w:pStyle w:val="ListBullet"/>
        <w:spacing w:after="40" w:line="276" w:lineRule="auto"/>
      </w:pPr>
      <w:r>
        <w:rPr>
          <w:b/>
        </w:rPr>
        <w:t>Worst-Case Attempt Cap:</w:t>
      </w:r>
    </w:p>
    <w:p>
      <w:pPr>
        <w:spacing w:before="120" w:after="120" w:line="276" w:lineRule="auto"/>
        <w:ind w:left="576" w:right="576"/>
        <w:shd w:fill="F8FAFC"/>
        <w:pBdr>
          <w:left w:val="single" w:sz="18" w:space="8" w:color="0969DA"/>
        </w:pBdr>
      </w:pPr>
      <w:r>
        <w:rPr>
          <w:rFonts w:ascii="Cambria Math" w:hAnsi="Cambria Math"/>
          <w:i/>
          <w:color w:val="0A2540"/>
          <w:sz w:val="21"/>
        </w:rPr>
        <w:t>Cap = N_views × N_conditions × (max_retries + 1) = 1,280 × 5 × 4 = 25,600 attempts</w:t>
      </w:r>
    </w:p>
    <w:p>
      <w:pPr>
        <w:pStyle w:val="ListBullet"/>
        <w:spacing w:after="40" w:line="276" w:lineRule="auto"/>
      </w:pPr>
      <w:r>
        <w:rPr>
          <w:b/>
        </w:rPr>
        <w:t>DEV Pilot Empirical Calibration (2026-10-01):</w:t>
      </w:r>
      <w:r>
        <w:t xml:space="preserve"> A real-provider calibration pilot across 20 requests (evaluating 4 synthetic DEV views across 5 experimental conditions, documented in </w:t>
      </w:r>
      <w:r>
        <w:rPr>
          <w:rFonts w:ascii="Consolas" w:hAnsi="Consolas"/>
          <w:color w:val="8A1F11"/>
          <w:sz w:val="19"/>
        </w:rPr>
        <w:t>reports/dev_cost_pilot_20261001.md</w:t>
      </w:r>
      <w:r>
        <w:t>) observed:</w:t>
      </w:r>
    </w:p>
    <w:p>
      <w:pPr>
        <w:pStyle w:val="ListBullet"/>
        <w:spacing w:after="40" w:line="276" w:lineRule="auto"/>
      </w:pPr>
      <w:r>
        <w:t>Input Tokens: 42,213; Output Tokens: 13,139 (mean output: 656.95 tokens/request; peak: 2,421 tokens).</w:t>
      </w:r>
    </w:p>
    <w:p>
      <w:pPr>
        <w:pStyle w:val="ListBullet"/>
        <w:spacing w:after="40" w:line="276" w:lineRule="auto"/>
      </w:pPr>
      <w:r>
        <w:t>Tariff Accounting Estimate: An estimated usage cost of USD 0.0242 across 20 successful requests (mean latency: 8.13s). Note: this figure represents an internal usage/tariff accounting estimate derived from token meters and public tariff rates, not a commercial invoice.</w:t>
      </w:r>
    </w:p>
    <w:p>
      <w:pPr>
        <w:pStyle w:val="ListBullet"/>
        <w:spacing w:after="40" w:line="276" w:lineRule="auto"/>
      </w:pPr>
      <w:r>
        <w:rPr>
          <w:b/>
        </w:rPr>
        <w:t>Canonical Projection and the USD 19.99 Hard Ceiling:</w:t>
      </w:r>
      <w:r>
        <w:t xml:space="preserve"> Offline tokenization of all 6,400 planned TEST prompts via </w:t>
      </w:r>
      <w:r>
        <w:rPr>
          <w:rFonts w:ascii="Consolas" w:hAnsi="Consolas"/>
          <w:color w:val="8A1F11"/>
          <w:sz w:val="19"/>
        </w:rPr>
        <w:t>o200k_base</w:t>
      </w:r>
      <w:r>
        <w:t xml:space="preserve"> projected 15,766,654 input tokens. At the observed pilot output mean, the projected cost is approximately </w:t>
      </w:r>
      <w:r>
        <w:rPr>
          <w:b/>
        </w:rPr>
        <w:t>USD 8.20</w:t>
      </w:r>
      <w:r>
        <w:t xml:space="preserve"> (or </w:t>
      </w:r>
      <w:r>
        <w:rPr>
          <w:b/>
        </w:rPr>
        <w:t>USD 8.99</w:t>
      </w:r>
      <w:r>
        <w:t xml:space="preserve"> under conservative input modeling rates). Crucially, these financial forecasts represent modeled projections rather than absolute commercial guarantees. A hard budget ceiling of </w:t>
      </w:r>
      <w:r>
        <w:rPr>
          <w:b/>
        </w:rPr>
        <w:t>USD 19.99</w:t>
      </w:r>
      <w:r>
        <w:t xml:space="preserve"> is strictly enforced by the execution runner, providing a </w:t>
      </w:r>
      <w:r>
        <w:rPr>
          <w:rFonts w:ascii="Cambria Math" w:hAnsi="Cambria Math"/>
          <w:i/>
        </w:rPr>
        <w:t>2.2×</w:t>
      </w:r>
      <w:r>
        <w:t xml:space="preserve"> safety margin before halting execution.</w:t>
      </w:r>
    </w:p>
    <w:p>
      <w:pPr>
        <w:spacing w:before="120" w:after="120"/>
        <w:pBdr>
          <w:bottom w:val="single" w:sz="6" w:space="1" w:color="D0D7DE"/>
        </w:pBdr>
      </w:pPr>
    </w:p>
    <w:p>
      <w:pPr>
        <w:pStyle w:val="Heading1"/>
        <w:spacing w:before="280" w:after="120"/>
      </w:pPr>
      <w:r>
        <w:rPr>
          <w:rFonts w:ascii="Georgia" w:hAnsi="Georgia"/>
          <w:b/>
          <w:color w:val="0A2540"/>
          <w:sz w:val="28"/>
        </w:rPr>
        <w:t>5. Evaluation Framework and Metrics</w:t>
      </w:r>
    </w:p>
    <w:p>
      <w:pPr>
        <w:pStyle w:val="Heading2"/>
        <w:spacing w:before="200" w:after="80"/>
      </w:pPr>
      <w:r>
        <w:rPr>
          <w:rFonts w:ascii="Calibri" w:hAnsi="Calibri"/>
          <w:b/>
          <w:color w:val="1F2328"/>
          <w:sz w:val="24"/>
        </w:rPr>
        <w:t>5.1 Ground-Truth Semantics: Multi-Label `ANY_MATCH`</w:t>
      </w:r>
    </w:p>
    <w:p>
      <w:r>
        <w:t xml:space="preserve">In accordance with Protocol Decision D2a, model attribution is evaluated using </w:t>
      </w:r>
      <w:r>
        <w:rPr>
          <w:rFonts w:ascii="Consolas" w:hAnsi="Consolas"/>
          <w:color w:val="8A1F11"/>
          <w:sz w:val="19"/>
        </w:rPr>
        <w:t>ANY_MATCH</w:t>
      </w:r>
      <w:r>
        <w:t xml:space="preserve"> semantics. An evaluation sample </w:t>
      </w:r>
      <w:r>
        <w:rPr>
          <w:rFonts w:ascii="Cambria Math" w:hAnsi="Cambria Math"/>
          <w:i/>
        </w:rPr>
        <w:t>i</w:t>
      </w:r>
      <w:r>
        <w:t xml:space="preserve"> with endpoint telemetry </w:t>
      </w:r>
      <w:r>
        <w:rPr>
          <w:rFonts w:ascii="Cambria Math" w:hAnsi="Cambria Math"/>
          <w:i/>
        </w:rPr>
        <w:t>x_i</w:t>
      </w:r>
      <w:r>
        <w:t xml:space="preserve"> has ground-truth annotation </w:t>
      </w:r>
      <w:r>
        <w:rPr>
          <w:rFonts w:ascii="Cambria Math" w:hAnsi="Cambria Math"/>
          <w:i/>
        </w:rPr>
        <w:t>Y_i ⊆ C</w:t>
      </w:r>
      <w:r>
        <w:t xml:space="preserve">, where </w:t>
      </w:r>
      <w:r>
        <w:rPr>
          <w:rFonts w:ascii="Cambria Math" w:hAnsi="Cambria Math"/>
          <w:i/>
        </w:rPr>
        <w:t>C</w:t>
      </w:r>
      <w:r>
        <w:t xml:space="preserve"> is the 474-technique universe. Given model prediction </w:t>
      </w:r>
      <w:r>
        <w:rPr>
          <w:rFonts w:ascii="Cambria Math" w:hAnsi="Cambria Math"/>
          <w:i/>
        </w:rPr>
        <w:t>ŷ_i ∈ C</w:t>
      </w:r>
      <w:r>
        <w:t>, the indicator function of correctness is:</w:t>
      </w:r>
    </w:p>
    <w:p>
      <w:pPr>
        <w:spacing w:before="120" w:after="120" w:line="276" w:lineRule="auto"/>
        <w:ind w:left="576" w:right="576"/>
        <w:shd w:fill="F8FAFC"/>
        <w:pBdr>
          <w:left w:val="single" w:sz="18" w:space="8" w:color="0969DA"/>
        </w:pBdr>
      </w:pPr>
      <w:r>
        <w:rPr>
          <w:rFonts w:ascii="Cambria Math" w:hAnsi="Cambria Math"/>
          <w:i/>
          <w:color w:val="0A2540"/>
          <w:sz w:val="21"/>
        </w:rPr>
        <w:t>I_correct(i) = 1 if ŷ_i ∈ Y_i, 0 otherwise</w:t>
      </w:r>
    </w:p>
    <w:p>
      <w:pPr>
        <w:pStyle w:val="Heading2"/>
        <w:spacing w:before="200" w:after="80"/>
      </w:pPr>
      <w:r>
        <w:rPr>
          <w:rFonts w:ascii="Calibri" w:hAnsi="Calibri"/>
          <w:b/>
          <w:color w:val="1F2328"/>
          <w:sz w:val="24"/>
        </w:rPr>
        <w:t>5.2 Headline End-to-End Accuracy vs. Valid Output Accuracy</w:t>
      </w:r>
    </w:p>
    <w:p>
      <w:r>
        <w:t>To prevent masking system fragility or parse errors, Protocol Decision D2f enforces dual accuracy reporting:</w:t>
      </w:r>
    </w:p>
    <w:p>
      <w:pPr>
        <w:pStyle w:val="ListBullet"/>
        <w:spacing w:after="40" w:line="276" w:lineRule="auto"/>
      </w:pPr>
      <w:r>
        <w:rPr>
          <w:b/>
        </w:rPr>
        <w:t>Headline End-to-End Accuracy (</w:t>
      </w:r>
      <w:r>
        <w:rPr>
          <w:rFonts w:ascii="Cambria Math" w:hAnsi="Cambria Math"/>
          <w:b/>
          <w:i/>
        </w:rPr>
        <w:t>Acc_e2e</w:t>
      </w:r>
      <w:r>
        <w:rPr>
          <w:b/>
        </w:rPr>
        <w:t>):</w:t>
      </w:r>
      <w:r>
        <w:t xml:space="preserve"> Computed over all scorable samples (</w:t>
      </w:r>
      <w:r>
        <w:rPr>
          <w:rFonts w:ascii="Cambria Math" w:hAnsi="Cambria Math"/>
          <w:i/>
        </w:rPr>
        <w:t>N_scorable = 718</w:t>
      </w:r>
      <w:r>
        <w:t xml:space="preserve"> in TEST), treating provider failures (timeouts, HTTP errors) and schema parse failures as incorrect:</w:t>
      </w:r>
    </w:p>
    <w:p>
      <w:pPr>
        <w:spacing w:before="120" w:after="120" w:line="276" w:lineRule="auto"/>
        <w:ind w:left="576" w:right="576"/>
        <w:shd w:fill="F8FAFC"/>
        <w:pBdr>
          <w:left w:val="single" w:sz="18" w:space="8" w:color="0969DA"/>
        </w:pBdr>
      </w:pPr>
      <w:r>
        <w:rPr>
          <w:rFonts w:ascii="Cambria Math" w:hAnsi="Cambria Math"/>
          <w:i/>
          <w:color w:val="0A2540"/>
          <w:sz w:val="21"/>
        </w:rPr>
        <w:t>Acc_e2e = (1) / (N_scorable) ∑_(i=1)^N_scorable I_correct(i)</w:t>
      </w:r>
    </w:p>
    <w:p>
      <w:pPr>
        <w:pStyle w:val="ListBullet"/>
        <w:spacing w:after="40" w:line="276" w:lineRule="auto"/>
      </w:pPr>
      <w:r>
        <w:rPr>
          <w:b/>
        </w:rPr>
        <w:t>Valid Output Accuracy (</w:t>
      </w:r>
      <w:r>
        <w:rPr>
          <w:rFonts w:ascii="Cambria Math" w:hAnsi="Cambria Math"/>
          <w:b/>
          <w:i/>
        </w:rPr>
        <w:t>Acc_valid</w:t>
      </w:r>
      <w:r>
        <w:rPr>
          <w:b/>
        </w:rPr>
        <w:t>):</w:t>
      </w:r>
      <w:r>
        <w:t xml:space="preserve"> Computed conditionally over completed, validly parsed responses (</w:t>
      </w:r>
      <w:r>
        <w:rPr>
          <w:rFonts w:ascii="Cambria Math" w:hAnsi="Cambria Math"/>
          <w:i/>
        </w:rPr>
        <w:t>N_valid</w:t>
      </w:r>
      <w:r>
        <w:t>):</w:t>
      </w:r>
    </w:p>
    <w:p>
      <w:pPr>
        <w:spacing w:before="120" w:after="120" w:line="276" w:lineRule="auto"/>
        <w:ind w:left="576" w:right="576"/>
        <w:shd w:fill="F8FAFC"/>
        <w:pBdr>
          <w:left w:val="single" w:sz="18" w:space="8" w:color="0969DA"/>
        </w:pBdr>
      </w:pPr>
      <w:r>
        <w:rPr>
          <w:rFonts w:ascii="Cambria Math" w:hAnsi="Cambria Math"/>
          <w:i/>
          <w:color w:val="0A2540"/>
          <w:sz w:val="21"/>
        </w:rPr>
        <w:t>Acc_valid = (1) / (N_valid) ∑_(i ∈ Valid) I_correct(i)</w:t>
      </w:r>
    </w:p>
    <w:p>
      <w:pPr>
        <w:pStyle w:val="Heading2"/>
        <w:spacing w:before="200" w:after="80"/>
      </w:pPr>
      <w:r>
        <w:rPr>
          <w:rFonts w:ascii="Calibri" w:hAnsi="Calibri"/>
          <w:b/>
          <w:color w:val="1F2328"/>
          <w:sz w:val="24"/>
        </w:rPr>
        <w:t>5.3 Macro-Averaged F1 Across the 474-Class Universe</w:t>
      </w:r>
    </w:p>
    <w:p>
      <w:r>
        <w:t xml:space="preserve">Per Protocol Decisions D2d and D2j, the macro-averaged F1 metric is evaluated over the fixed 474-technique benchmark universe </w:t>
      </w:r>
      <w:r>
        <w:rPr>
          <w:rFonts w:ascii="Cambria Math" w:hAnsi="Cambria Math"/>
          <w:i/>
        </w:rPr>
        <w:t>C</w:t>
      </w:r>
      <w:r>
        <w:t xml:space="preserve"> (</w:t>
      </w:r>
      <w:r>
        <w:rPr>
          <w:rFonts w:ascii="Cambria Math" w:hAnsi="Cambria Math"/>
          <w:i/>
        </w:rPr>
        <w:t>|C| = 474</w:t>
      </w:r>
      <w:r>
        <w:t>). Crucially, the denominator of the macro average remains strictly frozen at 474 across all conditions, regardless of the number of techniques observed in any individual test partition.</w:t>
      </w:r>
    </w:p>
    <w:p>
      <w:r>
        <w:t xml:space="preserve">The evaluation architecture distinguishes between </w:t>
      </w:r>
      <w:r>
        <w:rPr>
          <w:b/>
        </w:rPr>
        <w:t>per-technique diagnostic exports</w:t>
      </w:r>
      <w:r>
        <w:t xml:space="preserve"> (</w:t>
      </w:r>
      <w:r>
        <w:rPr>
          <w:rFonts w:ascii="Consolas" w:hAnsi="Consolas"/>
          <w:color w:val="8A1F11"/>
          <w:sz w:val="19"/>
        </w:rPr>
        <w:t>compute_technique_metrics</w:t>
      </w:r>
      <w:r>
        <w:t xml:space="preserve">) and </w:t>
      </w:r>
      <w:r>
        <w:rPr>
          <w:b/>
        </w:rPr>
        <w:t>condition-level scalar aggregation</w:t>
      </w:r>
      <w:r>
        <w:t xml:space="preserve"> (</w:t>
      </w:r>
      <w:r>
        <w:rPr>
          <w:rFonts w:ascii="Consolas" w:hAnsi="Consolas"/>
          <w:color w:val="8A1F11"/>
          <w:sz w:val="19"/>
        </w:rPr>
        <w:t>compute_condition_metrics</w:t>
      </w:r>
      <w:r>
        <w:t>):</w:t>
      </w:r>
    </w:p>
    <w:p>
      <w:pPr>
        <w:pStyle w:val="Heading3"/>
        <w:spacing w:before="160" w:after="40"/>
      </w:pPr>
      <w:r>
        <w:rPr>
          <w:rFonts w:ascii="Calibri" w:hAnsi="Calibri"/>
          <w:b/>
          <w:i/>
          <w:color w:val="333344"/>
          <w:sz w:val="22"/>
        </w:rPr>
        <w:t>1. Per-Class Confusion Components and Evaluator Accounting</w:t>
      </w:r>
    </w:p>
    <w:p>
      <w:r>
        <w:t xml:space="preserve">For each technique </w:t>
      </w:r>
      <w:r>
        <w:rPr>
          <w:rFonts w:ascii="Cambria Math" w:hAnsi="Cambria Math"/>
          <w:i/>
        </w:rPr>
        <w:t>c ∈ C</w:t>
      </w:r>
      <w:r>
        <w:t>, the evaluator tracks:</w:t>
      </w:r>
    </w:p>
    <w:p>
      <w:pPr>
        <w:pStyle w:val="ListBullet"/>
        <w:spacing w:after="40" w:line="276" w:lineRule="auto"/>
      </w:pPr>
      <w:r>
        <w:t>True Positives (</w:t>
      </w:r>
      <w:r>
        <w:rPr>
          <w:rFonts w:ascii="Cambria Math" w:hAnsi="Cambria Math"/>
          <w:i/>
        </w:rPr>
        <w:t>TP_c</w:t>
      </w:r>
      <w:r>
        <w:t xml:space="preserve">): Model predicted class </w:t>
      </w:r>
      <w:r>
        <w:rPr>
          <w:rFonts w:ascii="Cambria Math" w:hAnsi="Cambria Math"/>
          <w:i/>
        </w:rPr>
        <w:t>c</w:t>
      </w:r>
      <w:r>
        <w:t xml:space="preserve"> and </w:t>
      </w:r>
      <w:r>
        <w:rPr>
          <w:rFonts w:ascii="Cambria Math" w:hAnsi="Cambria Math"/>
          <w:i/>
        </w:rPr>
        <w:t>c ∈ Y_i</w:t>
      </w:r>
      <w:r>
        <w:t>.</w:t>
      </w:r>
    </w:p>
    <w:p>
      <w:pPr>
        <w:pStyle w:val="ListBullet"/>
        <w:spacing w:after="40" w:line="276" w:lineRule="auto"/>
      </w:pPr>
      <w:r>
        <w:t>False Positives (</w:t>
      </w:r>
      <w:r>
        <w:rPr>
          <w:rFonts w:ascii="Cambria Math" w:hAnsi="Cambria Math"/>
          <w:i/>
        </w:rPr>
        <w:t>FP_c</w:t>
      </w:r>
      <w:r>
        <w:t xml:space="preserve">): Model predicted class </w:t>
      </w:r>
      <w:r>
        <w:rPr>
          <w:rFonts w:ascii="Cambria Math" w:hAnsi="Cambria Math"/>
          <w:i/>
        </w:rPr>
        <w:t>c</w:t>
      </w:r>
      <w:r>
        <w:t xml:space="preserve"> but </w:t>
      </w:r>
      <w:r>
        <w:rPr>
          <w:rFonts w:ascii="Cambria Math" w:hAnsi="Cambria Math"/>
          <w:i/>
        </w:rPr>
        <w:t>c ∉ Y_i</w:t>
      </w:r>
      <w:r>
        <w:t>.</w:t>
      </w:r>
    </w:p>
    <w:p>
      <w:pPr>
        <w:pStyle w:val="ListBullet"/>
        <w:spacing w:after="40" w:line="276" w:lineRule="auto"/>
      </w:pPr>
      <w:r>
        <w:t>False Negatives (</w:t>
      </w:r>
      <w:r>
        <w:rPr>
          <w:rFonts w:ascii="Cambria Math" w:hAnsi="Cambria Math"/>
          <w:i/>
        </w:rPr>
        <w:t>FN_c</w:t>
      </w:r>
      <w:r>
        <w:t xml:space="preserve">): Model predicted a class other than </w:t>
      </w:r>
      <w:r>
        <w:rPr>
          <w:rFonts w:ascii="Cambria Math" w:hAnsi="Cambria Math"/>
          <w:i/>
        </w:rPr>
        <w:t>c</w:t>
      </w:r>
      <w:r>
        <w:t xml:space="preserve">, but </w:t>
      </w:r>
      <w:r>
        <w:rPr>
          <w:rFonts w:ascii="Cambria Math" w:hAnsi="Cambria Math"/>
          <w:i/>
        </w:rPr>
        <w:t>c ∈ Y_i</w:t>
      </w:r>
      <w:r>
        <w:t>.</w:t>
      </w:r>
    </w:p>
    <w:p>
      <w:pPr>
        <w:pStyle w:val="ListBullet"/>
        <w:spacing w:after="40" w:line="276" w:lineRule="auto"/>
      </w:pPr>
      <w:r>
        <w:t xml:space="preserve">Ground-truth support: </w:t>
      </w:r>
      <w:r>
        <w:rPr>
          <w:rFonts w:ascii="Cambria Math" w:hAnsi="Cambria Math"/>
          <w:i/>
        </w:rPr>
        <w:t>support_c = TP_c + FN_c</w:t>
      </w:r>
      <w:r>
        <w:t>.</w:t>
      </w:r>
    </w:p>
    <w:p>
      <w:pPr>
        <w:pStyle w:val="ListBullet"/>
        <w:spacing w:after="40" w:line="276" w:lineRule="auto"/>
      </w:pPr>
      <w:r>
        <w:t xml:space="preserve">Emitted predictions: </w:t>
      </w:r>
      <w:r>
        <w:rPr>
          <w:rFonts w:ascii="Cambria Math" w:hAnsi="Cambria Math"/>
          <w:i/>
        </w:rPr>
        <w:t>pred_c = TP_c + FP_c</w:t>
      </w:r>
      <w:r>
        <w:t>.</w:t>
      </w:r>
    </w:p>
    <w:p>
      <w:pPr>
        <w:pStyle w:val="Heading3"/>
        <w:spacing w:before="160" w:after="40"/>
      </w:pPr>
      <w:r>
        <w:rPr>
          <w:rFonts w:ascii="Calibri" w:hAnsi="Calibri"/>
          <w:b/>
          <w:i/>
          <w:color w:val="333344"/>
          <w:sz w:val="22"/>
        </w:rPr>
        <w:t>2. Per-Technique Metric Export and D2j `NULL` Convention (`compute_technique_metrics`)</w:t>
      </w:r>
    </w:p>
    <w:p>
      <w:r>
        <w:t>In the exported per-technique diagnostic artifact (</w:t>
      </w:r>
      <w:r>
        <w:rPr>
          <w:rFonts w:ascii="Consolas" w:hAnsi="Consolas"/>
          <w:color w:val="8A1F11"/>
          <w:sz w:val="19"/>
        </w:rPr>
        <w:t>by_condition[condition][tid]</w:t>
      </w:r>
      <w:r>
        <w:t xml:space="preserve">), every technique in the universe reports </w:t>
      </w:r>
      <w:r>
        <w:rPr>
          <w:rFonts w:ascii="Consolas" w:hAnsi="Consolas"/>
          <w:color w:val="8A1F11"/>
          <w:sz w:val="19"/>
        </w:rPr>
        <w:t>tp</w:t>
      </w:r>
      <w:r>
        <w:t xml:space="preserve">, </w:t>
      </w:r>
      <w:r>
        <w:rPr>
          <w:rFonts w:ascii="Consolas" w:hAnsi="Consolas"/>
          <w:color w:val="8A1F11"/>
          <w:sz w:val="19"/>
        </w:rPr>
        <w:t>fp</w:t>
      </w:r>
      <w:r>
        <w:t xml:space="preserve">, </w:t>
      </w:r>
      <w:r>
        <w:rPr>
          <w:rFonts w:ascii="Consolas" w:hAnsi="Consolas"/>
          <w:color w:val="8A1F11"/>
          <w:sz w:val="19"/>
        </w:rPr>
        <w:t>fn</w:t>
      </w:r>
      <w:r>
        <w:t xml:space="preserve">, </w:t>
      </w:r>
      <w:r>
        <w:rPr>
          <w:rFonts w:ascii="Consolas" w:hAnsi="Consolas"/>
          <w:color w:val="8A1F11"/>
          <w:sz w:val="19"/>
        </w:rPr>
        <w:t>support</w:t>
      </w:r>
      <w:r>
        <w:t xml:space="preserve">, </w:t>
      </w:r>
      <w:r>
        <w:rPr>
          <w:rFonts w:ascii="Consolas" w:hAnsi="Consolas"/>
          <w:color w:val="8A1F11"/>
          <w:sz w:val="19"/>
        </w:rPr>
        <w:t>precision</w:t>
      </w:r>
      <w:r>
        <w:t xml:space="preserve">, </w:t>
      </w:r>
      <w:r>
        <w:rPr>
          <w:rFonts w:ascii="Consolas" w:hAnsi="Consolas"/>
          <w:color w:val="8A1F11"/>
          <w:sz w:val="19"/>
        </w:rPr>
        <w:t>recall</w:t>
      </w:r>
      <w:r>
        <w:t xml:space="preserve">, and </w:t>
      </w:r>
      <w:r>
        <w:rPr>
          <w:rFonts w:ascii="Consolas" w:hAnsi="Consolas"/>
          <w:color w:val="8A1F11"/>
          <w:sz w:val="19"/>
        </w:rPr>
        <w:t>f1</w:t>
      </w:r>
      <w:r>
        <w:t>. In strict compliance with Protocol Decision D2j (</w:t>
      </w:r>
      <w:r>
        <w:rPr>
          <w:rFonts w:ascii="Consolas" w:hAnsi="Consolas"/>
          <w:color w:val="8A1F11"/>
          <w:sz w:val="19"/>
        </w:rPr>
        <w:t>d2j_zero_denominator == "NULL"</w:t>
      </w:r>
      <w:r>
        <w:t xml:space="preserve">), zero-denominator fractions evaluate strictly to </w:t>
      </w:r>
      <w:r>
        <w:rPr>
          <w:rFonts w:ascii="Consolas" w:hAnsi="Consolas"/>
          <w:color w:val="8A1F11"/>
          <w:sz w:val="19"/>
        </w:rPr>
        <w:t>None</w:t>
      </w:r>
      <w:r>
        <w:t xml:space="preserve"> (serialized as JSON </w:t>
      </w:r>
      <w:r>
        <w:rPr>
          <w:rFonts w:ascii="Consolas" w:hAnsi="Consolas"/>
          <w:color w:val="8A1F11"/>
          <w:sz w:val="19"/>
        </w:rPr>
        <w:t>null</w:t>
      </w:r>
      <w:r>
        <w:t>), preserving topological distinction across three critical boundary cases:</w:t>
      </w:r>
    </w:p>
    <w:p>
      <w:pPr>
        <w:pStyle w:val="ListBullet"/>
        <w:spacing w:after="40" w:line="276" w:lineRule="auto"/>
      </w:pPr>
      <w:r>
        <w:rPr>
          <w:b/>
        </w:rPr>
        <w:t xml:space="preserve">Case A (Unobserved Class: </w:t>
      </w:r>
      <w:r>
        <w:rPr>
          <w:rFonts w:ascii="Cambria Math" w:hAnsi="Cambria Math"/>
          <w:b/>
          <w:i/>
        </w:rPr>
        <w:t>support_c = 0 ∧ pred_c = 0</w:t>
      </w:r>
      <w:r>
        <w:rPr>
          <w:b/>
        </w:rPr>
        <w:t>):</w:t>
      </w:r>
    </w:p>
    <w:p>
      <w:r>
        <w:rPr>
          <w:rFonts w:ascii="Cambria Math" w:hAnsi="Cambria Math"/>
          <w:i/>
        </w:rPr>
        <w:t>TP_c = 0, FP_c = 0, FN_c = 0</w:t>
      </w:r>
      <w:r>
        <w:t>. Both precision denominator (</w:t>
      </w:r>
      <w:r>
        <w:rPr>
          <w:rFonts w:ascii="Cambria Math" w:hAnsi="Cambria Math"/>
          <w:i/>
        </w:rPr>
        <w:t>TP+FP=0</w:t>
      </w:r>
      <w:r>
        <w:t>) and recall denominator (</w:t>
      </w:r>
      <w:r>
        <w:rPr>
          <w:rFonts w:ascii="Cambria Math" w:hAnsi="Cambria Math"/>
          <w:i/>
        </w:rPr>
        <w:t>TP+FN=0</w:t>
      </w:r>
      <w:r>
        <w:t>) are zero; F1 denominator (</w:t>
      </w:r>
      <w:r>
        <w:rPr>
          <w:rFonts w:ascii="Cambria Math" w:hAnsi="Cambria Math"/>
          <w:i/>
        </w:rPr>
        <w:t>2TP+FP+FN=0</w:t>
      </w:r>
      <w:r>
        <w:t>) is zero.</w:t>
      </w:r>
    </w:p>
    <w:p>
      <w:pPr>
        <w:pStyle w:val="ListBullet"/>
        <w:spacing w:after="40" w:line="276" w:lineRule="auto"/>
      </w:pPr>
      <w:r>
        <w:t xml:space="preserve">Exported fields: </w:t>
      </w:r>
      <w:r>
        <w:rPr>
          <w:rFonts w:ascii="Consolas" w:hAnsi="Consolas"/>
          <w:color w:val="8A1F11"/>
          <w:sz w:val="19"/>
        </w:rPr>
        <w:t>precision = None</w:t>
      </w:r>
      <w:r>
        <w:t xml:space="preserve">, </w:t>
      </w:r>
      <w:r>
        <w:rPr>
          <w:rFonts w:ascii="Consolas" w:hAnsi="Consolas"/>
          <w:color w:val="8A1F11"/>
          <w:sz w:val="19"/>
        </w:rPr>
        <w:t>recall = None</w:t>
      </w:r>
      <w:r>
        <w:t xml:space="preserve">, </w:t>
      </w:r>
      <w:r>
        <w:rPr>
          <w:rFonts w:ascii="Consolas" w:hAnsi="Consolas"/>
          <w:color w:val="8A1F11"/>
          <w:sz w:val="19"/>
        </w:rPr>
        <w:t>f1 = None</w:t>
      </w:r>
      <w:r>
        <w:t xml:space="preserve"> (serialized as </w:t>
      </w:r>
      <w:r>
        <w:rPr>
          <w:rFonts w:ascii="Consolas" w:hAnsi="Consolas"/>
          <w:color w:val="8A1F11"/>
          <w:sz w:val="19"/>
        </w:rPr>
        <w:t>null</w:t>
      </w:r>
      <w:r>
        <w:t>).</w:t>
      </w:r>
    </w:p>
    <w:p>
      <w:pPr>
        <w:pStyle w:val="ListBullet"/>
        <w:spacing w:after="40" w:line="276" w:lineRule="auto"/>
      </w:pPr>
      <w:r>
        <w:rPr>
          <w:i/>
        </w:rPr>
        <w:t>Known-Answer Verification Example:</w:t>
      </w:r>
      <w:r>
        <w:t xml:space="preserve"> A technique in the 474 universe (e.g., </w:t>
      </w:r>
      <w:r>
        <w:rPr>
          <w:rFonts w:ascii="Consolas" w:hAnsi="Consolas"/>
          <w:color w:val="8A1F11"/>
          <w:sz w:val="19"/>
        </w:rPr>
        <w:t>T1000</w:t>
      </w:r>
      <w:r>
        <w:t>) never appearing in ground truth and never emitted by the model produces:</w:t>
      </w:r>
    </w:p>
    <w:p>
      <w:r>
        <w:rPr>
          <w:rFonts w:ascii="Consolas" w:hAnsi="Consolas"/>
          <w:color w:val="8A1F11"/>
          <w:sz w:val="19"/>
        </w:rPr>
        <w:t>{"tp": 0, "fp": 0, "fn": 0, "support": 0, "precision": null, "recall": null, "f1": null}</w:t>
      </w:r>
      <w:r>
        <w:t>.</w:t>
      </w:r>
    </w:p>
    <w:p>
      <w:pPr>
        <w:pStyle w:val="ListBullet"/>
        <w:spacing w:after="40" w:line="276" w:lineRule="auto"/>
      </w:pPr>
      <w:r>
        <w:rPr>
          <w:b/>
        </w:rPr>
        <w:t xml:space="preserve">Case B (Unpredicted Class: </w:t>
      </w:r>
      <w:r>
        <w:rPr>
          <w:rFonts w:ascii="Cambria Math" w:hAnsi="Cambria Math"/>
          <w:b/>
          <w:i/>
        </w:rPr>
        <w:t>support_c &gt; 0 ∧ pred_c = 0</w:t>
      </w:r>
      <w:r>
        <w:rPr>
          <w:b/>
        </w:rPr>
        <w:t>):</w:t>
      </w:r>
    </w:p>
    <w:p>
      <w:r>
        <w:rPr>
          <w:rFonts w:ascii="Cambria Math" w:hAnsi="Cambria Math"/>
          <w:i/>
        </w:rPr>
        <w:t>TP_c = 0, FP_c = 0, FN_c = support_c &gt; 0</w:t>
      </w:r>
      <w:r>
        <w:t>. Precision denominator (</w:t>
      </w:r>
      <w:r>
        <w:rPr>
          <w:rFonts w:ascii="Cambria Math" w:hAnsi="Cambria Math"/>
          <w:i/>
        </w:rPr>
        <w:t>TP+FP=0</w:t>
      </w:r>
      <w:r>
        <w:t xml:space="preserve">) is zero; recall denominator is </w:t>
      </w:r>
      <w:r>
        <w:rPr>
          <w:rFonts w:ascii="Cambria Math" w:hAnsi="Cambria Math"/>
          <w:i/>
        </w:rPr>
        <w:t>support_c &gt; 0</w:t>
      </w:r>
      <w:r>
        <w:t xml:space="preserve">; F1 denominator is </w:t>
      </w:r>
      <w:r>
        <w:rPr>
          <w:rFonts w:ascii="Cambria Math" w:hAnsi="Cambria Math"/>
          <w:i/>
        </w:rPr>
        <w:t>FN_c &gt; 0</w:t>
      </w:r>
      <w:r>
        <w:t>.</w:t>
      </w:r>
    </w:p>
    <w:p>
      <w:pPr>
        <w:pStyle w:val="ListBullet"/>
        <w:spacing w:after="40" w:line="276" w:lineRule="auto"/>
      </w:pPr>
      <w:r>
        <w:t xml:space="preserve">Exported fields: </w:t>
      </w:r>
      <w:r>
        <w:rPr>
          <w:rFonts w:ascii="Consolas" w:hAnsi="Consolas"/>
          <w:color w:val="8A1F11"/>
          <w:sz w:val="19"/>
        </w:rPr>
        <w:t>precision = None</w:t>
      </w:r>
      <w:r>
        <w:t xml:space="preserve"> (</w:t>
      </w:r>
      <w:r>
        <w:rPr>
          <w:rFonts w:ascii="Consolas" w:hAnsi="Consolas"/>
          <w:color w:val="8A1F11"/>
          <w:sz w:val="19"/>
        </w:rPr>
        <w:t>null</w:t>
      </w:r>
      <w:r>
        <w:t xml:space="preserve">), </w:t>
      </w:r>
      <w:r>
        <w:rPr>
          <w:rFonts w:ascii="Consolas" w:hAnsi="Consolas"/>
          <w:color w:val="8A1F11"/>
          <w:sz w:val="19"/>
        </w:rPr>
        <w:t>recall = 0.0</w:t>
      </w:r>
      <w:r>
        <w:t xml:space="preserve">, </w:t>
      </w:r>
      <w:r>
        <w:rPr>
          <w:rFonts w:ascii="Consolas" w:hAnsi="Consolas"/>
          <w:color w:val="8A1F11"/>
          <w:sz w:val="19"/>
        </w:rPr>
        <w:t>f1 = 0.0</w:t>
      </w:r>
      <w:r>
        <w:t>.</w:t>
      </w:r>
    </w:p>
    <w:p>
      <w:pPr>
        <w:pStyle w:val="ListBullet"/>
        <w:spacing w:after="40" w:line="276" w:lineRule="auto"/>
      </w:pPr>
      <w:r>
        <w:rPr>
          <w:i/>
        </w:rPr>
        <w:t>Known-Answer Verification Example:</w:t>
      </w:r>
      <w:r>
        <w:t xml:space="preserve"> A technique present in ground truth (e.g., </w:t>
      </w:r>
      <w:r>
        <w:rPr>
          <w:rFonts w:ascii="Consolas" w:hAnsi="Consolas"/>
          <w:color w:val="8A1F11"/>
          <w:sz w:val="19"/>
        </w:rPr>
        <w:t>T1001</w:t>
      </w:r>
      <w:r>
        <w:t>, support = 1) that the model completely fails to predict produces:</w:t>
      </w:r>
    </w:p>
    <w:p>
      <w:r>
        <w:rPr>
          <w:rFonts w:ascii="Consolas" w:hAnsi="Consolas"/>
          <w:color w:val="8A1F11"/>
          <w:sz w:val="19"/>
        </w:rPr>
        <w:t>{"tp": 0, "fp": 0, "fn": 1, "support": 1, "precision": null, "recall": 0.0, "f1": 0.0}</w:t>
      </w:r>
      <w:r>
        <w:t>.</w:t>
      </w:r>
    </w:p>
    <w:p>
      <w:pPr>
        <w:pStyle w:val="ListBullet"/>
        <w:spacing w:after="40" w:line="276" w:lineRule="auto"/>
      </w:pPr>
      <w:r>
        <w:rPr>
          <w:b/>
        </w:rPr>
        <w:t xml:space="preserve">Case C (Unobserved False Positive / Hallucinated Class: </w:t>
      </w:r>
      <w:r>
        <w:rPr>
          <w:rFonts w:ascii="Cambria Math" w:hAnsi="Cambria Math"/>
          <w:b/>
          <w:i/>
        </w:rPr>
        <w:t>support_c = 0 ∧ pred_c &gt; 0</w:t>
      </w:r>
      <w:r>
        <w:rPr>
          <w:b/>
        </w:rPr>
        <w:t>):</w:t>
      </w:r>
    </w:p>
    <w:p>
      <w:r>
        <w:rPr>
          <w:rFonts w:ascii="Cambria Math" w:hAnsi="Cambria Math"/>
          <w:i/>
        </w:rPr>
        <w:t>TP_c = 0, FP_c = pred_c &gt; 0, FN_c = 0</w:t>
      </w:r>
      <w:r>
        <w:t xml:space="preserve">. Precision denominator is </w:t>
      </w:r>
      <w:r>
        <w:rPr>
          <w:rFonts w:ascii="Cambria Math" w:hAnsi="Cambria Math"/>
          <w:i/>
        </w:rPr>
        <w:t>FP_c &gt; 0</w:t>
      </w:r>
      <w:r>
        <w:t>; recall denominator (</w:t>
      </w:r>
      <w:r>
        <w:rPr>
          <w:rFonts w:ascii="Cambria Math" w:hAnsi="Cambria Math"/>
          <w:i/>
        </w:rPr>
        <w:t>TP+FN=0</w:t>
      </w:r>
      <w:r>
        <w:t xml:space="preserve">) is zero; F1 denominator is </w:t>
      </w:r>
      <w:r>
        <w:rPr>
          <w:rFonts w:ascii="Cambria Math" w:hAnsi="Cambria Math"/>
          <w:i/>
        </w:rPr>
        <w:t>FP_c &gt; 0</w:t>
      </w:r>
      <w:r>
        <w:t>.</w:t>
      </w:r>
    </w:p>
    <w:p>
      <w:pPr>
        <w:pStyle w:val="ListBullet"/>
        <w:spacing w:after="40" w:line="276" w:lineRule="auto"/>
      </w:pPr>
      <w:r>
        <w:t xml:space="preserve">Exported fields: </w:t>
      </w:r>
      <w:r>
        <w:rPr>
          <w:rFonts w:ascii="Consolas" w:hAnsi="Consolas"/>
          <w:color w:val="8A1F11"/>
          <w:sz w:val="19"/>
        </w:rPr>
        <w:t>precision = 0.0</w:t>
      </w:r>
      <w:r>
        <w:t xml:space="preserve">, </w:t>
      </w:r>
      <w:r>
        <w:rPr>
          <w:rFonts w:ascii="Consolas" w:hAnsi="Consolas"/>
          <w:color w:val="8A1F11"/>
          <w:sz w:val="19"/>
        </w:rPr>
        <w:t>recall = None</w:t>
      </w:r>
      <w:r>
        <w:t xml:space="preserve"> (</w:t>
      </w:r>
      <w:r>
        <w:rPr>
          <w:rFonts w:ascii="Consolas" w:hAnsi="Consolas"/>
          <w:color w:val="8A1F11"/>
          <w:sz w:val="19"/>
        </w:rPr>
        <w:t>null</w:t>
      </w:r>
      <w:r>
        <w:t xml:space="preserve">), </w:t>
      </w:r>
      <w:r>
        <w:rPr>
          <w:rFonts w:ascii="Consolas" w:hAnsi="Consolas"/>
          <w:color w:val="8A1F11"/>
          <w:sz w:val="19"/>
        </w:rPr>
        <w:t>f1 = 0.0</w:t>
      </w:r>
      <w:r>
        <w:t>.</w:t>
      </w:r>
    </w:p>
    <w:p>
      <w:pPr>
        <w:pStyle w:val="ListBullet"/>
        <w:spacing w:after="40" w:line="276" w:lineRule="auto"/>
      </w:pPr>
      <w:r>
        <w:rPr>
          <w:i/>
        </w:rPr>
        <w:t>Known-Answer Verification Example:</w:t>
      </w:r>
      <w:r>
        <w:t xml:space="preserve"> A technique absent from ground truth (e.g., </w:t>
      </w:r>
      <w:r>
        <w:rPr>
          <w:rFonts w:ascii="Consolas" w:hAnsi="Consolas"/>
          <w:color w:val="8A1F11"/>
          <w:sz w:val="19"/>
        </w:rPr>
        <w:t>T1002</w:t>
      </w:r>
      <w:r>
        <w:t>, support = 0) hallucinated by the model 1 time produces:</w:t>
      </w:r>
    </w:p>
    <w:p>
      <w:r>
        <w:rPr>
          <w:rFonts w:ascii="Consolas" w:hAnsi="Consolas"/>
          <w:color w:val="8A1F11"/>
          <w:sz w:val="19"/>
        </w:rPr>
        <w:t>{"tp": 0, "fp": 1, "fn": 0, "support": 0, "precision": 0.0, "recall": null, "f1": 0.0}</w:t>
      </w:r>
      <w:r>
        <w:t>.</w:t>
      </w:r>
    </w:p>
    <w:p>
      <w:pPr>
        <w:pStyle w:val="Heading3"/>
        <w:spacing w:before="160" w:after="40"/>
      </w:pPr>
      <w:r>
        <w:rPr>
          <w:rFonts w:ascii="Calibri" w:hAnsi="Calibri"/>
          <w:b/>
          <w:i/>
          <w:color w:val="333344"/>
          <w:sz w:val="22"/>
        </w:rPr>
        <w:t>3. Condition-Level Macro-F1 Aggregation (`compute_condition_metrics`)</w:t>
      </w:r>
    </w:p>
    <w:p>
      <w:r>
        <w:t xml:space="preserve">To produce the headline </w:t>
      </w:r>
      <w:r>
        <w:rPr>
          <w:rFonts w:ascii="Cambria Math" w:hAnsi="Cambria Math"/>
          <w:i/>
        </w:rPr>
        <w:t>Macro-F1</w:t>
      </w:r>
      <w:r>
        <w:t xml:space="preserve"> scalar across the entire fixed 474-technique universe without undefined arithmetic, condition-level aggregation enforces the following summation rules:</w:t>
      </w:r>
    </w:p>
    <w:p>
      <w:pPr>
        <w:pStyle w:val="ListBullet"/>
        <w:spacing w:after="40" w:line="276" w:lineRule="auto"/>
      </w:pPr>
      <w:r>
        <w:t>Unobserved classes (</w:t>
      </w:r>
      <w:r>
        <w:rPr>
          <w:rFonts w:ascii="Cambria Math" w:hAnsi="Cambria Math"/>
          <w:i/>
        </w:rPr>
        <w:t>support_c = 0 ∧ pred_c = 0</w:t>
      </w:r>
      <w:r>
        <w:t xml:space="preserve">, Case A) contribute exactly </w:t>
      </w:r>
      <w:r>
        <w:rPr>
          <w:rFonts w:ascii="Cambria Math" w:hAnsi="Cambria Math"/>
          <w:i/>
        </w:rPr>
        <w:t>0.0</w:t>
      </w:r>
      <w:r>
        <w:t xml:space="preserve"> to the numerator sum (</w:t>
      </w:r>
      <w:r>
        <w:rPr>
          <w:rFonts w:ascii="Consolas" w:hAnsi="Consolas"/>
          <w:color w:val="8A1F11"/>
          <w:sz w:val="19"/>
        </w:rPr>
        <w:t>f1_sum += 0.0</w:t>
      </w:r>
      <w:r>
        <w:t>).</w:t>
      </w:r>
    </w:p>
    <w:p>
      <w:pPr>
        <w:pStyle w:val="ListBullet"/>
        <w:spacing w:after="40" w:line="276" w:lineRule="auto"/>
      </w:pPr>
      <w:r>
        <w:t xml:space="preserve">Unpredicted classes (Case B) and unobserved false positives (Case C) contribute their computed harmonic mean of </w:t>
      </w:r>
      <w:r>
        <w:rPr>
          <w:rFonts w:ascii="Cambria Math" w:hAnsi="Cambria Math"/>
          <w:i/>
        </w:rPr>
        <w:t>0.0</w:t>
      </w:r>
      <w:r>
        <w:t xml:space="preserve"> (</w:t>
      </w:r>
      <w:r>
        <w:rPr>
          <w:rFonts w:ascii="Consolas" w:hAnsi="Consolas"/>
          <w:color w:val="8A1F11"/>
          <w:sz w:val="19"/>
        </w:rPr>
        <w:t>f1_sum += 0.0</w:t>
      </w:r>
      <w:r>
        <w:t>).</w:t>
      </w:r>
    </w:p>
    <w:p>
      <w:pPr>
        <w:pStyle w:val="ListBullet"/>
        <w:spacing w:after="40" w:line="276" w:lineRule="auto"/>
      </w:pPr>
      <w:r>
        <w:t>Observed classes with true positives (</w:t>
      </w:r>
      <w:r>
        <w:rPr>
          <w:rFonts w:ascii="Cambria Math" w:hAnsi="Cambria Math"/>
          <w:i/>
        </w:rPr>
        <w:t>TP_c &gt; 0</w:t>
      </w:r>
      <w:r>
        <w:t>) compute:</w:t>
      </w:r>
    </w:p>
    <w:p>
      <w:pPr>
        <w:spacing w:before="120" w:after="120" w:line="276" w:lineRule="auto"/>
        <w:ind w:left="576" w:right="576"/>
        <w:shd w:fill="F8FAFC"/>
        <w:pBdr>
          <w:left w:val="single" w:sz="18" w:space="8" w:color="0969DA"/>
        </w:pBdr>
      </w:pPr>
      <w:r>
        <w:rPr>
          <w:rFonts w:ascii="Cambria Math" w:hAnsi="Cambria Math"/>
          <w:i/>
          <w:color w:val="0A2540"/>
          <w:sz w:val="21"/>
        </w:rPr>
        <w:t>P_c = (TP_c) / (TP_c + FP_c), R_c = (TP_c) / (TP_c + FN_c), F1_c = (2 · P_c · R_c) / (P_c + R_c)</w:t>
      </w:r>
    </w:p>
    <w:p>
      <w:pPr>
        <w:pStyle w:val="ListBullet"/>
        <w:spacing w:after="40" w:line="276" w:lineRule="auto"/>
      </w:pPr>
      <w:r>
        <w:t>The total sum is divided by the frozen universe size 474:</w:t>
      </w:r>
    </w:p>
    <w:p>
      <w:pPr>
        <w:spacing w:before="120" w:after="120" w:line="276" w:lineRule="auto"/>
        <w:ind w:left="576" w:right="576"/>
        <w:shd w:fill="F8FAFC"/>
        <w:pBdr>
          <w:left w:val="single" w:sz="18" w:space="8" w:color="0969DA"/>
        </w:pBdr>
      </w:pPr>
      <w:r>
        <w:rPr>
          <w:rFonts w:ascii="Cambria Math" w:hAnsi="Cambria Math"/>
          <w:i/>
          <w:color w:val="0A2540"/>
          <w:sz w:val="21"/>
        </w:rPr>
        <w:t>Macro-F1 = (1) / (474) ∑_(c ∈ C) F1_c</w:t>
      </w:r>
    </w:p>
    <w:p>
      <w:r>
        <w:rPr>
          <w:i/>
        </w:rPr>
        <w:t>Evaluator Property:</w:t>
      </w:r>
      <w:r>
        <w:t xml:space="preserve"> The condition evaluator (</w:t>
      </w:r>
      <w:r>
        <w:rPr>
          <w:rFonts w:ascii="Consolas" w:hAnsi="Consolas"/>
          <w:color w:val="8A1F11"/>
          <w:sz w:val="19"/>
        </w:rPr>
        <w:t>compute_condition_metrics</w:t>
      </w:r>
      <w:r>
        <w:t xml:space="preserve">) exports </w:t>
      </w:r>
      <w:r>
        <w:rPr>
          <w:rFonts w:ascii="Consolas" w:hAnsi="Consolas"/>
          <w:color w:val="8A1F11"/>
          <w:sz w:val="19"/>
        </w:rPr>
        <w:t>macro_f1</w:t>
      </w:r>
      <w:r>
        <w:t>. It intentionally omits aggregate macro precision and macro recall scalars, preventing mathematical ambiguity over unobserved class denominators and ensuring metric stability.</w:t>
      </w:r>
    </w:p>
    <w:p>
      <w:pPr>
        <w:pStyle w:val="Heading2"/>
        <w:spacing w:before="200" w:after="80"/>
      </w:pPr>
      <w:r>
        <w:rPr>
          <w:rFonts w:ascii="Calibri" w:hAnsi="Calibri"/>
          <w:b/>
          <w:color w:val="1F2328"/>
          <w:sz w:val="24"/>
        </w:rPr>
        <w:t>5.4 Decoupled Independent-Axes Failure Decomposition</w:t>
      </w:r>
    </w:p>
    <w:p>
      <w:r>
        <w:t>Protocol Decision D2i defines five independent, non-mutually-exclusive diagnostic failure axes:</w:t>
      </w:r>
    </w:p>
    <w:p>
      <w:pPr>
        <w:spacing w:after="40" w:line="276" w:lineRule="auto"/>
        <w:ind w:left="432" w:hanging="288"/>
      </w:pPr>
      <w:r>
        <w:rPr>
          <w:rFonts w:ascii="Calibri" w:hAnsi="Calibri"/>
          <w:b/>
          <w:color w:val="24292F"/>
        </w:rPr>
        <w:t xml:space="preserve">1. </w:t>
      </w:r>
      <w:r>
        <w:rPr>
          <w:rFonts w:ascii="Consolas" w:hAnsi="Consolas"/>
          <w:color w:val="8A1F11"/>
          <w:sz w:val="19"/>
        </w:rPr>
        <w:t>retrieval_miss</w:t>
      </w:r>
      <w:r>
        <w:t xml:space="preserve">: RAG condition where </w:t>
      </w:r>
      <w:r>
        <w:rPr>
          <w:rFonts w:ascii="Cambria Math" w:hAnsi="Cambria Math"/>
          <w:i/>
        </w:rPr>
        <w:t>Y_i ∩ Top-k = ∅</w:t>
      </w:r>
      <w:r>
        <w:t>.</w:t>
      </w:r>
    </w:p>
    <w:p>
      <w:pPr>
        <w:spacing w:after="40" w:line="276" w:lineRule="auto"/>
        <w:ind w:left="432" w:hanging="288"/>
      </w:pPr>
      <w:r>
        <w:rPr>
          <w:rFonts w:ascii="Calibri" w:hAnsi="Calibri"/>
          <w:b/>
          <w:color w:val="24292F"/>
        </w:rPr>
        <w:t xml:space="preserve">2. </w:t>
      </w:r>
      <w:r>
        <w:rPr>
          <w:rFonts w:ascii="Consolas" w:hAnsi="Consolas"/>
          <w:color w:val="8A1F11"/>
          <w:sz w:val="19"/>
        </w:rPr>
        <w:t>provider_failure</w:t>
      </w:r>
      <w:r>
        <w:t>: Network timeout, HTTP status error, rate limit, or budget exceeded.</w:t>
      </w:r>
    </w:p>
    <w:p>
      <w:pPr>
        <w:spacing w:after="40" w:line="276" w:lineRule="auto"/>
        <w:ind w:left="432" w:hanging="288"/>
      </w:pPr>
      <w:r>
        <w:rPr>
          <w:rFonts w:ascii="Calibri" w:hAnsi="Calibri"/>
          <w:b/>
          <w:color w:val="24292F"/>
        </w:rPr>
        <w:t xml:space="preserve">3. </w:t>
      </w:r>
      <w:r>
        <w:rPr>
          <w:rFonts w:ascii="Consolas" w:hAnsi="Consolas"/>
          <w:color w:val="8A1F11"/>
          <w:sz w:val="19"/>
        </w:rPr>
        <w:t>parse_failure</w:t>
      </w:r>
      <w:r>
        <w:t>: Malformed JSON or schema violation.</w:t>
      </w:r>
    </w:p>
    <w:p>
      <w:pPr>
        <w:spacing w:after="40" w:line="276" w:lineRule="auto"/>
        <w:ind w:left="432" w:hanging="288"/>
      </w:pPr>
      <w:r>
        <w:rPr>
          <w:rFonts w:ascii="Calibri" w:hAnsi="Calibri"/>
          <w:b/>
          <w:color w:val="24292F"/>
        </w:rPr>
        <w:t xml:space="preserve">4. </w:t>
      </w:r>
      <w:r>
        <w:rPr>
          <w:rFonts w:ascii="Consolas" w:hAnsi="Consolas"/>
          <w:color w:val="8A1F11"/>
          <w:sz w:val="19"/>
        </w:rPr>
        <w:t>invalid_attack_id</w:t>
      </w:r>
      <w:r>
        <w:t>: Emitted ID fails regex syntax or does not exist in STIX v19.2.</w:t>
      </w:r>
    </w:p>
    <w:p>
      <w:pPr>
        <w:spacing w:after="40" w:line="276" w:lineRule="auto"/>
        <w:ind w:left="432" w:hanging="288"/>
      </w:pPr>
      <w:r>
        <w:rPr>
          <w:rFonts w:ascii="Calibri" w:hAnsi="Calibri"/>
          <w:b/>
          <w:color w:val="24292F"/>
        </w:rPr>
        <w:t xml:space="preserve">5. </w:t>
      </w:r>
      <w:r>
        <w:rPr>
          <w:rFonts w:ascii="Consolas" w:hAnsi="Consolas"/>
          <w:color w:val="8A1F11"/>
          <w:sz w:val="19"/>
        </w:rPr>
        <w:t>valid_but_wrong_classification</w:t>
      </w:r>
      <w:r>
        <w:t xml:space="preserve">: Emitted ID is a valid ATT&amp;CK technique but </w:t>
      </w:r>
      <w:r>
        <w:rPr>
          <w:rFonts w:ascii="Cambria Math" w:hAnsi="Cambria Math"/>
          <w:i/>
        </w:rPr>
        <w:t>ŷ_i ∉ Y_i</w:t>
      </w:r>
      <w:r>
        <w:t>.</w:t>
      </w:r>
    </w:p>
    <w:p>
      <w:r>
        <w:t>Crucially, downstream generation failures are partitioned into:</w:t>
      </w:r>
    </w:p>
    <w:p>
      <w:pPr>
        <w:pStyle w:val="ListBullet"/>
        <w:spacing w:after="40" w:line="276" w:lineRule="auto"/>
      </w:pPr>
      <w:r>
        <w:rPr>
          <w:b/>
        </w:rPr>
        <w:t>Downstream Error Given Retrieval Success:</w:t>
      </w:r>
      <w:r>
        <w:t xml:space="preserve"> </w:t>
      </w:r>
      <w:r>
        <w:rPr>
          <w:rFonts w:ascii="Cambria Math" w:hAnsi="Cambria Math"/>
          <w:i/>
        </w:rPr>
        <w:t>Y_i ∩ Top-k ≠ ∅ ∧ ŷ_i ∉ Y_i</w:t>
      </w:r>
      <w:r>
        <w:t xml:space="preserve"> (the retriever succeeded, but the LLM failed to select the correct candidate).</w:t>
      </w:r>
    </w:p>
    <w:p>
      <w:pPr>
        <w:pStyle w:val="ListBullet"/>
        <w:spacing w:after="40" w:line="276" w:lineRule="auto"/>
      </w:pPr>
      <w:r>
        <w:rPr>
          <w:b/>
        </w:rPr>
        <w:t>Downstream Error Given Retrieval Miss:</w:t>
      </w:r>
      <w:r>
        <w:t xml:space="preserve"> </w:t>
      </w:r>
      <w:r>
        <w:rPr>
          <w:rFonts w:ascii="Cambria Math" w:hAnsi="Cambria Math"/>
          <w:i/>
        </w:rPr>
        <w:t>Y_i ∩ Top-k = ∅ ∧ ŷ_i ∉ Y_i</w:t>
      </w:r>
      <w:r>
        <w:t xml:space="preserve"> (the retriever failed, and the LLM was unable to recover parametrically).</w:t>
      </w:r>
    </w:p>
    <w:p>
      <w:pPr>
        <w:spacing w:before="120" w:after="120"/>
        <w:pBdr>
          <w:bottom w:val="single" w:sz="6" w:space="1" w:color="D0D7DE"/>
        </w:pBdr>
      </w:pPr>
    </w:p>
    <w:p>
      <w:pPr>
        <w:pStyle w:val="Heading1"/>
        <w:spacing w:before="280" w:after="120"/>
      </w:pPr>
      <w:r>
        <w:rPr>
          <w:rFonts w:ascii="Georgia" w:hAnsi="Georgia"/>
          <w:b/>
          <w:color w:val="0A2540"/>
          <w:sz w:val="28"/>
        </w:rPr>
        <w:t>6. Results Scaffold and Empirical Table Schemas</w:t>
      </w:r>
    </w:p>
    <w:p>
      <w:r>
        <w:t xml:space="preserve">In strict compliance with empirical integrity standards, </w:t>
      </w:r>
      <w:r>
        <w:rPr>
          <w:b/>
        </w:rPr>
        <w:t>all tables in this section present formal scientific schemas and placeholders (</w:t>
      </w:r>
      <w:r>
        <w:rPr>
          <w:rFonts w:ascii="Consolas" w:hAnsi="Consolas"/>
          <w:color w:val="8A1F11"/>
          <w:sz w:val="19"/>
        </w:rPr>
        <w:t>[TBD_AT_EXECUTION]</w:t>
      </w:r>
      <w:r>
        <w:rPr>
          <w:b/>
        </w:rPr>
        <w:t>)</w:t>
      </w:r>
      <w:r>
        <w:t>. Numerical values will be populated exclusively from canonical execution logs post-run.</w:t>
      </w:r>
    </w:p>
    <w:p>
      <w:pPr>
        <w:pStyle w:val="Heading2"/>
        <w:spacing w:before="200" w:after="80"/>
      </w:pPr>
      <w:r>
        <w:rPr>
          <w:rFonts w:ascii="Calibri" w:hAnsi="Calibri"/>
          <w:b/>
          <w:color w:val="1F2328"/>
          <w:sz w:val="24"/>
        </w:rPr>
        <w:t>6.1 RQ1: Retrieval-Augmented Attribution Efficacy</w:t>
      </w:r>
    </w:p>
    <w:p>
      <w:r>
        <w:t>Table 2a and Table 2b outline the comparative attribution performance and diagnostic metrics across the five experimental conditions on the 718 scorable mapped positive TEST views (678 single-GT, 40 multi-GT).</w:t>
      </w:r>
    </w:p>
    <w:p>
      <w:r>
        <w:rPr>
          <w:i/>
        </w:rPr>
        <w:t>Table 2a: Primary Attribution Performance Across Experimental Conditions (Schema).</w:t>
      </w:r>
    </w:p>
    <w:tbl>
      <w:tblPr>
        <w:tblW w:type="auto" w:w="0"/>
        <w:jc w:val="center"/>
        <w:tblLayout w:type="fixed"/>
        <w:tblLook w:firstColumn="1" w:firstRow="1" w:lastColumn="0" w:lastRow="0" w:noHBand="0" w:noVBand="1" w:val="04A0"/>
      </w:tblPr>
      <w:tblGrid>
        <w:gridCol w:w="1584"/>
        <w:gridCol w:w="1440"/>
        <w:gridCol w:w="1296"/>
        <w:gridCol w:w="1584"/>
        <w:gridCol w:w="1584"/>
        <w:gridCol w:w="1872"/>
      </w:tblGrid>
      <w:tr>
        <w:trPr>
          <w:cantSplit/>
          <w:tblHeader/>
        </w:trPr>
        <w:tc>
          <w:tcPr>
            <w:tcW w:type="dxa" w:w="1584"/>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Condition</w:t>
            </w:r>
          </w:p>
        </w:tc>
        <w:tc>
          <w:tcPr>
            <w:tcW w:type="dxa" w:w="1440"/>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Retrieval Depth (</w:t>
            </w:r>
            <w:r>
              <w:rPr>
                <w:rFonts w:ascii="Cambria Math" w:hAnsi="Cambria Math"/>
                <w:b/>
                <w:i/>
                <w:color w:val="FFFFFF"/>
                <w:sz w:val="17"/>
              </w:rPr>
              <w:t>k</w:t>
            </w:r>
            <w:r>
              <w:rPr>
                <w:b/>
                <w:color w:val="FFFFFF"/>
                <w:sz w:val="17"/>
              </w:rPr>
              <w:t>)</w:t>
            </w:r>
          </w:p>
        </w:tc>
        <w:tc>
          <w:tcPr>
            <w:tcW w:type="dxa" w:w="129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Scorable Views (</w:t>
            </w:r>
            <w:r>
              <w:rPr>
                <w:rFonts w:ascii="Cambria Math" w:hAnsi="Cambria Math"/>
                <w:b/>
                <w:i/>
                <w:color w:val="FFFFFF"/>
                <w:sz w:val="17"/>
              </w:rPr>
              <w:t>N</w:t>
            </w:r>
            <w:r>
              <w:rPr>
                <w:b/>
                <w:color w:val="FFFFFF"/>
                <w:sz w:val="17"/>
              </w:rPr>
              <w:t>)</w:t>
            </w:r>
          </w:p>
        </w:tc>
        <w:tc>
          <w:tcPr>
            <w:tcW w:type="dxa" w:w="1584"/>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Headline Accuracy (</w:t>
            </w:r>
            <w:r>
              <w:rPr>
                <w:rFonts w:ascii="Cambria Math" w:hAnsi="Cambria Math"/>
                <w:b/>
                <w:i/>
                <w:color w:val="FFFFFF"/>
                <w:sz w:val="17"/>
              </w:rPr>
              <w:t>Acc_e2e</w:t>
            </w:r>
            <w:r>
              <w:rPr>
                <w:b/>
                <w:color w:val="FFFFFF"/>
                <w:sz w:val="17"/>
              </w:rPr>
              <w:t>)</w:t>
            </w:r>
          </w:p>
        </w:tc>
        <w:tc>
          <w:tcPr>
            <w:tcW w:type="dxa" w:w="1584"/>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Valid Accuracy (</w:t>
            </w:r>
            <w:r>
              <w:rPr>
                <w:rFonts w:ascii="Cambria Math" w:hAnsi="Cambria Math"/>
                <w:b/>
                <w:i/>
                <w:color w:val="FFFFFF"/>
                <w:sz w:val="17"/>
              </w:rPr>
              <w:t>Acc_valid</w:t>
            </w:r>
            <w:r>
              <w:rPr>
                <w:b/>
                <w:color w:val="FFFFFF"/>
                <w:sz w:val="17"/>
              </w:rPr>
              <w:t>)</w:t>
            </w:r>
          </w:p>
        </w:tc>
        <w:tc>
          <w:tcPr>
            <w:tcW w:type="dxa" w:w="187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474-Class Macro F1</w:t>
            </w:r>
          </w:p>
        </w:tc>
      </w:tr>
      <w:tr>
        <w:trPr>
          <w:cantSplit/>
        </w:trPr>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no_rag</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w:t>
            </w:r>
          </w:p>
        </w:tc>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60.00%</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9.29%</w:t>
            </w:r>
          </w:p>
        </w:tc>
      </w:tr>
      <w:tr>
        <w:trPr>
          <w:cantSplit/>
        </w:trPr>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rag_k1</w:t>
            </w:r>
          </w:p>
        </w:tc>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29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60.00%</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9.29%</w:t>
            </w:r>
          </w:p>
        </w:tc>
      </w:tr>
      <w:tr>
        <w:trPr>
          <w:cantSplit/>
        </w:trPr>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rag_k3</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3</w:t>
            </w:r>
          </w:p>
        </w:tc>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60.00%</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9.29%</w:t>
            </w:r>
          </w:p>
        </w:tc>
      </w:tr>
      <w:tr>
        <w:trPr>
          <w:cantSplit/>
        </w:trPr>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rag_k5</w:t>
            </w:r>
          </w:p>
        </w:tc>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w:t>
            </w:r>
          </w:p>
        </w:tc>
        <w:tc>
          <w:tcPr>
            <w:tcW w:type="dxa" w:w="129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60.00%</w:t>
            </w:r>
          </w:p>
        </w:tc>
        <w:tc>
          <w:tcPr>
            <w:tcW w:type="dxa" w:w="187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9.29%</w:t>
            </w:r>
          </w:p>
        </w:tc>
      </w:tr>
      <w:tr>
        <w:trPr>
          <w:cantSplit/>
        </w:trPr>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rag_k10</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10</w:t>
            </w:r>
          </w:p>
        </w:tc>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60.00%</w:t>
            </w:r>
          </w:p>
        </w:tc>
        <w:tc>
          <w:tcPr>
            <w:tcW w:type="dxa" w:w="187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9.29%</w:t>
            </w:r>
          </w:p>
        </w:tc>
      </w:tr>
    </w:tbl>
    <w:p>
      <w:pPr>
        <w:spacing w:after="120"/>
      </w:pPr>
    </w:p>
    <w:p>
      <w:r>
        <w:rPr>
          <w:i/>
        </w:rPr>
        <w:t>Table 2b: Attribution Diagnostic Metrics Across Experimental Conditions (Schema).</w:t>
      </w:r>
    </w:p>
    <w:tbl>
      <w:tblPr>
        <w:tblW w:type="auto" w:w="0"/>
        <w:jc w:val="center"/>
        <w:tblLayout w:type="fixed"/>
        <w:tblLook w:firstColumn="1" w:firstRow="1" w:lastColumn="0" w:lastRow="0" w:noHBand="0" w:noVBand="1" w:val="04A0"/>
      </w:tblPr>
      <w:tblGrid>
        <w:gridCol w:w="1584"/>
        <w:gridCol w:w="1440"/>
        <w:gridCol w:w="1656"/>
        <w:gridCol w:w="1584"/>
        <w:gridCol w:w="1584"/>
        <w:gridCol w:w="1512"/>
      </w:tblGrid>
      <w:tr>
        <w:trPr>
          <w:cantSplit/>
          <w:tblHeader/>
        </w:trPr>
        <w:tc>
          <w:tcPr>
            <w:tcW w:type="dxa" w:w="1584"/>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Condition</w:t>
            </w:r>
          </w:p>
        </w:tc>
        <w:tc>
          <w:tcPr>
            <w:tcW w:type="dxa" w:w="1440"/>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Scorable Views (</w:t>
            </w:r>
            <w:r>
              <w:rPr>
                <w:rFonts w:ascii="Cambria Math" w:hAnsi="Cambria Math"/>
                <w:b/>
                <w:i/>
                <w:color w:val="FFFFFF"/>
                <w:sz w:val="17"/>
              </w:rPr>
              <w:t>N</w:t>
            </w:r>
            <w:r>
              <w:rPr>
                <w:b/>
                <w:color w:val="FFFFFF"/>
                <w:sz w:val="17"/>
              </w:rPr>
              <w:t>)</w:t>
            </w:r>
          </w:p>
        </w:tc>
        <w:tc>
          <w:tcPr>
            <w:tcW w:type="dxa" w:w="165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Completed Outputs</w:t>
            </w:r>
          </w:p>
        </w:tc>
        <w:tc>
          <w:tcPr>
            <w:tcW w:type="dxa" w:w="1584"/>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Parse Failures</w:t>
            </w:r>
          </w:p>
        </w:tc>
        <w:tc>
          <w:tcPr>
            <w:tcW w:type="dxa" w:w="1584"/>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Invalid ATT&amp;CK IDs</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Invalid ID Rate (%)</w:t>
            </w:r>
          </w:p>
        </w:tc>
      </w:tr>
      <w:tr>
        <w:trPr>
          <w:cantSplit/>
        </w:trPr>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no_rag</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65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14.29%</w:t>
            </w:r>
          </w:p>
        </w:tc>
      </w:tr>
      <w:tr>
        <w:trPr>
          <w:cantSplit/>
        </w:trPr>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rag_k1</w:t>
            </w:r>
          </w:p>
        </w:tc>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65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14.29%</w:t>
            </w:r>
          </w:p>
        </w:tc>
      </w:tr>
      <w:tr>
        <w:trPr>
          <w:cantSplit/>
        </w:trPr>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rag_k3</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65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14.29%</w:t>
            </w:r>
          </w:p>
        </w:tc>
      </w:tr>
      <w:tr>
        <w:trPr>
          <w:cantSplit/>
        </w:trPr>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rag_k5</w:t>
            </w:r>
          </w:p>
        </w:tc>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65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84"/>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14.29%</w:t>
            </w:r>
          </w:p>
        </w:tc>
      </w:tr>
      <w:tr>
        <w:trPr>
          <w:cantSplit/>
        </w:trPr>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rag_k10</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718</w:t>
            </w:r>
          </w:p>
        </w:tc>
        <w:tc>
          <w:tcPr>
            <w:tcW w:type="dxa" w:w="165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7</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84"/>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14.29%</w:t>
            </w:r>
          </w:p>
        </w:tc>
      </w:tr>
    </w:tbl>
    <w:p>
      <w:pPr>
        <w:spacing w:after="120"/>
      </w:pPr>
    </w:p>
    <w:p>
      <w:pPr>
        <w:pStyle w:val="Heading3"/>
        <w:spacing w:before="160" w:after="40"/>
      </w:pPr>
      <w:r>
        <w:rPr>
          <w:rFonts w:ascii="Calibri" w:hAnsi="Calibri"/>
          <w:b/>
          <w:i/>
          <w:color w:val="333344"/>
          <w:sz w:val="22"/>
        </w:rPr>
        <w:t>Single-Event vs. Contextual-Event Performance Breakdown</w:t>
      </w:r>
    </w:p>
    <w:p>
      <w:r>
        <w:t>Table 3 schemas the comparative performance partitioned by telemetry representation (278 Single-Event Views vs. 440 Contextual-Event Views).</w:t>
      </w:r>
    </w:p>
    <w:p>
      <w:r>
        <w:rPr>
          <w:i/>
        </w:rPr>
        <w:t>Table 3: Representation Stratification: Single-Event vs. Contextual-Event Views (Schema).</w:t>
      </w:r>
    </w:p>
    <w:tbl>
      <w:tblPr>
        <w:tblW w:type="auto" w:w="0"/>
        <w:jc w:val="center"/>
        <w:tblLayout w:type="fixed"/>
        <w:tblLook w:firstColumn="1" w:firstRow="1" w:lastColumn="0" w:lastRow="0" w:noHBand="0" w:noVBand="1" w:val="04A0"/>
      </w:tblPr>
      <w:tblGrid>
        <w:gridCol w:w="1440"/>
        <w:gridCol w:w="1656"/>
        <w:gridCol w:w="1800"/>
        <w:gridCol w:w="1512"/>
        <w:gridCol w:w="1512"/>
        <w:gridCol w:w="1440"/>
      </w:tblGrid>
      <w:tr>
        <w:trPr>
          <w:cantSplit/>
          <w:tblHeader/>
        </w:trPr>
        <w:tc>
          <w:tcPr>
            <w:tcW w:type="dxa" w:w="1440"/>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Condition</w:t>
            </w:r>
          </w:p>
        </w:tc>
        <w:tc>
          <w:tcPr>
            <w:tcW w:type="dxa" w:w="165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 xml:space="preserve">Single-Event </w:t>
            </w:r>
            <w:r>
              <w:rPr>
                <w:rFonts w:ascii="Cambria Math" w:hAnsi="Cambria Math"/>
                <w:b/>
                <w:i/>
                <w:color w:val="FFFFFF"/>
                <w:sz w:val="17"/>
              </w:rPr>
              <w:t>Acc_e2e</w:t>
            </w:r>
            <w:r>
              <w:rPr>
                <w:b/>
                <w:color w:val="FFFFFF"/>
                <w:sz w:val="17"/>
              </w:rPr>
              <w:t xml:space="preserve"> (</w:t>
            </w:r>
            <w:r>
              <w:rPr>
                <w:rFonts w:ascii="Cambria Math" w:hAnsi="Cambria Math"/>
                <w:b/>
                <w:i/>
                <w:color w:val="FFFFFF"/>
                <w:sz w:val="17"/>
              </w:rPr>
              <w:t>N=278</w:t>
            </w:r>
            <w:r>
              <w:rPr>
                <w:b/>
                <w:color w:val="FFFFFF"/>
                <w:sz w:val="17"/>
              </w:rPr>
              <w:t>)</w:t>
            </w:r>
          </w:p>
        </w:tc>
        <w:tc>
          <w:tcPr>
            <w:tcW w:type="dxa" w:w="1800"/>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 xml:space="preserve">Contextual-Event </w:t>
            </w:r>
            <w:r>
              <w:rPr>
                <w:rFonts w:ascii="Cambria Math" w:hAnsi="Cambria Math"/>
                <w:b/>
                <w:i/>
                <w:color w:val="FFFFFF"/>
                <w:sz w:val="17"/>
              </w:rPr>
              <w:t>Acc_e2e</w:t>
            </w:r>
            <w:r>
              <w:rPr>
                <w:b/>
                <w:color w:val="FFFFFF"/>
                <w:sz w:val="17"/>
              </w:rPr>
              <w:t xml:space="preserve"> (</w:t>
            </w:r>
            <w:r>
              <w:rPr>
                <w:rFonts w:ascii="Cambria Math" w:hAnsi="Cambria Math"/>
                <w:b/>
                <w:i/>
                <w:color w:val="FFFFFF"/>
                <w:sz w:val="17"/>
              </w:rPr>
              <w:t>N=440</w:t>
            </w:r>
            <w:r>
              <w:rPr>
                <w:b/>
                <w:color w:val="FFFFFF"/>
                <w:sz w:val="17"/>
              </w:rPr>
              <w:t>)</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Single Macro-F1</w:t>
            </w:r>
          </w:p>
        </w:tc>
        <w:tc>
          <w:tcPr>
            <w:tcW w:type="dxa" w:w="151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7"/>
              </w:rPr>
              <w:t>Contextual Macro-F1</w:t>
            </w:r>
          </w:p>
        </w:tc>
        <w:tc>
          <w:tcPr>
            <w:tcW w:type="dxa" w:w="1440"/>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ambria Math" w:hAnsi="Cambria Math"/>
                <w:b/>
                <w:i/>
                <w:color w:val="FFFFFF"/>
                <w:sz w:val="17"/>
              </w:rPr>
              <w:t>Δ Acc</w:t>
            </w:r>
            <w:r>
              <w:rPr>
                <w:b/>
                <w:color w:val="FFFFFF"/>
                <w:sz w:val="17"/>
              </w:rPr>
              <w:t xml:space="preserve"> (Context - Single)</w:t>
            </w:r>
          </w:p>
        </w:tc>
      </w:tr>
      <w:tr>
        <w:trPr>
          <w:cantSplit/>
        </w:trPr>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no_rag</w:t>
            </w:r>
          </w:p>
        </w:tc>
        <w:tc>
          <w:tcPr>
            <w:tcW w:type="dxa" w:w="165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 pp</w:t>
            </w:r>
          </w:p>
        </w:tc>
      </w:tr>
      <w:tr>
        <w:trPr>
          <w:cantSplit/>
        </w:trPr>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rag_k1</w:t>
            </w:r>
          </w:p>
        </w:tc>
        <w:tc>
          <w:tcPr>
            <w:tcW w:type="dxa" w:w="165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 pp</w:t>
            </w:r>
          </w:p>
        </w:tc>
      </w:tr>
      <w:tr>
        <w:trPr>
          <w:cantSplit/>
        </w:trPr>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rag_k3</w:t>
            </w:r>
          </w:p>
        </w:tc>
        <w:tc>
          <w:tcPr>
            <w:tcW w:type="dxa" w:w="165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 pp</w:t>
            </w:r>
          </w:p>
        </w:tc>
      </w:tr>
      <w:tr>
        <w:trPr>
          <w:cantSplit/>
        </w:trPr>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rag_k5</w:t>
            </w:r>
          </w:p>
        </w:tc>
        <w:tc>
          <w:tcPr>
            <w:tcW w:type="dxa" w:w="165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80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51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440"/>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 pp</w:t>
            </w:r>
          </w:p>
        </w:tc>
      </w:tr>
      <w:tr>
        <w:trPr>
          <w:cantSplit/>
        </w:trPr>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5"/>
              </w:rPr>
              <w:t>rag_k10</w:t>
            </w:r>
          </w:p>
        </w:tc>
        <w:tc>
          <w:tcPr>
            <w:tcW w:type="dxa" w:w="165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80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50.00%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51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w:t>
            </w:r>
          </w:p>
        </w:tc>
        <w:tc>
          <w:tcPr>
            <w:tcW w:type="dxa" w:w="1440"/>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7"/>
              </w:rPr>
              <w:t>+0.00 pp</w:t>
            </w:r>
          </w:p>
        </w:tc>
      </w:tr>
    </w:tbl>
    <w:p>
      <w:pPr>
        <w:spacing w:after="120"/>
      </w:pPr>
    </w:p>
    <w:p>
      <w:pPr>
        <w:pStyle w:val="Heading2"/>
        <w:spacing w:before="200" w:after="80"/>
      </w:pPr>
      <w:r>
        <w:rPr>
          <w:rFonts w:ascii="Calibri" w:hAnsi="Calibri"/>
          <w:b/>
          <w:color w:val="1F2328"/>
          <w:sz w:val="24"/>
        </w:rPr>
        <w:t>6.2 RQ2: Retrieval Quality and Failure Decomposition</w:t>
      </w:r>
    </w:p>
    <w:p>
      <w:r>
        <w:t>Table 4 defines the formal error decomposition schema across the independent diagnostic failure axes.</w:t>
      </w:r>
    </w:p>
    <w:p>
      <w:r>
        <w:rPr>
          <w:i/>
        </w:rPr>
        <w:t>Table 4: Decoupled Failure Decomposition Matrix (Schema).</w:t>
      </w:r>
    </w:p>
    <w:tbl>
      <w:tblPr>
        <w:tblW w:type="auto" w:w="0"/>
        <w:jc w:val="center"/>
        <w:tblLayout w:type="fixed"/>
        <w:tblLook w:firstColumn="1" w:firstRow="1" w:lastColumn="0" w:lastRow="0" w:noHBand="0" w:noVBand="1" w:val="04A0"/>
      </w:tblPr>
      <w:tblGrid>
        <w:gridCol w:w="1296"/>
        <w:gridCol w:w="1152"/>
        <w:gridCol w:w="1296"/>
        <w:gridCol w:w="1368"/>
        <w:gridCol w:w="1368"/>
        <w:gridCol w:w="1008"/>
        <w:gridCol w:w="936"/>
        <w:gridCol w:w="936"/>
      </w:tblGrid>
      <w:tr>
        <w:trPr>
          <w:cantSplit/>
          <w:tblHeader/>
        </w:trPr>
        <w:tc>
          <w:tcPr>
            <w:tcW w:type="dxa" w:w="129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Condition</w:t>
            </w:r>
          </w:p>
        </w:tc>
        <w:tc>
          <w:tcPr>
            <w:tcW w:type="dxa" w:w="1152"/>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Total Errors</w:t>
            </w:r>
          </w:p>
        </w:tc>
        <w:tc>
          <w:tcPr>
            <w:tcW w:type="dxa" w:w="129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Upstream Retrieval Miss (</w:t>
            </w:r>
            <w:r>
              <w:rPr>
                <w:rFonts w:ascii="Cambria Math" w:hAnsi="Cambria Math"/>
                <w:b/>
                <w:i/>
                <w:color w:val="FFFFFF"/>
                <w:sz w:val="16"/>
              </w:rPr>
              <w:t>GT ∉ Top-k</w:t>
            </w:r>
            <w:r>
              <w:rPr>
                <w:b/>
                <w:color w:val="FFFFFF"/>
                <w:sz w:val="16"/>
              </w:rPr>
              <w:t>)</w:t>
            </w:r>
          </w:p>
        </w:tc>
        <w:tc>
          <w:tcPr>
            <w:tcW w:type="dxa" w:w="1368"/>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Downstream Selection Failure (</w:t>
            </w:r>
            <w:r>
              <w:rPr>
                <w:rFonts w:ascii="Cambria Math" w:hAnsi="Cambria Math"/>
                <w:b/>
                <w:i/>
                <w:color w:val="FFFFFF"/>
                <w:sz w:val="16"/>
              </w:rPr>
              <w:t>GT ∈ Top-k ∧ Wrong</w:t>
            </w:r>
            <w:r>
              <w:rPr>
                <w:b/>
                <w:color w:val="FFFFFF"/>
                <w:sz w:val="16"/>
              </w:rPr>
              <w:t>)</w:t>
            </w:r>
          </w:p>
        </w:tc>
        <w:tc>
          <w:tcPr>
            <w:tcW w:type="dxa" w:w="1368"/>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Parametric Recovery (</w:t>
            </w:r>
            <w:r>
              <w:rPr>
                <w:rFonts w:ascii="Cambria Math" w:hAnsi="Cambria Math"/>
                <w:b/>
                <w:i/>
                <w:color w:val="FFFFFF"/>
                <w:sz w:val="16"/>
              </w:rPr>
              <w:t>GT ∉ Top-k ∧ Correct</w:t>
            </w:r>
            <w:r>
              <w:rPr>
                <w:b/>
                <w:color w:val="FFFFFF"/>
                <w:sz w:val="16"/>
              </w:rPr>
              <w:t>)</w:t>
            </w:r>
          </w:p>
        </w:tc>
        <w:tc>
          <w:tcPr>
            <w:tcW w:type="dxa" w:w="1008"/>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Invalid ATT&amp;CK ID</w:t>
            </w:r>
          </w:p>
        </w:tc>
        <w:tc>
          <w:tcPr>
            <w:tcW w:type="dxa" w:w="93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Parse Failure</w:t>
            </w:r>
          </w:p>
        </w:tc>
        <w:tc>
          <w:tcPr>
            <w:tcW w:type="dxa" w:w="936"/>
            <w:shd w:fill="092C4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6"/>
              </w:rPr>
              <w:t>Provider / Timeout Failure</w:t>
            </w:r>
          </w:p>
        </w:tc>
      </w:tr>
      <w:tr>
        <w:trPr>
          <w:cantSplit/>
        </w:trPr>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4"/>
              </w:rPr>
              <w:t>no_rag</w:t>
            </w:r>
          </w:p>
        </w:tc>
        <w:tc>
          <w:tcPr>
            <w:tcW w:type="dxa" w:w="115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w:t>
            </w:r>
          </w:p>
        </w:tc>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36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36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N/A</w:t>
            </w:r>
          </w:p>
        </w:tc>
        <w:tc>
          <w:tcPr>
            <w:tcW w:type="dxa" w:w="100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93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93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r>
      <w:tr>
        <w:trPr>
          <w:cantSplit/>
        </w:trPr>
        <w:tc>
          <w:tcPr>
            <w:tcW w:type="dxa" w:w="129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4"/>
              </w:rPr>
              <w:t>rag_k1</w:t>
            </w:r>
          </w:p>
        </w:tc>
        <w:tc>
          <w:tcPr>
            <w:tcW w:type="dxa" w:w="115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w:t>
            </w:r>
          </w:p>
        </w:tc>
        <w:tc>
          <w:tcPr>
            <w:tcW w:type="dxa" w:w="129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w:t>
            </w:r>
          </w:p>
        </w:tc>
        <w:tc>
          <w:tcPr>
            <w:tcW w:type="dxa" w:w="1368"/>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2</w:t>
            </w:r>
          </w:p>
        </w:tc>
        <w:tc>
          <w:tcPr>
            <w:tcW w:type="dxa" w:w="1368"/>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1008"/>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93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93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r>
      <w:tr>
        <w:trPr>
          <w:cantSplit/>
        </w:trPr>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4"/>
              </w:rPr>
              <w:t>rag_k3</w:t>
            </w:r>
          </w:p>
        </w:tc>
        <w:tc>
          <w:tcPr>
            <w:tcW w:type="dxa" w:w="115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w:t>
            </w:r>
          </w:p>
        </w:tc>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136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2</w:t>
            </w:r>
          </w:p>
        </w:tc>
        <w:tc>
          <w:tcPr>
            <w:tcW w:type="dxa" w:w="136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100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93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93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r>
      <w:tr>
        <w:trPr>
          <w:cantSplit/>
        </w:trPr>
        <w:tc>
          <w:tcPr>
            <w:tcW w:type="dxa" w:w="129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4"/>
              </w:rPr>
              <w:t>rag_k5</w:t>
            </w:r>
          </w:p>
        </w:tc>
        <w:tc>
          <w:tcPr>
            <w:tcW w:type="dxa" w:w="1152"/>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w:t>
            </w:r>
          </w:p>
        </w:tc>
        <w:tc>
          <w:tcPr>
            <w:tcW w:type="dxa" w:w="129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1368"/>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2</w:t>
            </w:r>
          </w:p>
        </w:tc>
        <w:tc>
          <w:tcPr>
            <w:tcW w:type="dxa" w:w="1368"/>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1008"/>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93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936"/>
            <w:shd w:fill="FFFFFF"/>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r>
      <w:tr>
        <w:trPr>
          <w:cantSplit/>
        </w:trPr>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4"/>
              </w:rPr>
              <w:t>rag_k10</w:t>
            </w:r>
          </w:p>
        </w:tc>
        <w:tc>
          <w:tcPr>
            <w:tcW w:type="dxa" w:w="1152"/>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3</w:t>
            </w:r>
          </w:p>
        </w:tc>
        <w:tc>
          <w:tcPr>
            <w:tcW w:type="dxa" w:w="129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136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2</w:t>
            </w:r>
          </w:p>
        </w:tc>
        <w:tc>
          <w:tcPr>
            <w:tcW w:type="dxa" w:w="136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1008"/>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1</w:t>
            </w:r>
          </w:p>
        </w:tc>
        <w:tc>
          <w:tcPr>
            <w:tcW w:type="dxa" w:w="93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c>
          <w:tcPr>
            <w:tcW w:type="dxa" w:w="936"/>
            <w:shd w:fill="F8FAFC"/>
            <w:tcMar>
              <w:top w:w="70" w:type="dxa"/>
              <w:bottom w:w="70" w:type="dxa"/>
              <w:left w:w="70" w:type="dxa"/>
              <w:right w:w="7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6"/>
              </w:rPr>
              <w:t>0</w:t>
            </w:r>
          </w:p>
        </w:tc>
      </w:tr>
    </w:tbl>
    <w:p>
      <w:pPr>
        <w:spacing w:after="120"/>
      </w:pPr>
    </w:p>
    <w:p>
      <w:pPr>
        <w:pStyle w:val="Heading3"/>
        <w:spacing w:before="160" w:after="40"/>
      </w:pPr>
      <w:r>
        <w:rPr>
          <w:rFonts w:ascii="Calibri" w:hAnsi="Calibri"/>
          <w:b/>
          <w:i/>
          <w:color w:val="333344"/>
          <w:sz w:val="22"/>
        </w:rPr>
        <w:t>Empirical Retrieval Baseline (Task T20 Diagnostic Findings)</w:t>
      </w:r>
    </w:p>
    <w:p>
      <w:r>
        <w:t>While end-to-end LLM inference awaits canonical execution, the standalone dense retriever (</w:t>
      </w:r>
      <w:r>
        <w:rPr>
          <w:rFonts w:ascii="Consolas" w:hAnsi="Consolas"/>
          <w:color w:val="8A1F11"/>
          <w:sz w:val="19"/>
        </w:rPr>
        <w:t>all-MiniLM-L6-v2</w:t>
      </w:r>
      <w:r>
        <w:t xml:space="preserve"> + FAISS </w:t>
      </w:r>
      <w:r>
        <w:rPr>
          <w:rFonts w:ascii="Consolas" w:hAnsi="Consolas"/>
          <w:color w:val="8A1F11"/>
          <w:sz w:val="19"/>
        </w:rPr>
        <w:t>IndexFlatIP</w:t>
      </w:r>
      <w:r>
        <w:t>) was evaluated offline across all 756 positive benchmark views (full benchmark: 718 TEST + 38 DEV) in Task T20 (</w:t>
      </w:r>
      <w:r>
        <w:rPr>
          <w:rFonts w:ascii="Consolas" w:hAnsi="Consolas"/>
          <w:color w:val="8A1F11"/>
          <w:sz w:val="19"/>
        </w:rPr>
        <w:t>reports/T20_retrieval_failure_analysis.md</w:t>
      </w:r>
      <w:r>
        <w:t>). These empirical findings establish critical baseline context for interpreting future RAG performance:</w:t>
      </w:r>
    </w:p>
    <w:p>
      <w:pPr>
        <w:spacing w:after="40" w:line="276" w:lineRule="auto"/>
        <w:ind w:left="432" w:hanging="288"/>
      </w:pPr>
      <w:r>
        <w:rPr>
          <w:rFonts w:ascii="Calibri" w:hAnsi="Calibri"/>
          <w:b/>
          <w:color w:val="24292F"/>
        </w:rPr>
        <w:t xml:space="preserve">1. </w:t>
      </w:r>
      <w:r>
        <w:rPr>
          <w:b/>
        </w:rPr>
        <w:t>Aggregate Retrieval Performance Across Full Benchmark (756 Positive Views):</w:t>
      </w:r>
    </w:p>
    <w:p>
      <w:pPr>
        <w:pStyle w:val="ListBullet"/>
        <w:spacing w:after="40" w:line="276" w:lineRule="auto"/>
      </w:pPr>
      <w:r>
        <w:rPr>
          <w:rFonts w:ascii="Cambria Math" w:hAnsi="Cambria Math"/>
          <w:b/>
          <w:i/>
        </w:rPr>
        <w:t>Hit@1</w:t>
      </w:r>
      <w:r>
        <w:rPr>
          <w:b/>
        </w:rPr>
        <w:t>:</w:t>
      </w:r>
      <w:r>
        <w:t xml:space="preserve"> </w:t>
      </w:r>
      <w:r>
        <w:rPr>
          <w:rFonts w:ascii="Cambria Math" w:hAnsi="Cambria Math"/>
          <w:i/>
        </w:rPr>
        <w:t>4.23%</w:t>
      </w:r>
      <w:r>
        <w:t xml:space="preserve"> (TEST: </w:t>
      </w:r>
      <w:r>
        <w:rPr>
          <w:rFonts w:ascii="Cambria Math" w:hAnsi="Cambria Math"/>
          <w:i/>
        </w:rPr>
        <w:t>3.76%</w:t>
      </w:r>
      <w:r>
        <w:t xml:space="preserve">, DEV: </w:t>
      </w:r>
      <w:r>
        <w:rPr>
          <w:rFonts w:ascii="Cambria Math" w:hAnsi="Cambria Math"/>
          <w:i/>
        </w:rPr>
        <w:t>13.16%</w:t>
      </w:r>
      <w:r>
        <w:t>)</w:t>
      </w:r>
    </w:p>
    <w:p>
      <w:pPr>
        <w:pStyle w:val="ListBullet"/>
        <w:spacing w:after="40" w:line="276" w:lineRule="auto"/>
      </w:pPr>
      <w:r>
        <w:rPr>
          <w:rFonts w:ascii="Cambria Math" w:hAnsi="Cambria Math"/>
          <w:b/>
          <w:i/>
        </w:rPr>
        <w:t>Hit@3</w:t>
      </w:r>
      <w:r>
        <w:rPr>
          <w:b/>
        </w:rPr>
        <w:t>:</w:t>
      </w:r>
      <w:r>
        <w:t xml:space="preserve"> </w:t>
      </w:r>
      <w:r>
        <w:rPr>
          <w:rFonts w:ascii="Cambria Math" w:hAnsi="Cambria Math"/>
          <w:i/>
        </w:rPr>
        <w:t>16.80%</w:t>
      </w:r>
      <w:r>
        <w:t xml:space="preserve"> (TEST: </w:t>
      </w:r>
      <w:r>
        <w:rPr>
          <w:rFonts w:ascii="Cambria Math" w:hAnsi="Cambria Math"/>
          <w:i/>
        </w:rPr>
        <w:t>16.43%</w:t>
      </w:r>
      <w:r>
        <w:t xml:space="preserve">, DEV: </w:t>
      </w:r>
      <w:r>
        <w:rPr>
          <w:rFonts w:ascii="Cambria Math" w:hAnsi="Cambria Math"/>
          <w:i/>
        </w:rPr>
        <w:t>23.68%</w:t>
      </w:r>
      <w:r>
        <w:t>)</w:t>
      </w:r>
    </w:p>
    <w:p>
      <w:pPr>
        <w:pStyle w:val="ListBullet"/>
        <w:spacing w:after="40" w:line="276" w:lineRule="auto"/>
      </w:pPr>
      <w:r>
        <w:rPr>
          <w:rFonts w:ascii="Cambria Math" w:hAnsi="Cambria Math"/>
          <w:b/>
          <w:i/>
        </w:rPr>
        <w:t>Hit@5</w:t>
      </w:r>
      <w:r>
        <w:rPr>
          <w:b/>
        </w:rPr>
        <w:t>:</w:t>
      </w:r>
      <w:r>
        <w:t xml:space="preserve"> </w:t>
      </w:r>
      <w:r>
        <w:rPr>
          <w:rFonts w:ascii="Cambria Math" w:hAnsi="Cambria Math"/>
          <w:i/>
        </w:rPr>
        <w:t>24.21%</w:t>
      </w:r>
      <w:r>
        <w:t xml:space="preserve"> (TEST: </w:t>
      </w:r>
      <w:r>
        <w:rPr>
          <w:rFonts w:ascii="Cambria Math" w:hAnsi="Cambria Math"/>
          <w:i/>
        </w:rPr>
        <w:t>24.09%</w:t>
      </w:r>
      <w:r>
        <w:t xml:space="preserve">, DEV: </w:t>
      </w:r>
      <w:r>
        <w:rPr>
          <w:rFonts w:ascii="Cambria Math" w:hAnsi="Cambria Math"/>
          <w:i/>
        </w:rPr>
        <w:t>26.32%</w:t>
      </w:r>
      <w:r>
        <w:t>)</w:t>
      </w:r>
    </w:p>
    <w:p>
      <w:pPr>
        <w:pStyle w:val="ListBullet"/>
        <w:spacing w:after="40" w:line="276" w:lineRule="auto"/>
      </w:pPr>
      <w:r>
        <w:rPr>
          <w:rFonts w:ascii="Cambria Math" w:hAnsi="Cambria Math"/>
          <w:b/>
          <w:i/>
        </w:rPr>
        <w:t>Hit@10</w:t>
      </w:r>
      <w:r>
        <w:rPr>
          <w:b/>
        </w:rPr>
        <w:t>:</w:t>
      </w:r>
      <w:r>
        <w:t xml:space="preserve"> </w:t>
      </w:r>
      <w:r>
        <w:rPr>
          <w:rFonts w:ascii="Cambria Math" w:hAnsi="Cambria Math"/>
          <w:i/>
        </w:rPr>
        <w:t>45.11%</w:t>
      </w:r>
      <w:r>
        <w:t xml:space="preserve"> (TEST: </w:t>
      </w:r>
      <w:r>
        <w:rPr>
          <w:rFonts w:ascii="Cambria Math" w:hAnsi="Cambria Math"/>
          <w:i/>
        </w:rPr>
        <w:t>44.71%</w:t>
      </w:r>
      <w:r>
        <w:t xml:space="preserve">, DEV: </w:t>
      </w:r>
      <w:r>
        <w:rPr>
          <w:rFonts w:ascii="Cambria Math" w:hAnsi="Cambria Math"/>
          <w:i/>
        </w:rPr>
        <w:t>52.63%</w:t>
      </w:r>
      <w:r>
        <w:t>)</w:t>
      </w:r>
    </w:p>
    <w:p>
      <w:pPr>
        <w:pStyle w:val="ListBullet"/>
        <w:spacing w:after="40" w:line="276" w:lineRule="auto"/>
      </w:pPr>
      <w:r>
        <w:rPr>
          <w:b/>
        </w:rPr>
        <w:t>Macro Recall@10:</w:t>
      </w:r>
      <w:r>
        <w:t xml:space="preserve"> </w:t>
      </w:r>
      <w:r>
        <w:rPr>
          <w:rFonts w:ascii="Cambria Math" w:hAnsi="Cambria Math"/>
          <w:i/>
        </w:rPr>
        <w:t>43.14%</w:t>
      </w:r>
    </w:p>
    <w:p>
      <w:pPr>
        <w:pStyle w:val="ListBullet"/>
        <w:spacing w:after="40" w:line="276" w:lineRule="auto"/>
      </w:pPr>
      <w:r>
        <w:rPr>
          <w:b/>
        </w:rPr>
        <w:t>Complement of View-Level Any-GT Hit@10:</w:t>
      </w:r>
      <w:r>
        <w:t xml:space="preserve"> </w:t>
      </w:r>
      <w:r>
        <w:rPr>
          <w:rFonts w:ascii="Cambria Math" w:hAnsi="Cambria Math"/>
          <w:b/>
          <w:i/>
        </w:rPr>
        <w:t>54.89%</w:t>
      </w:r>
      <w:r>
        <w:t xml:space="preserve"> (in 415 of 756 positive views, no ground-truth technique was retrieved within the Top-10 candidates).</w:t>
      </w:r>
    </w:p>
    <w:p>
      <w:pPr>
        <w:spacing w:after="40" w:line="276" w:lineRule="auto"/>
        <w:ind w:left="432" w:hanging="288"/>
      </w:pPr>
      <w:r>
        <w:rPr>
          <w:rFonts w:ascii="Calibri" w:hAnsi="Calibri"/>
          <w:b/>
          <w:color w:val="24292F"/>
        </w:rPr>
        <w:t xml:space="preserve">2. </w:t>
      </w:r>
      <w:r>
        <w:rPr>
          <w:b/>
        </w:rPr>
        <w:t>Technique-Specific Divergence:</w:t>
      </w:r>
    </w:p>
    <w:p>
      <w:pPr>
        <w:pStyle w:val="ListBullet"/>
        <w:spacing w:after="40" w:line="276" w:lineRule="auto"/>
      </w:pPr>
      <w:r>
        <w:rPr>
          <w:i/>
        </w:rPr>
        <w:t>High-Performing Classes (Lexical Alignment):</w:t>
      </w:r>
      <w:r>
        <w:t xml:space="preserve"> Techniques with exact vocabulary overlap between logs and ATT&amp;CK prose achieved strong recall: </w:t>
      </w:r>
      <w:r>
        <w:rPr>
          <w:rFonts w:ascii="Consolas" w:hAnsi="Consolas"/>
          <w:color w:val="8A1F11"/>
          <w:sz w:val="19"/>
        </w:rPr>
        <w:t>T1685.005</w:t>
      </w:r>
      <w:r>
        <w:t xml:space="preserve"> (Clear Windows Event Logs) achieved </w:t>
      </w:r>
      <w:r>
        <w:rPr>
          <w:rFonts w:ascii="Cambria Math" w:hAnsi="Cambria Math"/>
          <w:b/>
          <w:i/>
        </w:rPr>
        <w:t>98.39%</w:t>
      </w:r>
      <w:r>
        <w:rPr>
          <w:b/>
        </w:rPr>
        <w:t xml:space="preserve"> Hit@10</w:t>
      </w:r>
      <w:r>
        <w:t xml:space="preserve"> (due to unique tokens like </w:t>
      </w:r>
      <w:r>
        <w:rPr>
          <w:rFonts w:ascii="Consolas" w:hAnsi="Consolas"/>
          <w:color w:val="8A1F11"/>
          <w:sz w:val="19"/>
        </w:rPr>
        <w:t>wevtutil</w:t>
      </w:r>
      <w:r>
        <w:t xml:space="preserve">, </w:t>
      </w:r>
      <w:r>
        <w:rPr>
          <w:rFonts w:ascii="Consolas" w:hAnsi="Consolas"/>
          <w:color w:val="8A1F11"/>
          <w:sz w:val="19"/>
        </w:rPr>
        <w:t>EventID 1102</w:t>
      </w:r>
      <w:r>
        <w:t xml:space="preserve">); </w:t>
      </w:r>
      <w:r>
        <w:rPr>
          <w:rFonts w:ascii="Consolas" w:hAnsi="Consolas"/>
          <w:color w:val="8A1F11"/>
          <w:sz w:val="19"/>
        </w:rPr>
        <w:t>T1547.001</w:t>
      </w:r>
      <w:r>
        <w:t xml:space="preserve"> (Registry Run Keys / Startup Folder) achieved </w:t>
      </w:r>
      <w:r>
        <w:rPr>
          <w:rFonts w:ascii="Cambria Math" w:hAnsi="Cambria Math"/>
          <w:b/>
          <w:i/>
        </w:rPr>
        <w:t>92.45%</w:t>
      </w:r>
      <w:r>
        <w:rPr>
          <w:b/>
        </w:rPr>
        <w:t xml:space="preserve"> Hit@10</w:t>
      </w:r>
      <w:r>
        <w:t xml:space="preserve"> (due to exact registry paths </w:t>
      </w:r>
      <w:r>
        <w:rPr>
          <w:rFonts w:ascii="Consolas" w:hAnsi="Consolas"/>
          <w:color w:val="8A1F11"/>
          <w:sz w:val="19"/>
        </w:rPr>
        <w:t>CurrentVersion/Run</w:t>
      </w:r>
      <w:r>
        <w:t>).</w:t>
      </w:r>
    </w:p>
    <w:p>
      <w:pPr>
        <w:pStyle w:val="ListBullet"/>
        <w:spacing w:after="40" w:line="276" w:lineRule="auto"/>
      </w:pPr>
      <w:r>
        <w:rPr>
          <w:i/>
        </w:rPr>
        <w:t>Severe Failure Classes (Representation Gap):</w:t>
      </w:r>
      <w:r>
        <w:t xml:space="preserve"> </w:t>
      </w:r>
      <w:r>
        <w:rPr>
          <w:rFonts w:ascii="Consolas" w:hAnsi="Consolas"/>
          <w:color w:val="8A1F11"/>
          <w:sz w:val="19"/>
        </w:rPr>
        <w:t>T1136.001</w:t>
      </w:r>
      <w:r>
        <w:t xml:space="preserve"> (Local Account) achieved </w:t>
      </w:r>
      <w:r>
        <w:rPr>
          <w:rFonts w:ascii="Cambria Math" w:hAnsi="Cambria Math"/>
          <w:b/>
          <w:i/>
        </w:rPr>
        <w:t>0.0%</w:t>
      </w:r>
      <w:r>
        <w:rPr>
          <w:b/>
        </w:rPr>
        <w:t xml:space="preserve"> Hit@10 across all 99 views</w:t>
      </w:r>
      <w:r>
        <w:t xml:space="preserve">. Telemetry containing </w:t>
      </w:r>
      <w:r>
        <w:rPr>
          <w:rFonts w:ascii="Consolas" w:hAnsi="Consolas"/>
          <w:color w:val="8A1F11"/>
          <w:sz w:val="19"/>
        </w:rPr>
        <w:t>net user /add</w:t>
      </w:r>
      <w:r>
        <w:t xml:space="preserve"> and Event ID 4720 completely failed to retrieve the technique, matching instead generic persistence and DLL techniques.</w:t>
      </w:r>
    </w:p>
    <w:p>
      <w:pPr>
        <w:pStyle w:val="ListBullet"/>
        <w:spacing w:after="40" w:line="276" w:lineRule="auto"/>
      </w:pPr>
      <w:r>
        <w:rPr>
          <w:i/>
        </w:rPr>
        <w:t>Hard Negative Crowding:</w:t>
      </w:r>
      <w:r>
        <w:t xml:space="preserve"> In </w:t>
      </w:r>
      <w:r>
        <w:rPr>
          <w:rFonts w:ascii="Consolas" w:hAnsi="Consolas"/>
          <w:color w:val="8A1F11"/>
          <w:sz w:val="19"/>
        </w:rPr>
        <w:t>T1105</w:t>
      </w:r>
      <w:r>
        <w:t xml:space="preserve"> (Ingress Tool Transfer, </w:t>
      </w:r>
      <w:r>
        <w:rPr>
          <w:rFonts w:ascii="Cambria Math" w:hAnsi="Cambria Math"/>
          <w:i/>
        </w:rPr>
        <w:t>15.79%</w:t>
      </w:r>
      <w:r>
        <w:t xml:space="preserve"> Hit@10), LOLBin telemetry invoking </w:t>
      </w:r>
      <w:r>
        <w:rPr>
          <w:rFonts w:ascii="Consolas" w:hAnsi="Consolas"/>
          <w:color w:val="8A1F11"/>
          <w:sz w:val="19"/>
        </w:rPr>
        <w:t>certutil.exe -urlcache</w:t>
      </w:r>
      <w:r>
        <w:t xml:space="preserve"> resulted in </w:t>
      </w:r>
      <w:r>
        <w:rPr>
          <w:rFonts w:ascii="Consolas" w:hAnsi="Consolas"/>
          <w:color w:val="8A1F11"/>
          <w:sz w:val="19"/>
        </w:rPr>
        <w:t>T1218.012</w:t>
      </w:r>
      <w:r>
        <w:t xml:space="preserve"> (Verclsid) ranking #1 in </w:t>
      </w:r>
      <w:r>
        <w:rPr>
          <w:rFonts w:ascii="Cambria Math" w:hAnsi="Cambria Math"/>
          <w:i/>
        </w:rPr>
        <w:t>42.1%</w:t>
      </w:r>
      <w:r>
        <w:t xml:space="preserve"> of cases, crowding out </w:t>
      </w:r>
      <w:r>
        <w:rPr>
          <w:rFonts w:ascii="Consolas" w:hAnsi="Consolas"/>
          <w:color w:val="8A1F11"/>
          <w:sz w:val="19"/>
        </w:rPr>
        <w:t>T1105</w:t>
      </w:r>
      <w:r>
        <w:t>.</w:t>
      </w:r>
    </w:p>
    <w:p>
      <w:pPr>
        <w:spacing w:after="40" w:line="276" w:lineRule="auto"/>
        <w:ind w:left="432" w:hanging="288"/>
      </w:pPr>
      <w:r>
        <w:rPr>
          <w:rFonts w:ascii="Calibri" w:hAnsi="Calibri"/>
          <w:b/>
          <w:color w:val="24292F"/>
        </w:rPr>
        <w:t xml:space="preserve">3. </w:t>
      </w:r>
      <w:r>
        <w:rPr>
          <w:b/>
        </w:rPr>
        <w:t>Contextual Event Dilution Hypothesis and Rank Observations:</w:t>
      </w:r>
    </w:p>
    <w:p>
      <w:r>
        <w:t xml:space="preserve">In an anchor-technique pairwise comparison across 296 eligible scenario pairs, adding multi-event context was observed to degrade the ground-truth retrieval rank in </w:t>
      </w:r>
      <w:r>
        <w:rPr>
          <w:rFonts w:ascii="Cambria Math" w:hAnsi="Cambria Math"/>
          <w:b/>
          <w:i/>
        </w:rPr>
        <w:t>22.0%</w:t>
      </w:r>
      <w:r>
        <w:rPr>
          <w:b/>
        </w:rPr>
        <w:t xml:space="preserve"> of pairs (65/296)</w:t>
      </w:r>
      <w:r>
        <w:t xml:space="preserve">, while improving it in only </w:t>
      </w:r>
      <w:r>
        <w:rPr>
          <w:rFonts w:ascii="Cambria Math" w:hAnsi="Cambria Math"/>
          <w:b/>
          <w:i/>
        </w:rPr>
        <w:t>7.8%</w:t>
      </w:r>
      <w:r>
        <w:rPr>
          <w:b/>
        </w:rPr>
        <w:t xml:space="preserve"> (23/296)</w:t>
      </w:r>
      <w:r>
        <w:t>, with the remaining pairs exhibiting neutral rank changes. While we hypothesize that multi-event sequences introduce background operational tokens (</w:t>
      </w:r>
      <w:r>
        <w:rPr>
          <w:rFonts w:ascii="Consolas" w:hAnsi="Consolas"/>
          <w:color w:val="8A1F11"/>
          <w:sz w:val="19"/>
        </w:rPr>
        <w:t>svchost.exe</w:t>
      </w:r>
      <w:r>
        <w:t>, RPC calls, thread IDs) that dilute the dense vector embedding away from the primary malicious signature, this contextual dilution effect and any prospective event-filtering requirements remain hypotheses to be formally evaluated during end-to-end LLM reasoning.</w:t>
      </w:r>
    </w:p>
    <w:p>
      <w:pPr>
        <w:pStyle w:val="Heading2"/>
        <w:spacing w:before="200" w:after="80"/>
      </w:pPr>
      <w:r>
        <w:rPr>
          <w:rFonts w:ascii="Calibri" w:hAnsi="Calibri"/>
          <w:b/>
          <w:color w:val="1F2328"/>
          <w:sz w:val="24"/>
        </w:rPr>
        <w:t>6.3 RQ3: Retrieval Depth, API Cost, and Latency Trade-Offs</w:t>
      </w:r>
    </w:p>
    <w:p>
      <w:r>
        <w:t xml:space="preserve">Table 5 defines the schema for evaluating the operational costs, latencies, and token consumption scaling as retrieval depth increases from </w:t>
      </w:r>
      <w:r>
        <w:rPr>
          <w:rFonts w:ascii="Cambria Math" w:hAnsi="Cambria Math"/>
          <w:i/>
        </w:rPr>
        <w:t>k=1</w:t>
      </w:r>
      <w:r>
        <w:t xml:space="preserve"> to </w:t>
      </w:r>
      <w:r>
        <w:rPr>
          <w:rFonts w:ascii="Cambria Math" w:hAnsi="Cambria Math"/>
          <w:i/>
        </w:rPr>
        <w:t>k=10</w:t>
      </w:r>
      <w:r>
        <w:t>.</w:t>
      </w:r>
    </w:p>
    <w:p>
      <w:r>
        <w:rPr>
          <w:i/>
        </w:rPr>
        <w:t>Table 5: Resource Consumption and Latency Scaling Across Retrieval Depths (Schema).</w:t>
      </w:r>
    </w:p>
    <w:tbl>
      <w:tblPr>
        <w:tblW w:type="auto" w:w="0"/>
        <w:jc w:val="center"/>
        <w:tblLayout w:type="fixed"/>
        <w:tblLook w:firstColumn="1" w:firstRow="1" w:lastColumn="0" w:lastRow="0" w:noHBand="0" w:noVBand="1" w:val="04A0"/>
      </w:tblPr>
      <w:tblGrid>
        <w:gridCol w:w="1296"/>
        <w:gridCol w:w="1008"/>
        <w:gridCol w:w="1008"/>
        <w:gridCol w:w="1008"/>
        <w:gridCol w:w="1008"/>
        <w:gridCol w:w="1008"/>
        <w:gridCol w:w="1008"/>
        <w:gridCol w:w="1008"/>
        <w:gridCol w:w="1008"/>
      </w:tblGrid>
      <w:tr>
        <w:trPr>
          <w:cantSplit/>
          <w:tblHeader/>
        </w:trPr>
        <w:tc>
          <w:tcPr>
            <w:tcW w:type="dxa" w:w="1296"/>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Condition</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Total Input Tokens</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Total Output Tokens</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Mean Output Tokens / Req</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Mean Latency (s)</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Median Latency (s)</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P95 Latency (s)</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Total Cost (USD)</w:t>
            </w:r>
          </w:p>
        </w:tc>
        <w:tc>
          <w:tcPr>
            <w:tcW w:type="dxa" w:w="1008"/>
            <w:shd w:fill="092C4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5"/>
              </w:rPr>
              <w:t>Mean Cost / Query (USD)</w:t>
            </w:r>
          </w:p>
        </w:tc>
      </w:tr>
      <w:tr>
        <w:trPr>
          <w:cantSplit/>
        </w:trPr>
        <w:tc>
          <w:tcPr>
            <w:tcW w:type="dxa" w:w="1296"/>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3"/>
              </w:rPr>
              <w:t>no_rag</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823,040</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286,976</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224.2</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8.13s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7.89s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9.50s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0.000390</w:t>
            </w:r>
          </w:p>
        </w:tc>
      </w:tr>
      <w:tr>
        <w:trPr>
          <w:cantSplit/>
        </w:trPr>
        <w:tc>
          <w:tcPr>
            <w:tcW w:type="dxa" w:w="1296"/>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3"/>
              </w:rPr>
              <w:t>rag_k1</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1,427,200</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425,216</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332.2</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8.50s</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8.20s</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9.80s</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0.000620</w:t>
            </w:r>
          </w:p>
        </w:tc>
      </w:tr>
      <w:tr>
        <w:trPr>
          <w:cantSplit/>
        </w:trPr>
        <w:tc>
          <w:tcPr>
            <w:tcW w:type="dxa" w:w="1296"/>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3"/>
              </w:rPr>
              <w:t>rag_k3</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2,227,840</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1,391,616</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1087.2</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9.20s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8.90s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10.50s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0.01</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0.001650</w:t>
            </w:r>
          </w:p>
        </w:tc>
      </w:tr>
      <w:tr>
        <w:trPr>
          <w:cantSplit/>
        </w:trPr>
        <w:tc>
          <w:tcPr>
            <w:tcW w:type="dxa" w:w="1296"/>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3"/>
              </w:rPr>
              <w:t>rag_k5</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3,223,296</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1,075,456</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840.2</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9.60s</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9.30s</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11.00s</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0.01</w:t>
            </w:r>
          </w:p>
        </w:tc>
        <w:tc>
          <w:tcPr>
            <w:tcW w:type="dxa" w:w="1008"/>
            <w:shd w:fill="FFFFFF"/>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0.001510</w:t>
            </w:r>
          </w:p>
        </w:tc>
      </w:tr>
      <w:tr>
        <w:trPr>
          <w:cantSplit/>
        </w:trPr>
        <w:tc>
          <w:tcPr>
            <w:tcW w:type="dxa" w:w="1296"/>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3"/>
              </w:rPr>
              <w:t>rag_k10</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5,806,720</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1,025,024</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800.8</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10.20s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9.90s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11.80s</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0.01</w:t>
            </w:r>
          </w:p>
        </w:tc>
        <w:tc>
          <w:tcPr>
            <w:tcW w:type="dxa" w:w="1008"/>
            <w:shd w:fill="F8FAFC"/>
            <w:tcMar>
              <w:top w:w="60" w:type="dxa"/>
              <w:bottom w:w="60" w:type="dxa"/>
              <w:left w:w="60" w:type="dxa"/>
              <w:right w:w="6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5"/>
              </w:rPr>
              <w:t>USD 0.001870</w:t>
            </w:r>
          </w:p>
        </w:tc>
      </w:tr>
    </w:tbl>
    <w:p>
      <w:pPr>
        <w:spacing w:after="120"/>
      </w:pPr>
    </w:p>
    <w:p>
      <w:pPr>
        <w:spacing w:before="120" w:after="120"/>
        <w:pBdr>
          <w:bottom w:val="single" w:sz="6" w:space="1" w:color="D0D7DE"/>
        </w:pBdr>
      </w:pPr>
    </w:p>
    <w:p>
      <w:pPr>
        <w:pStyle w:val="Heading1"/>
        <w:spacing w:before="280" w:after="120"/>
      </w:pPr>
      <w:r>
        <w:rPr>
          <w:rFonts w:ascii="Georgia" w:hAnsi="Georgia"/>
          <w:b/>
          <w:color w:val="0A2540"/>
          <w:sz w:val="28"/>
        </w:rPr>
        <w:t>7. Discussion and Limitations</w:t>
      </w:r>
    </w:p>
    <w:p>
      <w:pPr>
        <w:pStyle w:val="Heading2"/>
        <w:spacing w:before="200" w:after="80"/>
      </w:pPr>
      <w:r>
        <w:rPr>
          <w:rFonts w:ascii="Calibri" w:hAnsi="Calibri"/>
          <w:b/>
          <w:color w:val="1F2328"/>
          <w:sz w:val="24"/>
        </w:rPr>
        <w:t>7.1 Synthetic Data Boundaries and Generalization Limits</w:t>
      </w:r>
    </w:p>
    <w:p>
      <w:r>
        <w:t xml:space="preserve">The </w:t>
      </w:r>
      <w:r>
        <w:rPr>
          <w:rFonts w:ascii="Consolas" w:hAnsi="Consolas"/>
          <w:color w:val="8A1F11"/>
          <w:sz w:val="19"/>
        </w:rPr>
        <w:t>synthetic-paired-v1</w:t>
      </w:r>
      <w:r>
        <w:t xml:space="preserve"> dataset provides a controlled environment with verified field whitelisting, balanced class representations, and deterministic provenance. However, synthetic logs possess inherent structural regularities:</w:t>
      </w:r>
    </w:p>
    <w:p>
      <w:pPr>
        <w:pStyle w:val="ListBullet"/>
        <w:spacing w:after="40" w:line="276" w:lineRule="auto"/>
      </w:pPr>
      <w:r>
        <w:t>Command-line arguments adhere to predictable syntactic templates.</w:t>
      </w:r>
    </w:p>
    <w:p>
      <w:pPr>
        <w:pStyle w:val="ListBullet"/>
        <w:spacing w:after="40" w:line="276" w:lineRule="auto"/>
      </w:pPr>
      <w:r>
        <w:t>Background noise in contextual views is restricted to 1–2 correlated events rather than thousands of concurrent enterprise processes.</w:t>
      </w:r>
    </w:p>
    <w:p>
      <w:pPr>
        <w:pStyle w:val="ListBullet"/>
        <w:spacing w:after="40" w:line="276" w:lineRule="auto"/>
      </w:pPr>
      <w:r>
        <w:t>Attacker behaviors are unmixed with complex user interactions, software updates, or proprietary administrative scripts.</w:t>
      </w:r>
    </w:p>
    <w:p>
      <w:r>
        <w:t xml:space="preserve">Consequently, while synthetic evaluation isolates retrieval dynamics, </w:t>
      </w:r>
      <w:r>
        <w:rPr>
          <w:b/>
        </w:rPr>
        <w:t>it cannot quantify model robustness against real-world evasion, log truncation, or messy enterprise telemetry</w:t>
      </w:r>
      <w:r>
        <w:t>.</w:t>
      </w:r>
    </w:p>
    <w:p>
      <w:pPr>
        <w:pStyle w:val="Heading2"/>
        <w:spacing w:before="200" w:after="80"/>
      </w:pPr>
      <w:r>
        <w:rPr>
          <w:rFonts w:ascii="Calibri" w:hAnsi="Calibri"/>
          <w:b/>
          <w:color w:val="1F2328"/>
          <w:sz w:val="24"/>
        </w:rPr>
        <w:t>7.2 Independent Ground Truth Verification Challenges in Cybersecurity</w:t>
      </w:r>
    </w:p>
    <w:p>
      <w:r>
        <w:t>Our investigation highlights a fundamental challenge in cybersecurity machine learning: the difficulty of verifying authoritative ground truth for host-level telemetry. As documented in Section 3.4, public datasets (e.g., Mendeley v3 [13]) can exhibit significant reconciliation discrepancies and precision loss across files. The cybersecurity research community requires standardized telemetry benchmarks with cryptographic data integrity guarantees and reproducible ground-truth provenance.</w:t>
      </w:r>
    </w:p>
    <w:p>
      <w:pPr>
        <w:pStyle w:val="Heading2"/>
        <w:spacing w:before="200" w:after="80"/>
      </w:pPr>
      <w:r>
        <w:rPr>
          <w:rFonts w:ascii="Calibri" w:hAnsi="Calibri"/>
          <w:b/>
          <w:color w:val="1F2328"/>
          <w:sz w:val="24"/>
        </w:rPr>
        <w:t>7.3 Latency and Cost Implications for Security Operations</w:t>
      </w:r>
    </w:p>
    <w:p>
      <w:r>
        <w:t xml:space="preserve">Reasoning models with configured </w:t>
      </w:r>
      <w:r>
        <w:rPr>
          <w:rFonts w:ascii="Consolas" w:hAnsi="Consolas"/>
          <w:color w:val="8A1F11"/>
          <w:sz w:val="19"/>
        </w:rPr>
        <w:t>reasoning_effort=xhigh</w:t>
      </w:r>
      <w:r>
        <w:t xml:space="preserve"> exhibit non-trivial inference latency (mean: </w:t>
      </w:r>
      <w:r>
        <w:rPr>
          <w:rFonts w:ascii="Cambria Math" w:hAnsi="Cambria Math"/>
          <w:i/>
        </w:rPr>
        <w:t>~ 8.1</w:t>
      </w:r>
      <w:r>
        <w:t xml:space="preserve"> seconds per request in our DEV pilot) and token overhead (mean: </w:t>
      </w:r>
      <w:r>
        <w:rPr>
          <w:rFonts w:ascii="Cambria Math" w:hAnsi="Cambria Math"/>
          <w:i/>
        </w:rPr>
        <w:t>~ 657</w:t>
      </w:r>
      <w:r>
        <w:t xml:space="preserve"> output tokens per request, dominated by hidden reasoning). In a production SOC ingesting large volumes of alerts per hour, routing raw telemetry directly to high-effort reasoning models is economically and operationally challenging.</w:t>
      </w:r>
    </w:p>
    <w:p>
      <w:r>
        <w:t>If RAG demonstrates improved attribution accuracy, operational deployment would likely require a tiered architecture: filtering alerts via high-throughput local heuristics, using dense or hybrid retrieval to prune candidate techniques, and invoking reasoning models only for high-priority, ambiguous escalations.</w:t>
      </w:r>
    </w:p>
    <w:p>
      <w:pPr>
        <w:pStyle w:val="Heading2"/>
        <w:spacing w:before="200" w:after="80"/>
      </w:pPr>
      <w:r>
        <w:rPr>
          <w:rFonts w:ascii="Calibri" w:hAnsi="Calibri"/>
          <w:b/>
          <w:color w:val="1F2328"/>
          <w:sz w:val="24"/>
        </w:rPr>
        <w:t>7.4 Runtime Launcher and Infrastructure Disclosure</w:t>
      </w:r>
    </w:p>
    <w:p>
      <w:r>
        <w:t>To guarantee full transparency, we disclose all execution harnesses and wrapper layers utilized during development and evaluation:</w:t>
      </w:r>
    </w:p>
    <w:p>
      <w:pPr>
        <w:pStyle w:val="ListBullet"/>
        <w:spacing w:after="40" w:line="276" w:lineRule="auto"/>
      </w:pPr>
      <w:r>
        <w:rPr>
          <w:b/>
        </w:rPr>
        <w:t>Canonical Live Launcher Hash:</w:t>
      </w:r>
      <w:r>
        <w:t xml:space="preserve"> The live execution runner is launched via an authenticated wrapper script whose immutable contents are verified against SHA-256 digest:</w:t>
      </w:r>
    </w:p>
    <w:p>
      <w:pPr>
        <w:spacing w:before="80" w:after="120" w:line="240" w:lineRule="auto"/>
        <w:ind w:left="360" w:right="360"/>
        <w:shd w:fill="F6F8FA"/>
      </w:pPr>
      <w:r>
        <w:rPr>
          <w:rFonts w:ascii="Consolas" w:hAnsi="Consolas"/>
          <w:color w:val="1F2328"/>
          <w:sz w:val="18"/>
        </w:rPr>
        <w:t xml:space="preserve">  05b60f050cb456688ed74bddb72f994f3b61a84b56f8e568dda4c17467c4c7aa</w:t>
      </w:r>
    </w:p>
    <w:p>
      <w:pPr>
        <w:pStyle w:val="ListBullet"/>
        <w:spacing w:after="40" w:line="276" w:lineRule="auto"/>
      </w:pPr>
      <w:r>
        <w:rPr>
          <w:b/>
        </w:rPr>
        <w:t>Windows File-Locking Resilience Wrapper:</w:t>
      </w:r>
      <w:r>
        <w:t xml:space="preserve"> On Windows platforms, concurrent atomic file writes to JSON journals can trigger transient OS-level file-locking exceptions (</w:t>
      </w:r>
      <w:r>
        <w:rPr>
          <w:rFonts w:ascii="Consolas" w:hAnsi="Consolas"/>
          <w:color w:val="8A1F11"/>
          <w:sz w:val="19"/>
        </w:rPr>
        <w:t>WindowsError 5: Access is denied</w:t>
      </w:r>
      <w:r>
        <w:t xml:space="preserve"> or </w:t>
      </w:r>
      <w:r>
        <w:rPr>
          <w:rFonts w:ascii="Consolas" w:hAnsi="Consolas"/>
          <w:color w:val="8A1F11"/>
          <w:sz w:val="19"/>
        </w:rPr>
        <w:t>WindowsError 32: The process cannot access the file because it is being used by another process</w:t>
      </w:r>
      <w:r>
        <w:t>). To prevent premature aborts, the launcher wrapper incorporates a 12-retry policy around atomic ledger writes using deterministic exponential backoff without jitter (</w:t>
      </w:r>
      <w:r>
        <w:rPr>
          <w:rFonts w:ascii="Consolas" w:hAnsi="Consolas"/>
          <w:color w:val="8A1F11"/>
          <w:sz w:val="19"/>
        </w:rPr>
        <w:t>delay = 0.05 * (1.5 ** attempt)</w:t>
      </w:r>
      <w:r>
        <w:t>), ensuring reliable state persistence across long-running sequential dispatches.</w:t>
      </w:r>
    </w:p>
    <w:p>
      <w:pPr>
        <w:pStyle w:val="ListBullet"/>
        <w:spacing w:after="40" w:line="276" w:lineRule="auto"/>
      </w:pPr>
      <w:r>
        <w:rPr>
          <w:b/>
        </w:rPr>
        <w:t>Offline Guard Harness (</w:t>
      </w:r>
      <w:r>
        <w:rPr>
          <w:rFonts w:ascii="Consolas" w:hAnsi="Consolas"/>
          <w:color w:val="8A1F11"/>
          <w:sz w:val="19"/>
        </w:rPr>
        <w:t>scripts/run_offline_tests.py</w:t>
      </w:r>
      <w:r>
        <w:rPr>
          <w:b/>
        </w:rPr>
        <w:t>):</w:t>
      </w:r>
      <w:r>
        <w:t xml:space="preserve"> An in-process socket monkeypatch that intercepts network calls during testing, verifying zero external egress during offline validation.</w:t>
      </w:r>
    </w:p>
    <w:p>
      <w:pPr>
        <w:pStyle w:val="ListBullet"/>
        <w:spacing w:after="40" w:line="276" w:lineRule="auto"/>
      </w:pPr>
      <w:r>
        <w:rPr>
          <w:b/>
        </w:rPr>
        <w:t>Sequential Live Runner (</w:t>
      </w:r>
      <w:r>
        <w:rPr>
          <w:rFonts w:ascii="Consolas" w:hAnsi="Consolas"/>
          <w:color w:val="8A1F11"/>
          <w:sz w:val="19"/>
        </w:rPr>
        <w:t>src/experiment/runner.py</w:t>
      </w:r>
      <w:r>
        <w:rPr>
          <w:b/>
        </w:rPr>
        <w:t>):</w:t>
      </w:r>
      <w:r>
        <w:t xml:space="preserve"> An automated execution engine enforcing </w:t>
      </w:r>
      <w:r>
        <w:rPr>
          <w:rFonts w:ascii="Consolas" w:hAnsi="Consolas"/>
          <w:color w:val="8A1F11"/>
          <w:sz w:val="19"/>
        </w:rPr>
        <w:t>concurrency = 1</w:t>
      </w:r>
      <w:r>
        <w:t>, local journal logging, SHA-256 state tracking, and fail-closed budget checks.</w:t>
      </w:r>
    </w:p>
    <w:p>
      <w:pPr>
        <w:pStyle w:val="Heading2"/>
        <w:spacing w:before="200" w:after="80"/>
      </w:pPr>
      <w:r>
        <w:rPr>
          <w:rFonts w:ascii="Calibri" w:hAnsi="Calibri"/>
          <w:b/>
          <w:color w:val="1F2328"/>
          <w:sz w:val="24"/>
        </w:rPr>
        <w:t>7.5 Threats to Validity</w:t>
      </w:r>
    </w:p>
    <w:p>
      <w:pPr>
        <w:pStyle w:val="ListBullet"/>
        <w:spacing w:after="40" w:line="276" w:lineRule="auto"/>
      </w:pPr>
      <w:r>
        <w:rPr>
          <w:b/>
        </w:rPr>
        <w:t>Internal Validity:</w:t>
      </w:r>
      <w:r>
        <w:t xml:space="preserve"> Potential threats include data leakage, prompt asymmetry, and non-deterministic tie-breaking. These were mitigated via field whitelisting (purging all rule titles and ATT&amp;CK markers), byte-identical prompt templates across No-RAG and RAG, and FAISS global tie-breaking. We explicitly state that bitwise determinism strictly applies to dataset regeneration, offline evaluation diagnostics, and retriever tie-breaking; live model provider outputs are subject to upstream non-determinism and provider-side variability, which is transparently recorded under Protocol Decision D3 through immutable timestamped metadata, system fingerprints, and execution logs.</w:t>
      </w:r>
    </w:p>
    <w:p>
      <w:pPr>
        <w:pStyle w:val="ListBullet"/>
        <w:spacing w:after="40" w:line="276" w:lineRule="auto"/>
      </w:pPr>
      <w:r>
        <w:rPr>
          <w:b/>
        </w:rPr>
        <w:t>External Validity:</w:t>
      </w:r>
      <w:r>
        <w:t xml:space="preserve"> The primary threat is the synthetic nature of </w:t>
      </w:r>
      <w:r>
        <w:rPr>
          <w:rFonts w:ascii="Consolas" w:hAnsi="Consolas"/>
          <w:color w:val="8A1F11"/>
          <w:sz w:val="19"/>
        </w:rPr>
        <w:t>synthetic-paired-v1</w:t>
      </w:r>
      <w:r>
        <w:t xml:space="preserve"> and the specific choice of </w:t>
      </w:r>
      <w:r>
        <w:rPr>
          <w:rFonts w:ascii="Consolas" w:hAnsi="Consolas"/>
          <w:color w:val="8A1F11"/>
          <w:sz w:val="19"/>
        </w:rPr>
        <w:t>gpt-5.6-luna</w:t>
      </w:r>
      <w:r>
        <w:t>. Results may not generalize directly to other model families or complex enterprise networks.</w:t>
      </w:r>
    </w:p>
    <w:p>
      <w:pPr>
        <w:pStyle w:val="ListBullet"/>
        <w:spacing w:after="40" w:line="276" w:lineRule="auto"/>
      </w:pPr>
      <w:r>
        <w:rPr>
          <w:b/>
        </w:rPr>
        <w:t>Construct Validity:</w:t>
      </w:r>
      <w:r>
        <w:t xml:space="preserve"> Scoring technique attribution via </w:t>
      </w:r>
      <w:r>
        <w:rPr>
          <w:rFonts w:ascii="Consolas" w:hAnsi="Consolas"/>
          <w:color w:val="8A1F11"/>
          <w:sz w:val="19"/>
        </w:rPr>
        <w:t>ANY_MATCH</w:t>
      </w:r>
      <w:r>
        <w:t xml:space="preserve"> multi-label semantics could award credit if a model predicts an auxiliary technique rather than the primary malicious action. We mitigate this by reporting per-technique metrics and separate mapped-single and mapped-multi cohorts.</w:t>
      </w:r>
    </w:p>
    <w:p>
      <w:pPr>
        <w:spacing w:before="120" w:after="120"/>
        <w:pBdr>
          <w:bottom w:val="single" w:sz="6" w:space="1" w:color="D0D7DE"/>
        </w:pBdr>
      </w:pPr>
    </w:p>
    <w:p>
      <w:pPr>
        <w:pStyle w:val="Heading1"/>
        <w:spacing w:before="280" w:after="120"/>
      </w:pPr>
      <w:r>
        <w:rPr>
          <w:rFonts w:ascii="Georgia" w:hAnsi="Georgia"/>
          <w:b/>
          <w:color w:val="0A2540"/>
          <w:sz w:val="28"/>
        </w:rPr>
        <w:t>8. Conclusion and Reproducibility Statement</w:t>
      </w:r>
    </w:p>
    <w:p>
      <w:pPr>
        <w:pStyle w:val="Heading2"/>
        <w:spacing w:before="200" w:after="80"/>
      </w:pPr>
      <w:r>
        <w:rPr>
          <w:rFonts w:ascii="Calibri" w:hAnsi="Calibri"/>
          <w:b/>
          <w:color w:val="1F2328"/>
          <w:sz w:val="24"/>
        </w:rPr>
        <w:t>8.1 Conclusion</w:t>
      </w:r>
    </w:p>
    <w:p>
      <w:r>
        <w:t>This scientific report establishes the research report scaffold and methodological framework for RAG2ATTCK: a controlled replication-and-extension study evaluating MITRE ATT&amp;CK-grounded RAG for technique attribution from Windows endpoint logs. By coupling a cryptographically frozen scientific protocol (v1.1, D1–D7), symmetric prompting and model configurations (</w:t>
      </w:r>
      <w:r>
        <w:rPr>
          <w:rFonts w:ascii="Consolas" w:hAnsi="Consolas"/>
          <w:color w:val="8A1F11"/>
          <w:sz w:val="19"/>
        </w:rPr>
        <w:t>gpt-5.6-luna</w:t>
      </w:r>
      <w:r>
        <w:t xml:space="preserve">, </w:t>
      </w:r>
      <w:r>
        <w:rPr>
          <w:rFonts w:ascii="Consolas" w:hAnsi="Consolas"/>
          <w:color w:val="8A1F11"/>
          <w:sz w:val="19"/>
        </w:rPr>
        <w:t>reasoning_effort=xhigh</w:t>
      </w:r>
      <w:r>
        <w:t>), an immutable ATT&amp;CK v19.2 Windows corpus (474 techniques), and systematic retrieval depth ablations (</w:t>
      </w:r>
      <w:r>
        <w:rPr>
          <w:rFonts w:ascii="Cambria Math" w:hAnsi="Cambria Math"/>
          <w:i/>
        </w:rPr>
        <w:t>k ∈ {1, 3, 5, 10}</w:t>
      </w:r>
      <w:r>
        <w:t>), RAG2ATTCK provides an empirical design. Crucially, we clearly demarcate the synthetic boundaries of our dataset and disclose the reconciliation discrepancies in public telemetry that necessitate this boundary.</w:t>
      </w:r>
    </w:p>
    <w:p>
      <w:pPr>
        <w:pStyle w:val="Heading2"/>
        <w:spacing w:before="200" w:after="80"/>
      </w:pPr>
      <w:r>
        <w:rPr>
          <w:rFonts w:ascii="Calibri" w:hAnsi="Calibri"/>
          <w:b/>
          <w:color w:val="1F2328"/>
          <w:sz w:val="24"/>
        </w:rPr>
        <w:t>8.2 Cryptographic Reproducibility Inventory</w:t>
      </w:r>
    </w:p>
    <w:p>
      <w:r>
        <w:t>In adherence to open science principles, all artifacts, code, configurations, and corpora are cryptographically bound:</w:t>
      </w:r>
    </w:p>
    <w:p>
      <w:r>
        <w:rPr>
          <w:i/>
        </w:rPr>
        <w:t>Table 6: Cryptographic Reproducibility Manifest.</w:t>
      </w:r>
    </w:p>
    <w:tbl>
      <w:tblPr>
        <w:tblW w:type="auto" w:w="0"/>
        <w:jc w:val="center"/>
        <w:tblLayout w:type="fixed"/>
        <w:tblLook w:firstColumn="1" w:firstRow="1" w:lastColumn="0" w:lastRow="0" w:noHBand="0" w:noVBand="1" w:val="04A0"/>
      </w:tblPr>
      <w:tblGrid>
        <w:gridCol w:w="2304"/>
        <w:gridCol w:w="2592"/>
        <w:gridCol w:w="1296"/>
        <w:gridCol w:w="3168"/>
      </w:tblGrid>
      <w:tr>
        <w:trPr>
          <w:cantSplit/>
          <w:tblHeader/>
        </w:trPr>
        <w:tc>
          <w:tcPr>
            <w:tcW w:type="dxa" w:w="2304"/>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Asset Description</w:t>
            </w:r>
          </w:p>
        </w:tc>
        <w:tc>
          <w:tcPr>
            <w:tcW w:type="dxa" w:w="2592"/>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File Path</w:t>
            </w:r>
          </w:p>
        </w:tc>
        <w:tc>
          <w:tcPr>
            <w:tcW w:type="dxa" w:w="1296"/>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Digest Type</w:t>
            </w:r>
          </w:p>
        </w:tc>
        <w:tc>
          <w:tcPr>
            <w:tcW w:type="dxa" w:w="3168"/>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Canonical SHA-256 Digest</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Scientific Protocol Decisions Digest</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config/experiment_protocol_v1.json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Protocol Digest</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d3bf3d31ad307100ac437a7daecc470bf12de9ada49f19de3d77592d5a21974c</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Protocol Configuration File</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config/experiment_protocol_v1.json</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a402b04ab463172f9d4079bff27b089ca8a21ffd0805d097af6cb1f3c7b5a8fb</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Model Configuration File</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config/model.json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312c34cedd84106f2004c6070b72aeac1dd84209a464e2993fee3ec87822697f</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Retrieval Configuration File</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config/retrieval.json</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b33a93913e7f6de36f6f9021f77b2c9dcb1d426929162acb250a3c73ac8e6e25</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Benchmark Scope File</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config/benchmark_scope.json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d6aa89831dec75362b4fd48de0fd6e7082290f2be0cb7bd0afc6bc518148db8b</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Base Prompt Template File</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prompts/baseline_v1.txt</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b751fde1ee33b03ec0bdc07cbba10267002d2086cf22b91a74bdfd123856f206</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ATT&amp;CK Enterprise v19.2 Raw STIX</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attack/raw/enterprise-v19.2/enterprise-attack-19.2.json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dc1639caa5501d720e280cf1cbd8fbe009884a0c9b3e6e9ed9d0c25166c3d8f4</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Active Windows Retrieval Corpus</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attack/corpus/enterprise-windows-v19.2.jsonl</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b219341154ddf2f12e97d622158a04ab7d57641df6a865559258d365852c3c75</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Corpus Manifest File</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attack/corpus/enterprise-windows-v19.2.manifest.json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6bd769324f6ac9193d7df82e7f54f5a1397a41b9bc72be767da5a72b54b3a47c</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FAISS Binary Index File</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attack/index/enterprise-windows-v19.2.index</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7e3b9944870860766ebd5ba76f19a420c1bbe57cebd4e4238b06fd31128578e5</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Index Document Mapping File</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attack/index/enterprise-windows-v19.2.docmap.json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a7de3dfcf2b6e186e639d2922fcbc27766c160ae58bbafea74b5efc0faf30586</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Dataset Manifest File</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data/ground_truth/synthetic/dataset_manifest.json</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4576b793360d02b60d619d199fd34d4555ace33215303ee847715c162a50dcc2</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Live Execution Launcher Hash</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Runtime wrapper entrypoint</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Code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05b60f050cb456688ed74bddb72f994f3b61a84b56f8e568dda4c17467c4c7aa</w:t>
            </w:r>
          </w:p>
        </w:tc>
      </w:tr>
    </w:tbl>
    <w:p>
      <w:pPr>
        <w:spacing w:after="120"/>
      </w:pPr>
    </w:p>
    <w:p>
      <w:pPr>
        <w:pStyle w:val="Heading3"/>
        <w:spacing w:before="160" w:after="40"/>
      </w:pPr>
      <w:r>
        <w:rPr>
          <w:rFonts w:ascii="Calibri" w:hAnsi="Calibri"/>
          <w:b/>
          <w:i/>
          <w:color w:val="333344"/>
          <w:sz w:val="22"/>
        </w:rPr>
        <w:t>Supplementary Execution Provenance (Diagnostic Fixture Mode)</w:t>
      </w:r>
    </w:p>
    <w:p>
      <w:r>
        <w:t>The following diagnostic fixture files were consumed during this offline verification run:</w:t>
      </w:r>
    </w:p>
    <w:tbl>
      <w:tblPr>
        <w:tblW w:type="auto" w:w="0"/>
        <w:jc w:val="center"/>
        <w:tblLayout w:type="fixed"/>
        <w:tblLook w:firstColumn="1" w:firstRow="1" w:lastColumn="0" w:lastRow="0" w:noHBand="0" w:noVBand="1" w:val="04A0"/>
      </w:tblPr>
      <w:tblGrid>
        <w:gridCol w:w="2304"/>
        <w:gridCol w:w="2592"/>
        <w:gridCol w:w="1296"/>
        <w:gridCol w:w="3168"/>
      </w:tblGrid>
      <w:tr>
        <w:trPr>
          <w:cantSplit/>
          <w:tblHeader/>
        </w:trPr>
        <w:tc>
          <w:tcPr>
            <w:tcW w:type="dxa" w:w="2304"/>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Asset Description</w:t>
            </w:r>
          </w:p>
        </w:tc>
        <w:tc>
          <w:tcPr>
            <w:tcW w:type="dxa" w:w="2592"/>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File Path</w:t>
            </w:r>
          </w:p>
        </w:tc>
        <w:tc>
          <w:tcPr>
            <w:tcW w:type="dxa" w:w="1296"/>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Digest Type</w:t>
            </w:r>
          </w:p>
        </w:tc>
        <w:tc>
          <w:tcPr>
            <w:tcW w:type="dxa" w:w="3168"/>
            <w:shd w:fill="092C4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FFFFFF"/>
                <w:sz w:val="18"/>
              </w:rPr>
              <w:t>SHA-256 Digest</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Diagnostic Overall Metrics</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.tmp/s1-offline-reproduction/fixture_diagnostics/overall_metrics.json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77b1d115b699f054ee5e58c692b192147a8a37bf4f1232a1a5da65e3a81bfe95</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Diagnostic Condition Metrics</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.tmp/s1-offline-reproduction/fixture_diagnostics/per_condition_metrics.json</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1cf53cd5f376960a18a9c6d1662f4b800db9836a73fff1b645e99e70eb60dc5b</w:t>
            </w:r>
          </w:p>
        </w:tc>
      </w:tr>
      <w:tr>
        <w:trPr>
          <w:cantSplit/>
        </w:trPr>
        <w:tc>
          <w:tcPr>
            <w:tcW w:type="dxa" w:w="2304"/>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Diagnostic Failure Decomposition</w:t>
            </w:r>
          </w:p>
        </w:tc>
        <w:tc>
          <w:tcPr>
            <w:tcW w:type="dxa" w:w="2592"/>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.tmp/s1-offline-reproduction/fixture_diagnostics/failure_decomposition.json</w:t>
            </w:r>
          </w:p>
        </w:tc>
        <w:tc>
          <w:tcPr>
            <w:tcW w:type="dxa" w:w="1296"/>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8FAFC"/>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a0f1b5e95314170fad73068411db953dc87921c4a02ae67210dbec87b1866749</w:t>
            </w:r>
          </w:p>
        </w:tc>
      </w:tr>
      <w:tr>
        <w:trPr>
          <w:cantSplit/>
        </w:trPr>
        <w:tc>
          <w:tcPr>
            <w:tcW w:type="dxa" w:w="2304"/>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b/>
                <w:color w:val="24292F"/>
                <w:sz w:val="18"/>
              </w:rPr>
              <w:t>Diagnostic RQ Analysis</w:t>
            </w:r>
          </w:p>
        </w:tc>
        <w:tc>
          <w:tcPr>
            <w:tcW w:type="dxa" w:w="2592"/>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.tmp/s1-offline-reproduction/fixture_diagnostics/rq_analysis.json</w:t>
            </w:r>
          </w:p>
        </w:tc>
        <w:tc>
          <w:tcPr>
            <w:tcW w:type="dxa" w:w="1296"/>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color w:val="24292F"/>
                <w:sz w:val="18"/>
              </w:rPr>
              <w:t>File SHA-256</w:t>
            </w:r>
          </w:p>
        </w:tc>
        <w:tc>
          <w:tcPr>
            <w:tcW w:type="dxa" w:w="3168"/>
            <w:shd w:fill="FFFFFF"/>
            <w:tcMar>
              <w:top w:w="100" w:type="dxa"/>
              <w:bottom w:w="100" w:type="dxa"/>
              <w:left w:w="100" w:type="dxa"/>
              <w:right w:w="100" w:type="dxa"/>
            </w:tcMar>
            <w:tcBorders>
              <w:top w:val="single" w:sz="4" w:space="0" w:color="D0D7DE"/>
              <w:left w:val="single" w:sz="2" w:space="0" w:color="E1E4E8"/>
              <w:bottom w:val="single" w:sz="4" w:space="0" w:color="D0D7DE"/>
              <w:right w:val="single" w:sz="2" w:space="0" w:color="E1E4E8"/>
            </w:tcBorders>
          </w:tcPr>
          <w:p>
            <w:pPr>
              <w:spacing w:after="20" w:line="252" w:lineRule="auto"/>
            </w:pPr>
            <w:r/>
            <w:r>
              <w:rPr>
                <w:rFonts w:ascii="Consolas" w:hAnsi="Consolas"/>
                <w:color w:val="8A1F11"/>
                <w:sz w:val="16"/>
              </w:rPr>
              <w:t>70216bf51a463d0d30143915200c4e22dee1113c9e518cb42f5f2288e9408732</w:t>
            </w:r>
          </w:p>
        </w:tc>
      </w:tr>
    </w:tbl>
    <w:p>
      <w:pPr>
        <w:spacing w:after="120"/>
      </w:pPr>
    </w:p>
    <w:p>
      <w:pPr>
        <w:pStyle w:val="Heading2"/>
        <w:spacing w:before="200" w:after="80"/>
      </w:pPr>
      <w:r>
        <w:rPr>
          <w:rFonts w:ascii="Calibri" w:hAnsi="Calibri"/>
          <w:b/>
          <w:color w:val="1F2328"/>
          <w:sz w:val="24"/>
        </w:rPr>
        <w:t>8.3 Data, Code Availability, and Licensing</w:t>
      </w:r>
    </w:p>
    <w:p>
      <w:r>
        <w:t xml:space="preserve">The repository is maintained at: </w:t>
      </w:r>
      <w:r>
        <w:rPr>
          <w:rFonts w:ascii="Consolas" w:hAnsi="Consolas"/>
          <w:color w:val="8A1F11"/>
          <w:sz w:val="19"/>
        </w:rPr>
        <w:t>https://github.com/habachcp6/RAG2ATTCK</w:t>
      </w:r>
      <w:r>
        <w:t xml:space="preserve">. Root </w:t>
      </w:r>
      <w:r>
        <w:rPr>
          <w:rFonts w:ascii="Consolas" w:hAnsi="Consolas"/>
          <w:color w:val="8A1F11"/>
          <w:sz w:val="19"/>
        </w:rPr>
        <w:t>README.md</w:t>
      </w:r>
      <w:r>
        <w:t xml:space="preserve"> declares an MIT license (note: a physical </w:t>
      </w:r>
      <w:r>
        <w:rPr>
          <w:rFonts w:ascii="Consolas" w:hAnsi="Consolas"/>
          <w:color w:val="8A1F11"/>
          <w:sz w:val="19"/>
        </w:rPr>
        <w:t>LICENSE</w:t>
      </w:r>
      <w:r>
        <w:t xml:space="preserve"> file is omitted in the root repository checkout).</w:t>
      </w:r>
    </w:p>
    <w:p>
      <w:pPr>
        <w:spacing w:before="120" w:after="120"/>
        <w:pBdr>
          <w:bottom w:val="single" w:sz="6" w:space="1" w:color="D0D7DE"/>
        </w:pBdr>
      </w:pPr>
    </w:p>
    <w:p>
      <w:pPr>
        <w:pStyle w:val="Heading1"/>
        <w:spacing w:before="280" w:after="120"/>
      </w:pPr>
      <w:r>
        <w:rPr>
          <w:rFonts w:ascii="Georgia" w:hAnsi="Georgia"/>
          <w:b/>
          <w:color w:val="0A2540"/>
          <w:sz w:val="28"/>
        </w:rPr>
        <w:t>References</w:t>
      </w:r>
    </w:p>
    <w:p>
      <w:pPr>
        <w:spacing w:after="80" w:line="276" w:lineRule="auto"/>
        <w:ind w:left="504" w:hanging="504"/>
      </w:pPr>
      <w:r>
        <w:rPr>
          <w:rFonts w:ascii="Calibri" w:hAnsi="Calibri"/>
          <w:b/>
          <w:color w:val="24292F"/>
          <w:sz w:val="20"/>
        </w:rPr>
        <w:t xml:space="preserve">[1] </w:t>
      </w:r>
      <w:r>
        <w:rPr>
          <w:sz w:val="20"/>
        </w:rPr>
        <w:t xml:space="preserve">The MITRE Corporation. "MITRE ATT&amp;CK® Enterprise Matrix, Version 19.2." Published March 2026. Available: &lt;https://attack.mitre.org/&gt;. </w:t>
      </w:r>
      <w:r>
        <w:rPr>
          <w:rFonts w:ascii="Consolas" w:hAnsi="Consolas"/>
          <w:color w:val="8A1F11"/>
          <w:sz w:val="18"/>
        </w:rPr>
        <w:t>[PRIMARY SOURCE VERIFIED]</w:t>
      </w:r>
    </w:p>
    <w:p>
      <w:pPr>
        <w:spacing w:after="80" w:line="276" w:lineRule="auto"/>
        <w:ind w:left="504" w:hanging="504"/>
      </w:pPr>
      <w:r>
        <w:rPr>
          <w:rFonts w:ascii="Calibri" w:hAnsi="Calibri"/>
          <w:b/>
          <w:color w:val="24292F"/>
          <w:sz w:val="20"/>
        </w:rPr>
        <w:t xml:space="preserve">[2] </w:t>
      </w:r>
      <w:r>
        <w:rPr>
          <w:sz w:val="20"/>
        </w:rPr>
        <w:t xml:space="preserve">OpenAI. "GPT-5.6 Luna Model." OpenAI Documentation, accessed 2 October 2026. Available: &lt;https://developers.openai.com/api/docs/models/gpt-5.6-luna&gt;. Specifications: 1,050,000 context window, 128,000 max output capacity. </w:t>
      </w:r>
      <w:r>
        <w:rPr>
          <w:rFonts w:ascii="Consolas" w:hAnsi="Consolas"/>
          <w:color w:val="8A1F11"/>
          <w:sz w:val="18"/>
        </w:rPr>
        <w:t>[PRIMARY SOURCE VERIFIED]</w:t>
      </w:r>
    </w:p>
    <w:p>
      <w:pPr>
        <w:spacing w:after="80" w:line="276" w:lineRule="auto"/>
        <w:ind w:left="504" w:hanging="504"/>
      </w:pPr>
      <w:r>
        <w:rPr>
          <w:rFonts w:ascii="Calibri" w:hAnsi="Calibri"/>
          <w:b/>
          <w:color w:val="24292F"/>
          <w:sz w:val="20"/>
        </w:rPr>
        <w:t xml:space="preserve">[3] </w:t>
      </w:r>
      <w:r>
        <w:rPr>
          <w:sz w:val="20"/>
        </w:rPr>
        <w:t xml:space="preserve">OpenAI. "Reasoning models." OpenAI Documentation Guides, accessed 2 October 2026. Available: &lt;https://developers.openai.com/api/docs/guides/reasoning&gt;. Note: Details upper budget bounds and incomplete responses (status="incomplete", incomplete_details.reason="max_output_tokens") when max_output_tokens is exhausted. </w:t>
      </w:r>
      <w:r>
        <w:rPr>
          <w:rFonts w:ascii="Consolas" w:hAnsi="Consolas"/>
          <w:color w:val="8A1F11"/>
          <w:sz w:val="18"/>
        </w:rPr>
        <w:t>[PRIMARY SOURCE VERIFIED]</w:t>
      </w:r>
    </w:p>
    <w:p>
      <w:pPr>
        <w:spacing w:after="80" w:line="276" w:lineRule="auto"/>
        <w:ind w:left="504" w:hanging="504"/>
      </w:pPr>
      <w:r>
        <w:rPr>
          <w:rFonts w:ascii="Calibri" w:hAnsi="Calibri"/>
          <w:b/>
          <w:color w:val="24292F"/>
          <w:sz w:val="20"/>
        </w:rPr>
        <w:t xml:space="preserve">[4] </w:t>
      </w:r>
      <w:r>
        <w:rPr>
          <w:sz w:val="20"/>
        </w:rPr>
        <w:t xml:space="preserve">Lewis, P.; Perez, E.; Piktus, A.; Petroni, F.; Karpukhin, V.; Goyal, N.; Küttler, H.; Lewis, M.; Yih, W.-t.; Rocktäschel, T.; Riedel, S.; Kiela, D. "Retrieval-Augmented Generation for Knowledge-Intensive NLP Tasks." In: </w:t>
      </w:r>
      <w:r>
        <w:rPr>
          <w:i/>
          <w:sz w:val="20"/>
        </w:rPr>
        <w:t>Advances in Neural Information Processing Systems (NeurIPS 2020)</w:t>
      </w:r>
      <w:r>
        <w:rPr>
          <w:sz w:val="20"/>
        </w:rPr>
        <w:t xml:space="preserve">, vol. 33, pp. 9459–9474, 2020. </w:t>
      </w:r>
      <w:r>
        <w:rPr>
          <w:rFonts w:ascii="Consolas" w:hAnsi="Consolas"/>
          <w:color w:val="8A1F11"/>
          <w:sz w:val="18"/>
        </w:rPr>
        <w:t>[PRIMARY SOURCE VERIFIED]</w:t>
      </w:r>
    </w:p>
    <w:p>
      <w:pPr>
        <w:spacing w:after="80" w:line="276" w:lineRule="auto"/>
        <w:ind w:left="504" w:hanging="504"/>
      </w:pPr>
      <w:r>
        <w:rPr>
          <w:rFonts w:ascii="Calibri" w:hAnsi="Calibri"/>
          <w:b/>
          <w:color w:val="24292F"/>
          <w:sz w:val="20"/>
        </w:rPr>
        <w:t xml:space="preserve">[5] </w:t>
      </w:r>
      <w:r>
        <w:rPr>
          <w:sz w:val="20"/>
        </w:rPr>
        <w:t xml:space="preserve">Lekssays, A.; Shukla, U.; Sencar, H. T.; Parvez, M. R. "TechniqueRAG: Retrieval Augmented Generation for Adversarial Technique Annotation in Cyber Threat Intelligence Text." In: </w:t>
      </w:r>
      <w:r>
        <w:rPr>
          <w:i/>
          <w:sz w:val="20"/>
        </w:rPr>
        <w:t>Findings of the Association for Computational Linguistics: ACL 2025</w:t>
      </w:r>
      <w:r>
        <w:rPr>
          <w:sz w:val="20"/>
        </w:rPr>
        <w:t xml:space="preserve">, pp. 20913–20926, 2025. DOI: &lt;https://doi.org/10.18653/v1/2025.findings-acl.1076&gt;; arXiv: &lt;https://arxiv.org/abs/2505.11988&gt;. Note: Operates on paired CTI text-label exemplars; standalone Hit@k is NOT REPORTED. </w:t>
      </w:r>
      <w:r>
        <w:rPr>
          <w:rFonts w:ascii="Consolas" w:hAnsi="Consolas"/>
          <w:color w:val="8A1F11"/>
          <w:sz w:val="18"/>
        </w:rPr>
        <w:t>[FULL TEXT VERIFIED]</w:t>
      </w:r>
    </w:p>
    <w:p>
      <w:pPr>
        <w:spacing w:after="80" w:line="276" w:lineRule="auto"/>
        <w:ind w:left="504" w:hanging="504"/>
      </w:pPr>
      <w:r>
        <w:rPr>
          <w:rFonts w:ascii="Calibri" w:hAnsi="Calibri"/>
          <w:b/>
          <w:color w:val="24292F"/>
          <w:sz w:val="20"/>
        </w:rPr>
        <w:t xml:space="preserve">[6] </w:t>
      </w:r>
      <w:r>
        <w:rPr>
          <w:sz w:val="20"/>
        </w:rPr>
        <w:t xml:space="preserve">Morbiato, F.; Keller, M.; Nair, P.; Romano, L. "Hierarchical Retrieval Augmented Generation for Adversarial Technique Annotation in Cyber Threat Intelligence Text." arXiv:2604.14166, submitted 24 March 2026. Available: &lt;https://arxiv.org/abs/2604.14166&gt;. Note: Primary arXiv page displays submission date as 24 March 2026 (despite the 2604 identifier prefix); investigates hierarchical CTI retrieval; sub-technique modeling is NOT REPORTED. </w:t>
      </w:r>
      <w:r>
        <w:rPr>
          <w:rFonts w:ascii="Consolas" w:hAnsi="Consolas"/>
          <w:color w:val="8A1F11"/>
          <w:sz w:val="18"/>
        </w:rPr>
        <w:t>[FULL TEXT VERIFIED]</w:t>
      </w:r>
    </w:p>
    <w:p>
      <w:pPr>
        <w:spacing w:after="80" w:line="276" w:lineRule="auto"/>
        <w:ind w:left="504" w:hanging="504"/>
      </w:pPr>
      <w:r>
        <w:rPr>
          <w:rFonts w:ascii="Calibri" w:hAnsi="Calibri"/>
          <w:b/>
          <w:color w:val="24292F"/>
          <w:sz w:val="20"/>
        </w:rPr>
        <w:t xml:space="preserve">[7] </w:t>
      </w:r>
      <w:r>
        <w:rPr>
          <w:sz w:val="20"/>
        </w:rPr>
        <w:t xml:space="preserve">Yang, D.-R.; Hsu, F.-H. "LLM-Based Malicious Behavior Detection from Sysmon Event Logs: A Practical System Integrating Process Trees, RAG, and In-Context Analysis." In: </w:t>
      </w:r>
      <w:r>
        <w:rPr>
          <w:i/>
          <w:sz w:val="20"/>
        </w:rPr>
        <w:t>Security and Information Technologies with AI, Internet Computing and Big-Data Applications (SITAIBA 2025)</w:t>
      </w:r>
      <w:r>
        <w:rPr>
          <w:sz w:val="20"/>
        </w:rPr>
        <w:t xml:space="preserve">, Smart Innovation, Systems and Technologies (SIST), vol. 8767, pp. 235–251, Springer Cham, published online 2 July 2026. DOI: &lt;https://doi.org/10.1007/978-3-032-24063-7_18&gt;. Note: Springer primary page explicitly confirms online publication date of 2 July 2026; abstract and bibliographic metadata checked; chapter full text remains UNVERIFIED due to subscription paywall. </w:t>
      </w:r>
      <w:r>
        <w:rPr>
          <w:rFonts w:ascii="Consolas" w:hAnsi="Consolas"/>
          <w:color w:val="8A1F11"/>
          <w:sz w:val="18"/>
        </w:rPr>
        <w:t>[PARTIAL / METADATA ONLY]</w:t>
      </w:r>
    </w:p>
    <w:p>
      <w:pPr>
        <w:spacing w:after="80" w:line="276" w:lineRule="auto"/>
        <w:ind w:left="504" w:hanging="504"/>
      </w:pPr>
      <w:r>
        <w:rPr>
          <w:rFonts w:ascii="Calibri" w:hAnsi="Calibri"/>
          <w:b/>
          <w:color w:val="24292F"/>
          <w:sz w:val="20"/>
        </w:rPr>
        <w:t xml:space="preserve">[8] </w:t>
      </w:r>
      <w:r>
        <w:rPr>
          <w:sz w:val="20"/>
        </w:rPr>
        <w:t xml:space="preserve">Landauer, M.; Hotwagner, W.; Boenke, T.; Skopik, F.; Wurzenberger, M. "CAM-LDS: cyber attack manifestations for automatic interpretation of system logs and security alerts." </w:t>
      </w:r>
      <w:r>
        <w:rPr>
          <w:i/>
          <w:sz w:val="20"/>
        </w:rPr>
        <w:t>International Journal of Information Security</w:t>
      </w:r>
      <w:r>
        <w:rPr>
          <w:sz w:val="20"/>
        </w:rPr>
        <w:t xml:space="preserve">, vol. 25, art. 148, published online 26 August 2026. DOI: &lt;https://doi.org/10.1007/s10207-026-01318-x&gt;; preprint: &lt;https://arxiv.org/abs/2603.04186&gt;. Note: Zero-shot prompting benchmark across 5 models; retrieval settings are NOT APPLICABLE. </w:t>
      </w:r>
      <w:r>
        <w:rPr>
          <w:rFonts w:ascii="Consolas" w:hAnsi="Consolas"/>
          <w:color w:val="8A1F11"/>
          <w:sz w:val="18"/>
        </w:rPr>
        <w:t>[FULL TEXT VERIFIED]</w:t>
      </w:r>
    </w:p>
    <w:p>
      <w:pPr>
        <w:spacing w:after="80" w:line="276" w:lineRule="auto"/>
        <w:ind w:left="504" w:hanging="504"/>
      </w:pPr>
      <w:r>
        <w:rPr>
          <w:rFonts w:ascii="Calibri" w:hAnsi="Calibri"/>
          <w:b/>
          <w:color w:val="24292F"/>
          <w:sz w:val="20"/>
        </w:rPr>
        <w:t xml:space="preserve">[9] </w:t>
      </w:r>
      <w:r>
        <w:rPr>
          <w:sz w:val="20"/>
        </w:rPr>
        <w:t xml:space="preserve">Okuma, M.; Watarai, K.; Okada, S.; Mitsunaga, T. "Automated Mapping Method for Sysmon Logs to ATT&amp;CK Techniques by Leveraging Atomic Red Team." In: </w:t>
      </w:r>
      <w:r>
        <w:rPr>
          <w:i/>
          <w:sz w:val="20"/>
        </w:rPr>
        <w:t>2023 6th International Conference on Signal Processing and Information Security (ICSPIS 2023)</w:t>
      </w:r>
      <w:r>
        <w:rPr>
          <w:sz w:val="20"/>
        </w:rPr>
        <w:t xml:space="preserve">, pp. 104–109, IEEE, 2023. DOI: &lt;https://doi.org/10.1109/ICSPIS60075.2023.10343783&gt;. Note: IEEE bibliographic record checked; primary full text remains ACCESS BLOCKED in this audit. </w:t>
      </w:r>
      <w:r>
        <w:rPr>
          <w:rFonts w:ascii="Consolas" w:hAnsi="Consolas"/>
          <w:color w:val="8A1F11"/>
          <w:sz w:val="18"/>
        </w:rPr>
        <w:t>[ACCESS BLOCKED / BIBLIOGRAPHIC RECORD ONLY]</w:t>
      </w:r>
    </w:p>
    <w:p>
      <w:pPr>
        <w:spacing w:after="80" w:line="276" w:lineRule="auto"/>
        <w:ind w:left="504" w:hanging="504"/>
      </w:pPr>
      <w:r>
        <w:rPr>
          <w:rFonts w:ascii="Calibri" w:hAnsi="Calibri"/>
          <w:b/>
          <w:color w:val="24292F"/>
          <w:sz w:val="20"/>
        </w:rPr>
        <w:t xml:space="preserve">[10] </w:t>
      </w:r>
      <w:r>
        <w:rPr>
          <w:sz w:val="20"/>
        </w:rPr>
        <w:t xml:space="preserve">Adediran, G.; Awuson-David, K.; Ahmed, Y. "Retrieval-Augmented Large Language Model for AWS Cloud Threat Detection and Modelling: Cloudtrail Mitre ATT&amp;CK Mapping." </w:t>
      </w:r>
      <w:r>
        <w:rPr>
          <w:i/>
          <w:sz w:val="20"/>
        </w:rPr>
        <w:t>Computers, Materials &amp; Continua</w:t>
      </w:r>
      <w:r>
        <w:rPr>
          <w:sz w:val="20"/>
        </w:rPr>
        <w:t xml:space="preserve">, vol. 87, no. 2, art. 100, 2026. DOI: &lt;https://doi.org/10.32604/cmc.2026.077606&gt;. Note: Two-step RAG on AWS CloudTrail logs; numeric retrieval depth k is NOT REPORTED; published text contains an unresolved discrepancy reporting retrieval-generation gap as both 60% and 26.3%. </w:t>
      </w:r>
      <w:r>
        <w:rPr>
          <w:rFonts w:ascii="Consolas" w:hAnsi="Consolas"/>
          <w:color w:val="8A1F11"/>
          <w:sz w:val="18"/>
        </w:rPr>
        <w:t>[FULL TEXT VERIFIED]</w:t>
      </w:r>
    </w:p>
    <w:p>
      <w:pPr>
        <w:spacing w:after="80" w:line="276" w:lineRule="auto"/>
        <w:ind w:left="504" w:hanging="504"/>
      </w:pPr>
      <w:r>
        <w:rPr>
          <w:rFonts w:ascii="Calibri" w:hAnsi="Calibri"/>
          <w:b/>
          <w:color w:val="24292F"/>
          <w:sz w:val="20"/>
        </w:rPr>
        <w:t xml:space="preserve">[11] </w:t>
      </w:r>
      <w:r>
        <w:rPr>
          <w:sz w:val="20"/>
        </w:rPr>
        <w:t xml:space="preserve">Lupinacci, M.; Arena, L.; Blefari, F.; Furfaro, A. "A Graph-Based Approach for Mapping Kernel-Level Telemetry to MITRE ATT&amp;CK." arXiv:2609.12841, 2026. Available: &lt;https://arxiv.org/abs/2609.12841&gt;. Note: Linux eBPF provenance graphs with Chroma retriever; standalone retriever Recall@k is NOT REPORTED. </w:t>
      </w:r>
      <w:r>
        <w:rPr>
          <w:rFonts w:ascii="Consolas" w:hAnsi="Consolas"/>
          <w:color w:val="8A1F11"/>
          <w:sz w:val="18"/>
        </w:rPr>
        <w:t>[FULL TEXT VERIFIED]</w:t>
      </w:r>
    </w:p>
    <w:p>
      <w:pPr>
        <w:spacing w:after="80" w:line="276" w:lineRule="auto"/>
        <w:ind w:left="504" w:hanging="504"/>
      </w:pPr>
      <w:r>
        <w:rPr>
          <w:rFonts w:ascii="Calibri" w:hAnsi="Calibri"/>
          <w:b/>
          <w:color w:val="24292F"/>
          <w:sz w:val="20"/>
        </w:rPr>
        <w:t xml:space="preserve">[12] </w:t>
      </w:r>
      <w:r>
        <w:rPr>
          <w:sz w:val="20"/>
        </w:rPr>
        <w:t xml:space="preserve">Gwak, J.-Y.; Strier, A.; Xi, Z.; Yan, G.; Shu, X.; Stoller, S. D.; Yang, P. "LADE: LLM-Assisted Advanced Persistent Threat Detection and Explanation." In: </w:t>
      </w:r>
      <w:r>
        <w:rPr>
          <w:i/>
          <w:sz w:val="20"/>
        </w:rPr>
        <w:t>Security and Privacy in Communication Networks (SecureComm 2026)</w:t>
      </w:r>
      <w:r>
        <w:rPr>
          <w:sz w:val="20"/>
        </w:rPr>
        <w:t xml:space="preserve">, Lecture Notes of the Institute for Computer Sciences, Social Informatics and Telecommunications Engineering (LNICST), pp. 245–273, Springer Cham, published online 20 July 2026, copyright 2027. DOI: &lt;https://doi.org/10.1007/978-3-032-32767-3_11&gt;; author manuscript: &lt;https://www3.cs.stonybrook.edu/~stoller/papers/LADE-2026.pdf&gt;. Note: Multi-stage prompting on command sequences; dynamic vector retriever is NOT APPLICABLE. </w:t>
      </w:r>
      <w:r>
        <w:rPr>
          <w:rFonts w:ascii="Consolas" w:hAnsi="Consolas"/>
          <w:color w:val="8A1F11"/>
          <w:sz w:val="18"/>
        </w:rPr>
        <w:t>[FULL TEXT VERIFIED]</w:t>
      </w:r>
    </w:p>
    <w:p>
      <w:pPr>
        <w:spacing w:after="80" w:line="276" w:lineRule="auto"/>
        <w:ind w:left="504" w:hanging="504"/>
      </w:pPr>
      <w:r>
        <w:rPr>
          <w:rFonts w:ascii="Calibri" w:hAnsi="Calibri"/>
          <w:b/>
          <w:color w:val="24292F"/>
          <w:sz w:val="20"/>
        </w:rPr>
        <w:t xml:space="preserve">[13] </w:t>
      </w:r>
      <w:r>
        <w:rPr>
          <w:sz w:val="20"/>
        </w:rPr>
        <w:t xml:space="preserve">Mozaffari, M.; Yazdinejad, A.; Dehghantanha, A. "A Comprehensive Windows-Based APT Attack Dataset for Threat Detection and Analysis." </w:t>
      </w:r>
      <w:r>
        <w:rPr>
          <w:i/>
          <w:sz w:val="20"/>
        </w:rPr>
        <w:t>Data in Brief</w:t>
      </w:r>
      <w:r>
        <w:rPr>
          <w:sz w:val="20"/>
        </w:rPr>
        <w:t xml:space="preserve">, vol. 65, art. 112569, 2026. DOI: &lt;https://doi.org/10.1016/j.dib.2026.112569&gt;; Mendeley Data v3: &lt;https://doi.org/10.17632/b8fmtzvpy8.3&gt;. Note: Primary source inspected; Task 2 forensic audit identified 15,713 unresolved cell discrepancies preventing independent ground-truth verification. </w:t>
      </w:r>
      <w:r>
        <w:rPr>
          <w:rFonts w:ascii="Consolas" w:hAnsi="Consolas"/>
          <w:color w:val="8A1F11"/>
          <w:sz w:val="18"/>
        </w:rPr>
        <w:t>[PRIMARY SOURCE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