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SCIENTIFIC REPORT — CERTIFIED AUDIT-READY</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0.4223</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Retrieved) = 91.28%</w:t>
      </w:r>
      <w:r>
        <w:t xml:space="preserve"> (293/321) to </w:t>
      </w:r>
      <w:r>
        <w:rPr>
          <w:rFonts w:ascii="Cambria Math" w:hAnsi="Cambria Math"/>
          <w:i/>
        </w:rPr>
        <w:t>P(Correct | Absent) = 70.03%</w:t>
      </w:r>
      <w:r>
        <w:t xml:space="preserve"> (278/397). Canonical TEST retrieval diagnostics show </w:t>
      </w:r>
      <w:r>
        <w:rPr>
          <w:rFonts w:ascii="Cambria Math" w:hAnsi="Cambria Math"/>
          <w:i/>
        </w:rPr>
        <w:t>Hit@1 = 3.760%</w:t>
      </w:r>
      <w:r>
        <w:t xml:space="preserve"> (27/718) and </w:t>
      </w:r>
      <w:r>
        <w:rPr>
          <w:rFonts w:ascii="Cambria Math" w:hAnsi="Cambria Math"/>
          <w:i/>
        </w:rPr>
        <w:t>Hit@10 = 44.708%</w:t>
      </w:r>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Independent axes with overlaps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w:r>
        <w:rPr>
          <w:rFonts w:ascii="Cambria Math" w:hAnsi="Cambria Math"/>
          <w:i/>
        </w:rPr>
        <w:t>863139 × 0.25/10^6 + 209466 × 1.20/10^6 = 0.46714395</w:t>
      </w:r>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3b: Paired Scorable Representation Concordance and McNemar Discordance (</w:t>
      </w:r>
      <w:r>
        <w:rPr>
          <w:rFonts w:ascii="Cambria Math" w:hAnsi="Cambria Math"/>
          <w:i/>
        </w:rPr>
        <w:t>N=278</w:t>
      </w:r>
      <w:r>
        <w:rPr>
          <w:i/>
        </w:rPr>
        <w:t xml:space="preserve"> complete pairs)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Correct output despite GT-label miss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Retrieved)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Absent)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{{TOTAL_REQUESTS_DISPATCHED}} logical records achieved terminal journal completion (100%), partitioned into {{TOTAL_REQUESTS_COMPLETED}} VALID responses and {{TOTAL_PROVIDER_FAILURES}} INCOMPLETE responses. The VALID-output fraction was </w:t>
      </w:r>
      <w:r>
        <w:rPr>
          <w:rFonts w:ascii="Cambria Math" w:hAnsi="Cambria Math"/>
          <w:i/>
        </w:rPr>
        <w:t>{{OVERALL_COMPLETION_RATE}}</w:t>
      </w:r>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{{TOTAL_PROVIDER_FAILURES}} incomplete responses (each reaching the configured 8,192 output-token ceiling; these are INCOMPLETE responses, not wall-clock TIMEOUT records) occurred exclusively within the {{NON_SCORABLE_COHORT_N}} non-scorable cohort views (11 unmapped and 2 ambiguous scenario representations) evaluated during the completed canonical TEST experiment. In the {{SCORABLE_VIEWS_N}} scorable mapped positive TEST cohort across all 5 conditions (</w:t>
      </w:r>
      <w:r>
        <w:rPr>
          <w:rFonts w:ascii="Cambria Math" w:hAnsi="Cambria Math"/>
          <w:i/>
        </w:rPr>
        <w:t>5 × {{SCORABLE_VIEWS_N}} = {{SCORABLE_DISPATCHES_COUNT}}</w:t>
      </w:r>
      <w:r>
        <w:t xml:space="preserve"> dispatches), the provider failure rate was exactly zero (</w:t>
      </w:r>
      <w:r>
        <w:rPr>
          <w:rFonts w:ascii="Cambria Math" w:hAnsi="Cambria Math"/>
          <w:i/>
        </w:rPr>
        <w:t>0/{{SCORABLE_DISPATCHES_COUNT}}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settled spend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USD {{TOTAL_COMMITTED_SPEND_USD}} (USD {{CANONICAL_CONDITIONS_TOTAL_USD}} canonical settled cost, already including the one missing-usage attempt charged USD 0.53974560, plus USD {{PRIOR_PILOT_HOLD_USD}} prior pilot provisional hold). The missing-usage charge is not an additional pilot allocation; active and orphan reservations are zero.</w:t>
      </w:r>
    </w:p>
    <w:p>
      <w:pPr>
        <w:pStyle w:val="ListBullet"/>
        <w:spacing w:after="40" w:line="276" w:lineRule="auto"/>
      </w:pPr>
      <w:r>
        <w:rPr>
          <w:b/>
        </w:rPr>
        <w:t>Net Remaining Uncommitted Budget:</w:t>
      </w:r>
      <w:r>
        <w:t xml:space="preserve"> USD {{NET_REMAINING_BUDGET_USD}}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2.87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Retrieved) = 91.2773%</w:t>
      </w:r>
      <w:r>
        <w:t xml:space="preserve"> (293 of 321 views); when absent, accuracy dropped to </w:t>
      </w:r>
      <w:r>
        <w:rPr>
          <w:rFonts w:ascii="Cambria Math" w:hAnsi="Cambria Math"/>
          <w:i/>
        </w:rPr>
        <w:t>P(Correct | Absent)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w:r>
        <w:rPr>
          <w:rFonts w:ascii="Cambria Math" w:hAnsi="Cambria Math"/>
          <w:i/>
        </w:rPr>
        <w:t>10^-12</w:t>
      </w:r>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w:r>
        <w:rPr>
          <w:rFonts w:ascii="Cambria Math" w:hAnsi="Cambria Math"/>
          <w:i/>
        </w:rPr>
        <w:t>{{OVERALL_COMPLETION_RATE}}</w:t>
      </w:r>
      <w:r>
        <w:t xml:space="preserve"> VALID-output fraction with all logical records terminal and zero final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