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1.10: عدد البرامج المشتركة مع جامعات عالمية مرموقة ضمن 500 جامعة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1.10: عدد البرامج المشتركة مع جامعات عالمية مرموقة (ضمن (500) جامعة حاصلة على التصنيفات العالمية):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أيقنت الجامعة أن الانفتاح على الجامعات في العالم، يُعد من أهم المعايير التي يُقاس بها تطور الجامعات </w:t>
      </w:r>
    </w:p>
    <w:p>
      <w:pPr>
        <w:jc w:val="right"/>
        <w:bidi/>
      </w:pPr>
      <w:r>
        <w:rPr>
          <w:rFonts w:ascii="Arial" w:hAnsi="Arial" w:cs="Arial"/>
          <w:sz w:val="24"/>
        </w:rPr>
        <w:t>حرصت الجامعة خلال العام الجامعي 2023/2024 على بناء وتفعيل اتفاقيات نوعية تعكس توجهات الجامعة البحثية</w:t>
      </w:r>
    </w:p>
    <w:p>
      <w:pPr>
        <w:jc w:val="right"/>
        <w:bidi/>
      </w:pPr>
      <w:r>
        <w:rPr>
          <w:rFonts w:ascii="Arial" w:hAnsi="Arial" w:cs="Arial"/>
          <w:sz w:val="24"/>
        </w:rPr>
        <w:t>تم تجديد عدد من المذكرات المنتهية لضمان استمرارية وديمومة التعاون.</w:t>
      </w:r>
    </w:p>
    <w:p>
      <w:pPr>
        <w:jc w:val="right"/>
        <w:bidi/>
      </w:pPr>
      <w:r>
        <w:rPr>
          <w:rFonts w:ascii="Arial" w:hAnsi="Arial" w:cs="Arial"/>
          <w:sz w:val="24"/>
        </w:rPr>
        <w:t>تم توسيع شبكة الشراكات الاستراتيجية في مجالات البحث العلمي، حيث تم تصميم واعتماد مذكرة تفاهم مخصصة ل</w:t>
      </w:r>
    </w:p>
    <w:p>
      <w:pPr>
        <w:jc w:val="right"/>
        <w:bidi/>
      </w:pPr>
      <w:r>
        <w:rPr>
          <w:rFonts w:ascii="Arial" w:hAnsi="Arial" w:cs="Arial"/>
          <w:sz w:val="24"/>
        </w:rPr>
        <w:t>مذكرة تفاهم بين جامعة فريدريش شيلر جينا في ألمانيا (البروفيسور فولفغانغ فايغاند) مع جامعة البترا-كلي</w:t>
      </w:r>
    </w:p>
    <w:p>
      <w:pPr>
        <w:jc w:val="right"/>
        <w:bidi/>
      </w:pPr>
      <w:r>
        <w:rPr>
          <w:rFonts w:ascii="Arial" w:hAnsi="Arial" w:cs="Arial"/>
          <w:sz w:val="24"/>
        </w:rPr>
        <w:t>مذكرة تفاهم بين جامعة هدرسفيلد في إنجلترا (الأستاذ الدكتور روجر فيليبس) مع جامعة البترا-كلية الصيدلة</w:t>
      </w:r>
    </w:p>
    <w:p>
      <w:pPr>
        <w:jc w:val="right"/>
        <w:bidi/>
      </w:pPr>
      <w:r>
        <w:rPr>
          <w:rFonts w:ascii="Arial" w:hAnsi="Arial" w:cs="Arial"/>
          <w:sz w:val="24"/>
        </w:rPr>
        <w:t>ويلخص الجدول الآتي مذكرات التفاهم للعامين 2023-2024:</w:t>
      </w:r>
    </w:p>
    <w:p>
      <w:pPr>
        <w:jc w:val="right"/>
        <w:bidi/>
      </w:pPr>
      <w:r>
        <w:rPr>
          <w:rFonts w:ascii="Arial" w:hAnsi="Arial" w:cs="Arial"/>
          <w:sz w:val="24"/>
        </w:rPr>
        <w:t>تم توقيع مذكرات تفاهم تفيد التبادل الطلابي بشكل خاص بين جامعة البترا والجهات الآتية: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المؤتمرات والفعاليات المحلية والعالمية:</w:t>
      </w:r>
    </w:p>
    <w:p>
      <w:pPr>
        <w:jc w:val="right"/>
        <w:bidi/>
      </w:pPr>
      <w:r>
        <w:rPr>
          <w:rFonts w:ascii="Arial" w:hAnsi="Arial" w:cs="Arial"/>
          <w:sz w:val="24"/>
        </w:rPr>
        <w:t>تُعد المشاركة في المؤتمرات والفعاليات الأكاديمية المحلية والعالمية من الركائز الأساسية لتوسيع شبكة ا</w:t>
      </w:r>
    </w:p>
    <w:p>
      <w:pPr>
        <w:jc w:val="right"/>
        <w:bidi/>
      </w:pPr>
      <w:r>
        <w:rPr>
          <w:rFonts w:ascii="Arial" w:hAnsi="Arial" w:cs="Arial"/>
          <w:sz w:val="24"/>
        </w:rPr>
        <w:t>تمثيل الجامعة في عدد من المؤتمرات والندوات وورش العمل والاجتماعات محليا وعالميا، وجاهيا وعن بعد، وتش</w:t>
      </w:r>
    </w:p>
    <w:p>
      <w:pPr>
        <w:jc w:val="right"/>
        <w:bidi/>
      </w:pPr>
      <w:r>
        <w:rPr>
          <w:rFonts w:ascii="Arial" w:hAnsi="Arial" w:cs="Arial"/>
          <w:sz w:val="24"/>
        </w:rPr>
        <w:t>ندوات البنك الدولي IFC وعددها ست ندوات (تم تعميم جزء منها على المهتمين في الجامعة).</w:t>
      </w:r>
    </w:p>
    <w:p>
      <w:pPr>
        <w:jc w:val="right"/>
        <w:bidi/>
      </w:pPr>
      <w:r>
        <w:rPr>
          <w:rFonts w:ascii="Arial" w:hAnsi="Arial" w:cs="Arial"/>
          <w:sz w:val="24"/>
        </w:rPr>
        <w:t>ورش عمل الهيئة الألمانية للتبادل الأكاديمي DAAD وعددها أربع ورش عمل.</w:t>
      </w:r>
    </w:p>
    <w:p>
      <w:pPr>
        <w:jc w:val="right"/>
        <w:bidi/>
      </w:pPr>
      <w:r>
        <w:rPr>
          <w:rFonts w:ascii="Arial" w:hAnsi="Arial" w:cs="Arial"/>
          <w:sz w:val="24"/>
        </w:rPr>
        <w:t>اجتماعات السفارة الأمريكية لمسؤولي التعاون الدولي وعددها ثلاثة اجتماعات.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اجتماعات تحديث المنظومة الأكاديمية-مجلس الأعيان- لجنة تحديث وتطوير الخطط الدراسية الأكاد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ندوات اتحاد الجامعات العالمية IAU المتعلقة بعالمية الجامعات وعددها خمس ندوات.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برنامج البنك الدولي للتعليم الدامج والتوظيف، حيث تم توقيع مذكرة الالتزام، وتقديم خارطة ا</w:t>
      </w:r>
    </w:p>
    <w:p>
      <w:pPr>
        <w:jc w:val="right"/>
        <w:bidi/>
      </w:pPr>
      <w:r>
        <w:rPr>
          <w:rFonts w:ascii="Arial" w:hAnsi="Arial" w:cs="Arial"/>
          <w:sz w:val="24"/>
        </w:rPr>
        <w:t>تم عقد العديد من الاجتماعات عن بُعد لمتابعة تفعيل مذكرات التفاهم مع الجامعات الماليزية، والبريطانية،</w:t>
      </w:r>
    </w:p>
    <w:p>
      <w:pPr>
        <w:jc w:val="right"/>
        <w:bidi/>
      </w:pPr>
      <w:r>
        <w:rPr>
          <w:rFonts w:ascii="Arial" w:hAnsi="Arial" w:cs="Arial"/>
          <w:sz w:val="24"/>
        </w:rPr>
        <w:t>تم استضافة العديد من الوفود الأجنبية والإقليمية والمحلية الزائرة للجامعة بما يسهم في تحسين الصورة ال</w:t>
      </w:r>
    </w:p>
    <w:p>
      <w:pPr>
        <w:jc w:val="right"/>
        <w:bidi/>
      </w:pPr>
      <w:r>
        <w:rPr>
          <w:rFonts w:ascii="Arial" w:hAnsi="Arial" w:cs="Arial"/>
          <w:sz w:val="24"/>
        </w:rPr>
        <w:t>يُعد التبادل الأكاديمي والبحثي من المحركات الجوهرية لتطوير البيئة الجامعية وتعزيز التفاعل المعرفي وا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استقبال اثنين من الأساتذة والباحثين من مؤسسات شريكة لفترات قصيرة (كلية الآداب والعلوم-قسم الكيمياء، 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تنسيق خروج اثنين من أعضاء الهيئة التدريسية في كلية الصيدلة والعلوم الطبية للمشاركة في برامج التبادل </w:t>
      </w:r>
    </w:p>
    <w:p>
      <w:pPr>
        <w:jc w:val="right"/>
        <w:bidi/>
      </w:pPr>
      <w:r>
        <w:rPr>
          <w:rFonts w:ascii="Arial" w:hAnsi="Arial" w:cs="Arial"/>
          <w:sz w:val="24"/>
        </w:rPr>
        <w:t>تنفيذ ومتابعة مشاريع بحثية مشتركة مع جامعات عالمية بالتعاون مع عمادة البحث العلمي والدراسات العليا.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