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2.5: عدد الطلبة الموفدين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وقد رسمت الجامعة منذ تأسيسها سياسةً واضحةً للإيفاد، وطبقتها بكل شفافية، ونزاهة، ومصداقية؛ ضمانًا لتح</w:t>
      </w:r>
    </w:p>
    <w:p>
      <w:pPr>
        <w:jc w:val="right"/>
        <w:bidi/>
      </w:pPr>
      <w:r>
        <w:rPr>
          <w:rFonts w:ascii="Arial" w:hAnsi="Arial" w:cs="Arial"/>
          <w:sz w:val="24"/>
        </w:rPr>
        <w:t>استقطاب أعضاء هيئة تدريسية للأقسام الأكاديمية، التي تفتقر إلى أعضاء هيئة تدريسية من الجنسية الأردنية</w:t>
      </w:r>
    </w:p>
    <w:p>
      <w:pPr>
        <w:jc w:val="right"/>
        <w:bidi/>
      </w:pPr>
      <w:r>
        <w:rPr>
          <w:rFonts w:ascii="Arial" w:hAnsi="Arial" w:cs="Arial"/>
          <w:sz w:val="24"/>
        </w:rPr>
        <w:t>توفير أعضاء هيئة تدريسية للأقسام الأكاديمية، التي يعمل فيها أعضاء هيئة تدريسية تجاوزت أعمارهم السبعي</w:t>
      </w:r>
    </w:p>
    <w:p>
      <w:pPr>
        <w:jc w:val="right"/>
        <w:bidi/>
      </w:pPr>
      <w:r>
        <w:rPr>
          <w:rFonts w:ascii="Arial" w:hAnsi="Arial" w:cs="Arial"/>
          <w:sz w:val="24"/>
        </w:rPr>
        <w:t>الحفاظ على مستوى أعضاء الهيئة التدريسية المعيَّنين؛ بإيفاد المتفوقين منهم إلى جامعات مرموقة.</w:t>
      </w:r>
    </w:p>
    <w:p>
      <w:pPr>
        <w:jc w:val="right"/>
        <w:bidi/>
      </w:pPr>
      <w:r>
        <w:rPr>
          <w:rFonts w:ascii="Arial" w:hAnsi="Arial" w:cs="Arial"/>
          <w:sz w:val="24"/>
        </w:rPr>
        <w:t>أوفدت الجامعة طالبة واحدة للعام 2023/2024 إضافة إلى من هم على مقاعد الدراسة:</w:t>
      </w:r>
    </w:p>
    <w:p>
      <w:pPr>
        <w:jc w:val="right"/>
        <w:bidi/>
      </w:pPr>
      <w:r>
        <w:rPr>
          <w:rFonts w:ascii="Arial" w:hAnsi="Arial" w:cs="Arial"/>
          <w:sz w:val="24"/>
        </w:rPr>
        <w:t>وننوِّه بأنَّ موازنة الإيفاد للعام (2023/2024)، قد بلغت (470,000 دينارًا)، أي: ما يعادل (2%) من المو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