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2.7: نسبة المشاركين في دورات تأهيل وتدريب أعضاء هيئة التدريس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2.7: نسبة عدد المشاركين في دورات تأهيل وتدريب أعضاء هيئة التدريس على الطرق الحديثة في التعليم إلى إج</w:t>
      </w:r>
    </w:p>
    <w:p>
      <w:pPr>
        <w:jc w:val="right"/>
        <w:bidi/>
      </w:pPr>
      <w:r>
        <w:rPr>
          <w:rFonts w:ascii="Arial" w:hAnsi="Arial" w:cs="Arial"/>
          <w:sz w:val="24"/>
        </w:rPr>
        <w:t>يتولى مركز التطوير الأكاديمي مسؤولية توفير الدورات التدريبية، التي تعمل على رفع الكفاية المهنية لأعض</w:t>
      </w:r>
    </w:p>
    <w:p>
      <w:pPr>
        <w:jc w:val="right"/>
        <w:bidi/>
      </w:pPr>
      <w:r>
        <w:rPr>
          <w:rFonts w:ascii="Arial" w:hAnsi="Arial" w:cs="Arial"/>
          <w:sz w:val="24"/>
        </w:rPr>
        <w:t>ركزت الدورات التي وُجِّهت لأعضاء الهيئة التدريسية على التعلم والتعليم والتقييم والبحث العلمي باستخدا</w:t>
      </w:r>
    </w:p>
    <w:p>
      <w:pPr>
        <w:jc w:val="right"/>
        <w:bidi/>
      </w:pPr>
      <w:r>
        <w:rPr>
          <w:rFonts w:ascii="Arial" w:hAnsi="Arial" w:cs="Arial"/>
          <w:sz w:val="24"/>
        </w:rPr>
        <w:t>كلية الحقوق: حوسبة المواد التعليمية، والتعليم المدمج، والإرشاد الأكاديمي، وPowerPoint presentation.</w:t>
      </w:r>
    </w:p>
    <w:p>
      <w:pPr>
        <w:jc w:val="right"/>
        <w:bidi/>
      </w:pPr>
      <w:r>
        <w:rPr>
          <w:rFonts w:ascii="Arial" w:hAnsi="Arial" w:cs="Arial"/>
          <w:sz w:val="24"/>
        </w:rPr>
        <w:t>كلية طب الأسنان: تطبيق نظام Moodle، ودليل البرامج الأكاديمية، وحوسبة الامتحانات.</w:t>
      </w:r>
    </w:p>
    <w:p>
      <w:pPr>
        <w:jc w:val="right"/>
        <w:bidi/>
      </w:pPr>
      <w:r>
        <w:rPr>
          <w:rFonts w:ascii="Arial" w:hAnsi="Arial" w:cs="Arial"/>
          <w:sz w:val="24"/>
        </w:rPr>
        <w:t>كلية تكنولوجيا المعلومات: الإرشاد الأكاديمي ومتابعة المتعثرين.</w:t>
      </w:r>
    </w:p>
    <w:p>
      <w:pPr>
        <w:jc w:val="right"/>
        <w:bidi/>
      </w:pPr>
      <w:r>
        <w:rPr>
          <w:rFonts w:ascii="Arial" w:hAnsi="Arial" w:cs="Arial"/>
          <w:sz w:val="24"/>
        </w:rPr>
        <w:t>تولي الجامعة اهتمامًا خاصًا بأعضاء الهيئة التدريسية الجدد حيث يضع مركز التطوير الأكاديمي جدولاً للتد</w:t>
      </w:r>
    </w:p>
    <w:p>
      <w:pPr>
        <w:jc w:val="right"/>
        <w:bidi/>
      </w:pPr>
      <w:r>
        <w:rPr>
          <w:rFonts w:ascii="Arial" w:hAnsi="Arial" w:cs="Arial"/>
          <w:sz w:val="24"/>
        </w:rPr>
        <w:t>لقاء ترحيبي بأعضاء الهيئة التدريسية الجدد والذي تضمن تعريفهم بمديري الدوائر والمراكز والوحدات والأنظ</w:t>
      </w:r>
    </w:p>
    <w:p>
      <w:pPr>
        <w:jc w:val="right"/>
        <w:bidi/>
      </w:pPr>
      <w:r>
        <w:rPr>
          <w:rFonts w:ascii="Arial" w:hAnsi="Arial" w:cs="Arial"/>
          <w:sz w:val="24"/>
        </w:rPr>
        <w:t>تعليمات عضو هيئة التدريس والبحث العلمي والتدريس (تعليمات من رقم 4 إلى رقم 8) بالإضافة إلى أخلاقيات ا</w:t>
      </w:r>
    </w:p>
    <w:p>
      <w:pPr>
        <w:jc w:val="right"/>
        <w:bidi/>
      </w:pPr>
      <w:r>
        <w:rPr>
          <w:rFonts w:ascii="Arial" w:hAnsi="Arial" w:cs="Arial"/>
          <w:sz w:val="24"/>
        </w:rPr>
        <w:t>قواعد البيانات الإلكترونية المتوفرة في الجامعة التي يمكن استخدامها لغايات التدريس والبحث العلمي.</w:t>
      </w:r>
    </w:p>
    <w:p>
      <w:pPr>
        <w:jc w:val="right"/>
        <w:bidi/>
      </w:pPr>
      <w:r>
        <w:rPr>
          <w:rFonts w:ascii="Arial" w:hAnsi="Arial" w:cs="Arial"/>
          <w:sz w:val="24"/>
        </w:rPr>
        <w:t>منصات التعليم الإلكتروني والتي تضمنت تدريبًا على منصة Moodle وBlackboard وMicrosoft Teams وMicrosoft</w:t>
      </w:r>
    </w:p>
    <w:p>
      <w:pPr>
        <w:jc w:val="right"/>
        <w:bidi/>
      </w:pPr>
      <w:r>
        <w:rPr>
          <w:rFonts w:ascii="Arial" w:hAnsi="Arial" w:cs="Arial"/>
          <w:sz w:val="24"/>
        </w:rPr>
        <w:t>التدريس الجامعي وتضمن التدريب على إعداد الخطط الدراسية للتدريس الوجاهي والمدمج والإلكتروني من حيث صي</w:t>
      </w:r>
    </w:p>
    <w:p>
      <w:pPr>
        <w:jc w:val="right"/>
        <w:bidi/>
      </w:pPr>
      <w:r>
        <w:rPr>
          <w:rFonts w:ascii="Arial" w:hAnsi="Arial" w:cs="Arial"/>
          <w:sz w:val="24"/>
        </w:rPr>
        <w:t>البحث العلمي: تناولت الدورات المتخصصة بالبحث العلمي التعليمات والإجراءات المتعلقة بالبحث العلمي والت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يُلاحظ من النتائج الواردة في الجدول للعام الجامعي 2023/2024 أن متوسط نسب أداء طلبة جامعة البترا كان </w:t>
      </w:r>
    </w:p>
    <w:p>
      <w:pPr>
        <w:jc w:val="right"/>
        <w:bidi/>
      </w:pPr>
      <w:r>
        <w:rPr>
          <w:rFonts w:ascii="Arial" w:hAnsi="Arial" w:cs="Arial"/>
          <w:sz w:val="24"/>
        </w:rPr>
        <w:t>يشكل البحث العلمي والدراسات العليا ركنًا أساسيًا من أنشطة الجامعة. لذا، تم إنشاء عمادة خاصة، يدير شؤ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